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61" w:rsidRPr="00372E26" w:rsidRDefault="00915161" w:rsidP="00915161">
      <w:pPr>
        <w:widowControl/>
        <w:rPr>
          <w:rFonts w:ascii="Arial" w:hAnsi="Arial" w:cs="Arial"/>
          <w:lang w:val="en-GB"/>
        </w:rPr>
      </w:pPr>
    </w:p>
    <w:p w:rsidR="00915161" w:rsidRPr="0028108F" w:rsidRDefault="00915161" w:rsidP="00915161">
      <w:pPr>
        <w:adjustRightInd w:val="0"/>
        <w:snapToGrid w:val="0"/>
        <w:rPr>
          <w:rFonts w:ascii="Arial" w:hAnsi="Arial" w:cs="Arial"/>
          <w:b/>
          <w:sz w:val="32"/>
          <w:szCs w:val="32"/>
          <w:lang w:val="en-GB"/>
        </w:rPr>
      </w:pPr>
    </w:p>
    <w:p w:rsidR="00915161" w:rsidRPr="0028108F" w:rsidRDefault="00915161" w:rsidP="00915161">
      <w:pPr>
        <w:adjustRightInd w:val="0"/>
        <w:snapToGrid w:val="0"/>
        <w:rPr>
          <w:rFonts w:ascii="Arial" w:hAnsi="Arial" w:cs="Arial"/>
          <w:b/>
          <w:sz w:val="32"/>
          <w:szCs w:val="32"/>
          <w:lang w:val="en-GB"/>
        </w:rPr>
      </w:pPr>
    </w:p>
    <w:p w:rsidR="00915161" w:rsidRPr="0028108F" w:rsidRDefault="00915161" w:rsidP="00915161">
      <w:pPr>
        <w:adjustRightInd w:val="0"/>
        <w:snapToGrid w:val="0"/>
        <w:rPr>
          <w:rFonts w:ascii="Arial" w:hAnsi="Arial" w:cs="Arial"/>
          <w:b/>
          <w:sz w:val="32"/>
          <w:szCs w:val="32"/>
          <w:lang w:val="en-GB"/>
        </w:rPr>
      </w:pPr>
    </w:p>
    <w:p w:rsidR="00915161" w:rsidRPr="008813DE" w:rsidRDefault="00915161" w:rsidP="0028108F">
      <w:pPr>
        <w:adjustRightInd w:val="0"/>
        <w:snapToGrid w:val="0"/>
        <w:spacing w:line="360" w:lineRule="auto"/>
        <w:jc w:val="center"/>
        <w:rPr>
          <w:rFonts w:ascii="Arial" w:hAnsi="Arial" w:cs="Arial"/>
          <w:b/>
          <w:sz w:val="36"/>
          <w:szCs w:val="36"/>
          <w:lang w:val="en-GB"/>
        </w:rPr>
      </w:pPr>
      <w:r w:rsidRPr="008813DE">
        <w:rPr>
          <w:rFonts w:ascii="Arial" w:hAnsi="Arial" w:cs="Arial"/>
          <w:b/>
          <w:sz w:val="36"/>
          <w:szCs w:val="36"/>
          <w:lang w:val="en-GB"/>
        </w:rPr>
        <w:t>INTER-DEPARTMENTAL WORKING GROUP</w:t>
      </w:r>
      <w:r w:rsidR="005016F2" w:rsidRPr="008813DE">
        <w:rPr>
          <w:rFonts w:ascii="Arial" w:hAnsi="Arial" w:cs="Arial" w:hint="eastAsia"/>
          <w:b/>
          <w:sz w:val="36"/>
          <w:szCs w:val="36"/>
          <w:lang w:val="en-GB"/>
        </w:rPr>
        <w:t xml:space="preserve">　</w:t>
      </w:r>
    </w:p>
    <w:p w:rsidR="00915161" w:rsidRPr="008813DE" w:rsidRDefault="00915161" w:rsidP="0028108F">
      <w:pPr>
        <w:adjustRightInd w:val="0"/>
        <w:snapToGrid w:val="0"/>
        <w:spacing w:line="360" w:lineRule="auto"/>
        <w:jc w:val="center"/>
        <w:rPr>
          <w:rFonts w:ascii="Arial" w:hAnsi="Arial" w:cs="Arial"/>
          <w:b/>
          <w:sz w:val="36"/>
          <w:szCs w:val="36"/>
          <w:lang w:val="en-GB"/>
        </w:rPr>
      </w:pPr>
      <w:r w:rsidRPr="008813DE">
        <w:rPr>
          <w:rFonts w:ascii="Arial" w:hAnsi="Arial" w:cs="Arial"/>
          <w:b/>
          <w:sz w:val="36"/>
          <w:szCs w:val="36"/>
          <w:lang w:val="en-GB"/>
        </w:rPr>
        <w:t>ON GENDER RECOGNITION</w:t>
      </w:r>
    </w:p>
    <w:p w:rsidR="00915161" w:rsidRPr="0028108F" w:rsidRDefault="00915161" w:rsidP="00915161">
      <w:pPr>
        <w:adjustRightInd w:val="0"/>
        <w:snapToGrid w:val="0"/>
        <w:jc w:val="both"/>
        <w:rPr>
          <w:rFonts w:ascii="Arial" w:hAnsi="Arial" w:cs="Arial"/>
          <w:b/>
          <w:sz w:val="32"/>
          <w:szCs w:val="32"/>
          <w:lang w:val="en-GB"/>
        </w:rPr>
      </w:pPr>
    </w:p>
    <w:p w:rsidR="00915161" w:rsidRPr="002E4AD8"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______________________________________________</w:t>
      </w: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835703" w:rsidRPr="008813DE" w:rsidRDefault="00915161" w:rsidP="0028108F">
      <w:pPr>
        <w:adjustRightInd w:val="0"/>
        <w:snapToGrid w:val="0"/>
        <w:spacing w:afterLines="50" w:after="180" w:line="360" w:lineRule="auto"/>
        <w:jc w:val="center"/>
        <w:rPr>
          <w:rFonts w:ascii="Arial" w:hAnsi="Arial" w:cs="Arial"/>
          <w:b/>
          <w:sz w:val="36"/>
          <w:szCs w:val="36"/>
          <w:lang w:val="en-GB"/>
        </w:rPr>
      </w:pPr>
      <w:r w:rsidRPr="008813DE">
        <w:rPr>
          <w:rFonts w:ascii="Arial" w:hAnsi="Arial" w:cs="Arial"/>
          <w:b/>
          <w:sz w:val="36"/>
          <w:szCs w:val="36"/>
          <w:lang w:val="en-GB"/>
        </w:rPr>
        <w:t>CONSULTATION PAPER</w:t>
      </w:r>
      <w:r w:rsidR="00835703" w:rsidRPr="008813DE">
        <w:rPr>
          <w:rFonts w:ascii="Arial" w:hAnsi="Arial" w:cs="Arial"/>
          <w:b/>
          <w:sz w:val="36"/>
          <w:szCs w:val="36"/>
          <w:lang w:val="en-GB"/>
        </w:rPr>
        <w:t xml:space="preserve">: </w:t>
      </w:r>
      <w:r w:rsidRPr="008813DE">
        <w:rPr>
          <w:rFonts w:ascii="Arial" w:hAnsi="Arial" w:cs="Arial"/>
          <w:b/>
          <w:sz w:val="36"/>
          <w:szCs w:val="36"/>
          <w:lang w:val="en-GB"/>
        </w:rPr>
        <w:t xml:space="preserve">PART </w:t>
      </w:r>
      <w:r w:rsidR="00835703" w:rsidRPr="008813DE">
        <w:rPr>
          <w:rFonts w:ascii="Arial" w:hAnsi="Arial" w:cs="Arial"/>
          <w:b/>
          <w:sz w:val="36"/>
          <w:szCs w:val="36"/>
          <w:lang w:val="en-GB"/>
        </w:rPr>
        <w:t>1</w:t>
      </w:r>
    </w:p>
    <w:p w:rsidR="00915161" w:rsidRPr="008813DE" w:rsidRDefault="007C3E86" w:rsidP="0028108F">
      <w:pPr>
        <w:adjustRightInd w:val="0"/>
        <w:snapToGrid w:val="0"/>
        <w:spacing w:afterLines="50" w:after="180" w:line="360" w:lineRule="auto"/>
        <w:jc w:val="center"/>
        <w:rPr>
          <w:rFonts w:ascii="Arial" w:hAnsi="Arial" w:cs="Arial"/>
          <w:b/>
          <w:sz w:val="36"/>
          <w:szCs w:val="36"/>
          <w:lang w:val="en-GB"/>
        </w:rPr>
      </w:pPr>
      <w:r w:rsidRPr="008813DE">
        <w:rPr>
          <w:rFonts w:ascii="Arial" w:hAnsi="Arial" w:cs="Arial"/>
          <w:b/>
          <w:sz w:val="36"/>
          <w:szCs w:val="36"/>
          <w:lang w:val="en-GB"/>
        </w:rPr>
        <w:t xml:space="preserve">GENDER </w:t>
      </w:r>
      <w:r w:rsidR="00915161" w:rsidRPr="008813DE">
        <w:rPr>
          <w:rFonts w:ascii="Arial" w:hAnsi="Arial" w:cs="Arial"/>
          <w:b/>
          <w:sz w:val="36"/>
          <w:szCs w:val="36"/>
          <w:lang w:val="en-GB"/>
        </w:rPr>
        <w:t xml:space="preserve">RECOGNITION </w:t>
      </w: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28108F">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______________________________________________</w:t>
      </w: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915161" w:rsidRPr="0028108F" w:rsidRDefault="00915161" w:rsidP="00915161">
      <w:pPr>
        <w:adjustRightInd w:val="0"/>
        <w:snapToGrid w:val="0"/>
        <w:jc w:val="both"/>
        <w:rPr>
          <w:rFonts w:ascii="Arial" w:hAnsi="Arial" w:cs="Arial"/>
          <w:b/>
          <w:sz w:val="32"/>
          <w:szCs w:val="32"/>
          <w:lang w:val="en-GB"/>
        </w:rPr>
      </w:pPr>
    </w:p>
    <w:p w:rsidR="00725B6F" w:rsidRPr="008813DE" w:rsidRDefault="00725B6F" w:rsidP="00725B6F">
      <w:pPr>
        <w:tabs>
          <w:tab w:val="left" w:pos="720"/>
        </w:tabs>
        <w:adjustRightInd w:val="0"/>
        <w:jc w:val="center"/>
        <w:rPr>
          <w:rFonts w:ascii="Arial" w:hAnsi="Arial" w:cs="Arial"/>
        </w:rPr>
      </w:pPr>
      <w:r w:rsidRPr="008813DE">
        <w:rPr>
          <w:rFonts w:ascii="Arial" w:hAnsi="Arial" w:cs="Arial"/>
        </w:rPr>
        <w:t>This consultation paper can be found on the Internet at:</w:t>
      </w:r>
    </w:p>
    <w:p w:rsidR="00725B6F" w:rsidRPr="008813DE" w:rsidRDefault="006C1C95" w:rsidP="00725B6F">
      <w:pPr>
        <w:tabs>
          <w:tab w:val="left" w:pos="720"/>
        </w:tabs>
        <w:adjustRightInd w:val="0"/>
        <w:jc w:val="center"/>
        <w:rPr>
          <w:rFonts w:ascii="Arial" w:hAnsi="Arial" w:cs="Arial"/>
          <w:b/>
          <w:i/>
        </w:rPr>
      </w:pPr>
      <w:hyperlink r:id="rId9" w:history="1">
        <w:r w:rsidR="00007704" w:rsidRPr="008813DE">
          <w:rPr>
            <w:rStyle w:val="Hyperlink"/>
            <w:rFonts w:ascii="Arial" w:hAnsi="Arial"/>
          </w:rPr>
          <w:t>http://www.iwggr.gov.hk</w:t>
        </w:r>
      </w:hyperlink>
    </w:p>
    <w:p w:rsidR="00007704" w:rsidRPr="008813DE" w:rsidRDefault="00007704" w:rsidP="00725B6F">
      <w:pPr>
        <w:tabs>
          <w:tab w:val="left" w:pos="720"/>
        </w:tabs>
        <w:adjustRightInd w:val="0"/>
        <w:jc w:val="center"/>
        <w:rPr>
          <w:rFonts w:ascii="Arial" w:hAnsi="Arial" w:cs="Arial"/>
          <w:b/>
        </w:rPr>
      </w:pPr>
    </w:p>
    <w:p w:rsidR="00725B6F" w:rsidRPr="008813DE" w:rsidRDefault="00725B6F" w:rsidP="00725B6F">
      <w:pPr>
        <w:tabs>
          <w:tab w:val="left" w:pos="720"/>
        </w:tabs>
        <w:adjustRightInd w:val="0"/>
        <w:rPr>
          <w:rFonts w:ascii="Arial" w:hAnsi="Arial" w:cs="Arial"/>
        </w:rPr>
      </w:pPr>
    </w:p>
    <w:p w:rsidR="00725B6F" w:rsidRPr="008813DE" w:rsidRDefault="00725B6F" w:rsidP="00725B6F">
      <w:pPr>
        <w:tabs>
          <w:tab w:val="left" w:pos="720"/>
        </w:tabs>
        <w:adjustRightInd w:val="0"/>
        <w:rPr>
          <w:rFonts w:ascii="Arial" w:hAnsi="Arial" w:cs="Arial"/>
        </w:rPr>
      </w:pPr>
    </w:p>
    <w:p w:rsidR="00915161" w:rsidRPr="00670A29" w:rsidRDefault="00915161" w:rsidP="00915161">
      <w:pPr>
        <w:adjustRightInd w:val="0"/>
        <w:snapToGrid w:val="0"/>
        <w:jc w:val="both"/>
        <w:rPr>
          <w:rFonts w:ascii="Arial" w:hAnsi="Arial" w:cs="Arial"/>
          <w:b/>
          <w:sz w:val="32"/>
          <w:szCs w:val="32"/>
          <w:lang w:val="en-GB"/>
        </w:rPr>
      </w:pPr>
    </w:p>
    <w:p w:rsidR="008664C1" w:rsidRPr="008813DE" w:rsidRDefault="00835703" w:rsidP="00915161">
      <w:pPr>
        <w:adjustRightInd w:val="0"/>
        <w:snapToGrid w:val="0"/>
        <w:jc w:val="center"/>
        <w:rPr>
          <w:rFonts w:ascii="Arial" w:hAnsi="Arial" w:cs="Arial"/>
          <w:b/>
          <w:sz w:val="28"/>
          <w:szCs w:val="28"/>
          <w:lang w:val="en-GB"/>
        </w:rPr>
      </w:pPr>
      <w:r w:rsidRPr="008813DE">
        <w:rPr>
          <w:rFonts w:ascii="Arial" w:hAnsi="Arial" w:cs="Arial"/>
          <w:b/>
          <w:sz w:val="28"/>
          <w:szCs w:val="28"/>
          <w:lang w:val="en-GB"/>
        </w:rPr>
        <w:t xml:space="preserve">June </w:t>
      </w:r>
      <w:r w:rsidR="00915161" w:rsidRPr="008813DE">
        <w:rPr>
          <w:rFonts w:ascii="Arial" w:hAnsi="Arial" w:cs="Arial"/>
          <w:b/>
          <w:sz w:val="28"/>
          <w:szCs w:val="28"/>
          <w:lang w:val="en-GB"/>
        </w:rPr>
        <w:t>201</w:t>
      </w:r>
      <w:r w:rsidR="00F86401" w:rsidRPr="008813DE">
        <w:rPr>
          <w:rFonts w:ascii="Arial" w:hAnsi="Arial" w:cs="Arial"/>
          <w:b/>
          <w:sz w:val="28"/>
          <w:szCs w:val="28"/>
          <w:lang w:val="en-GB"/>
        </w:rPr>
        <w:t>7</w:t>
      </w:r>
    </w:p>
    <w:p w:rsidR="008664C1" w:rsidRDefault="008664C1">
      <w:pPr>
        <w:widowControl/>
        <w:rPr>
          <w:rFonts w:ascii="Arial" w:hAnsi="Arial" w:cs="Arial"/>
          <w:i/>
          <w:szCs w:val="24"/>
          <w:lang w:val="en-GB"/>
        </w:rPr>
      </w:pPr>
      <w:r>
        <w:rPr>
          <w:rFonts w:ascii="Arial" w:hAnsi="Arial" w:cs="Arial"/>
          <w:i/>
          <w:szCs w:val="24"/>
          <w:lang w:val="en-GB"/>
        </w:rPr>
        <w:br w:type="page"/>
      </w:r>
    </w:p>
    <w:p w:rsidR="00D97030" w:rsidRDefault="00D97030">
      <w:pPr>
        <w:widowControl/>
        <w:rPr>
          <w:rFonts w:cs="Arial"/>
        </w:rPr>
      </w:pPr>
      <w:bookmarkStart w:id="0" w:name="_GoBack"/>
      <w:bookmarkEnd w:id="0"/>
      <w:r>
        <w:rPr>
          <w:rFonts w:cs="Arial"/>
        </w:rPr>
        <w:lastRenderedPageBreak/>
        <w:br w:type="page"/>
      </w:r>
    </w:p>
    <w:p w:rsidR="00AA24D6" w:rsidRPr="00B61744" w:rsidRDefault="00AA24D6" w:rsidP="00AA24D6">
      <w:pPr>
        <w:adjustRightInd w:val="0"/>
        <w:snapToGrid w:val="0"/>
        <w:jc w:val="both"/>
        <w:rPr>
          <w:rFonts w:cs="Arial"/>
        </w:rPr>
      </w:pPr>
    </w:p>
    <w:p w:rsidR="007F7647"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adjustRightInd w:val="0"/>
        <w:jc w:val="both"/>
        <w:rPr>
          <w:rFonts w:ascii="Arial" w:hAnsi="Arial" w:cs="Arial"/>
          <w:i/>
          <w:sz w:val="26"/>
          <w:szCs w:val="26"/>
        </w:rPr>
      </w:pPr>
      <w:r w:rsidRPr="008813DE">
        <w:rPr>
          <w:rFonts w:ascii="Arial" w:hAnsi="Arial" w:cs="Arial"/>
          <w:i/>
          <w:sz w:val="26"/>
          <w:szCs w:val="26"/>
        </w:rPr>
        <w:t xml:space="preserve">This Consultation Paper has been prepared by the Inter-departmental Working Group on Gender Recognition (IWG). </w:t>
      </w:r>
      <w:r w:rsidR="007F7647" w:rsidRPr="008813DE">
        <w:rPr>
          <w:rFonts w:ascii="Arial" w:hAnsi="Arial" w:cs="Arial"/>
          <w:i/>
          <w:sz w:val="26"/>
          <w:szCs w:val="26"/>
        </w:rPr>
        <w:t xml:space="preserve"> The English and Chinese versions of the Consultation Paper as well as the English version of the Annexes (not enclosed with the printed version of the Consultation Paper</w:t>
      </w:r>
      <w:r w:rsidR="009856A1" w:rsidRPr="008813DE">
        <w:rPr>
          <w:rFonts w:ascii="Arial" w:hAnsi="Arial" w:cs="Arial"/>
          <w:i/>
          <w:sz w:val="26"/>
          <w:szCs w:val="26"/>
        </w:rPr>
        <w:t xml:space="preserve"> due to </w:t>
      </w:r>
      <w:r w:rsidR="006B78C8">
        <w:rPr>
          <w:rFonts w:ascii="Arial" w:hAnsi="Arial" w:cs="Arial" w:hint="eastAsia"/>
          <w:i/>
          <w:sz w:val="26"/>
          <w:szCs w:val="26"/>
        </w:rPr>
        <w:t>its length</w:t>
      </w:r>
      <w:r w:rsidR="007F7647" w:rsidRPr="008813DE">
        <w:rPr>
          <w:rFonts w:ascii="Arial" w:hAnsi="Arial" w:cs="Arial"/>
          <w:i/>
          <w:sz w:val="26"/>
          <w:szCs w:val="26"/>
        </w:rPr>
        <w:t xml:space="preserve">) </w:t>
      </w:r>
      <w:r w:rsidR="006A04D6">
        <w:rPr>
          <w:rFonts w:ascii="Arial" w:hAnsi="Arial" w:cs="Arial"/>
          <w:i/>
          <w:sz w:val="26"/>
          <w:szCs w:val="26"/>
        </w:rPr>
        <w:t xml:space="preserve">can be found on </w:t>
      </w:r>
      <w:r w:rsidR="007F7647" w:rsidRPr="008813DE">
        <w:rPr>
          <w:rFonts w:ascii="Arial" w:hAnsi="Arial" w:cs="Arial"/>
          <w:i/>
          <w:sz w:val="26"/>
          <w:szCs w:val="26"/>
        </w:rPr>
        <w:t>the Internet at</w:t>
      </w:r>
      <w:r w:rsidR="00CF0562">
        <w:rPr>
          <w:rFonts w:ascii="Arial" w:hAnsi="Arial" w:cs="Arial"/>
          <w:i/>
          <w:sz w:val="26"/>
          <w:szCs w:val="26"/>
        </w:rPr>
        <w:t xml:space="preserve"> </w:t>
      </w:r>
      <w:hyperlink r:id="rId10" w:history="1">
        <w:r w:rsidR="00CF0562" w:rsidRPr="00750692">
          <w:rPr>
            <w:rStyle w:val="Hyperlink"/>
            <w:rFonts w:ascii="Arial" w:hAnsi="Arial" w:cs="Arial"/>
            <w:i/>
            <w:sz w:val="26"/>
            <w:szCs w:val="26"/>
          </w:rPr>
          <w:t>http://www.iwggr.gov.hk</w:t>
        </w:r>
      </w:hyperlink>
      <w:r w:rsidR="007F7647" w:rsidRPr="008813DE">
        <w:rPr>
          <w:rFonts w:ascii="Arial" w:hAnsi="Arial" w:cs="Arial"/>
          <w:i/>
          <w:sz w:val="26"/>
          <w:szCs w:val="26"/>
        </w:rPr>
        <w:t>.</w:t>
      </w:r>
      <w:r w:rsidRPr="008813DE">
        <w:rPr>
          <w:rFonts w:ascii="Arial" w:hAnsi="Arial" w:cs="Arial"/>
          <w:i/>
          <w:sz w:val="26"/>
          <w:szCs w:val="26"/>
        </w:rPr>
        <w:t xml:space="preserve"> </w:t>
      </w:r>
    </w:p>
    <w:p w:rsidR="007F7647" w:rsidRPr="008813DE" w:rsidRDefault="007F7647" w:rsidP="00AA24D6">
      <w:pPr>
        <w:pBdr>
          <w:top w:val="single" w:sz="12" w:space="15" w:color="auto"/>
          <w:left w:val="single" w:sz="12" w:space="15" w:color="auto"/>
          <w:bottom w:val="single" w:sz="12" w:space="15" w:color="auto"/>
          <w:right w:val="single" w:sz="12" w:space="15" w:color="auto"/>
        </w:pBdr>
        <w:shd w:val="pct10" w:color="auto" w:fill="FFFFFF"/>
        <w:adjustRightInd w:val="0"/>
        <w:jc w:val="both"/>
        <w:rPr>
          <w:rFonts w:ascii="Arial" w:hAnsi="Arial" w:cs="Arial"/>
          <w:i/>
          <w:sz w:val="26"/>
          <w:szCs w:val="26"/>
        </w:rPr>
      </w:pPr>
    </w:p>
    <w:p w:rsidR="00AA24D6" w:rsidRPr="008813DE" w:rsidRDefault="007F7647" w:rsidP="00AA24D6">
      <w:pPr>
        <w:pBdr>
          <w:top w:val="single" w:sz="12" w:space="15" w:color="auto"/>
          <w:left w:val="single" w:sz="12" w:space="15" w:color="auto"/>
          <w:bottom w:val="single" w:sz="12" w:space="15" w:color="auto"/>
          <w:right w:val="single" w:sz="12" w:space="15" w:color="auto"/>
        </w:pBdr>
        <w:shd w:val="pct10" w:color="auto" w:fill="FFFFFF"/>
        <w:adjustRightInd w:val="0"/>
        <w:jc w:val="both"/>
        <w:rPr>
          <w:rFonts w:ascii="Arial" w:hAnsi="Arial" w:cs="Arial"/>
          <w:i/>
          <w:sz w:val="26"/>
          <w:szCs w:val="26"/>
        </w:rPr>
      </w:pPr>
      <w:r w:rsidRPr="008813DE">
        <w:rPr>
          <w:rFonts w:ascii="Arial" w:hAnsi="Arial" w:cs="Arial"/>
          <w:i/>
          <w:sz w:val="26"/>
          <w:szCs w:val="26"/>
        </w:rPr>
        <w:t xml:space="preserve">This Consultation Paper </w:t>
      </w:r>
      <w:r w:rsidR="00AA24D6" w:rsidRPr="008813DE">
        <w:rPr>
          <w:rFonts w:ascii="Arial" w:hAnsi="Arial" w:cs="Arial"/>
          <w:i/>
          <w:sz w:val="26"/>
          <w:szCs w:val="26"/>
        </w:rPr>
        <w:t>does not represent the final views of the IWG, and is circulated f</w:t>
      </w:r>
      <w:r w:rsidRPr="008813DE">
        <w:rPr>
          <w:rFonts w:ascii="Arial" w:hAnsi="Arial" w:cs="Arial"/>
          <w:i/>
          <w:sz w:val="26"/>
          <w:szCs w:val="26"/>
        </w:rPr>
        <w:t xml:space="preserve">or comment and discussion only.  </w:t>
      </w:r>
      <w:r w:rsidR="003E7651" w:rsidRPr="008813DE">
        <w:rPr>
          <w:rFonts w:ascii="Arial" w:hAnsi="Arial" w:cs="Arial"/>
          <w:i/>
          <w:sz w:val="26"/>
          <w:szCs w:val="26"/>
        </w:rPr>
        <w:t>This Consultation Paper seek</w:t>
      </w:r>
      <w:r w:rsidR="0085330B">
        <w:rPr>
          <w:rFonts w:ascii="Arial" w:hAnsi="Arial" w:cs="Arial"/>
          <w:i/>
          <w:sz w:val="26"/>
          <w:szCs w:val="26"/>
        </w:rPr>
        <w:t>s</w:t>
      </w:r>
      <w:r w:rsidR="003E7651" w:rsidRPr="008813DE">
        <w:rPr>
          <w:rFonts w:ascii="Arial" w:hAnsi="Arial" w:cs="Arial"/>
          <w:i/>
          <w:sz w:val="26"/>
          <w:szCs w:val="26"/>
        </w:rPr>
        <w:t xml:space="preserve"> the views of the public on a </w:t>
      </w:r>
      <w:r w:rsidR="0043020E">
        <w:rPr>
          <w:rFonts w:ascii="Arial" w:hAnsi="Arial" w:cs="Arial"/>
          <w:i/>
          <w:sz w:val="26"/>
          <w:szCs w:val="26"/>
        </w:rPr>
        <w:t>number</w:t>
      </w:r>
      <w:r w:rsidR="003E7651" w:rsidRPr="008813DE">
        <w:rPr>
          <w:rFonts w:ascii="Arial" w:hAnsi="Arial" w:cs="Arial"/>
          <w:i/>
          <w:sz w:val="26"/>
          <w:szCs w:val="26"/>
        </w:rPr>
        <w:t xml:space="preserve"> of </w:t>
      </w:r>
      <w:r w:rsidR="0043020E">
        <w:rPr>
          <w:rFonts w:ascii="Arial" w:hAnsi="Arial" w:cs="Arial"/>
          <w:i/>
          <w:sz w:val="26"/>
          <w:szCs w:val="26"/>
        </w:rPr>
        <w:t>issue</w:t>
      </w:r>
      <w:r w:rsidR="003E7651" w:rsidRPr="008813DE">
        <w:rPr>
          <w:rFonts w:ascii="Arial" w:hAnsi="Arial" w:cs="Arial"/>
          <w:i/>
          <w:sz w:val="26"/>
          <w:szCs w:val="26"/>
        </w:rPr>
        <w:t>s</w:t>
      </w:r>
      <w:r w:rsidR="0043020E">
        <w:rPr>
          <w:rFonts w:ascii="Arial" w:hAnsi="Arial" w:cs="Arial"/>
          <w:i/>
          <w:sz w:val="26"/>
          <w:szCs w:val="26"/>
        </w:rPr>
        <w:t>, which are summarised in Chapter 10</w:t>
      </w:r>
      <w:r w:rsidR="003E7651" w:rsidRPr="008813DE">
        <w:rPr>
          <w:rFonts w:ascii="Arial" w:hAnsi="Arial" w:cs="Arial"/>
          <w:i/>
          <w:sz w:val="26"/>
          <w:szCs w:val="26"/>
        </w:rPr>
        <w:t xml:space="preserve">.  </w:t>
      </w:r>
      <w:r w:rsidR="00AA24D6" w:rsidRPr="008813DE">
        <w:rPr>
          <w:rFonts w:ascii="Arial" w:hAnsi="Arial" w:cs="Arial"/>
          <w:i/>
          <w:sz w:val="26"/>
          <w:szCs w:val="26"/>
        </w:rPr>
        <w:t xml:space="preserve">The IWG would be grateful </w:t>
      </w:r>
      <w:r w:rsidR="003E7651" w:rsidRPr="008813DE">
        <w:rPr>
          <w:rFonts w:ascii="Arial" w:hAnsi="Arial" w:cs="Arial"/>
          <w:i/>
          <w:sz w:val="26"/>
          <w:szCs w:val="26"/>
        </w:rPr>
        <w:t xml:space="preserve">for </w:t>
      </w:r>
      <w:r w:rsidR="00AA24D6" w:rsidRPr="008813DE">
        <w:rPr>
          <w:rFonts w:ascii="Arial" w:hAnsi="Arial" w:cs="Arial"/>
          <w:i/>
          <w:sz w:val="26"/>
          <w:szCs w:val="26"/>
        </w:rPr>
        <w:t>comments on these issues, and any other</w:t>
      </w:r>
      <w:r w:rsidR="003E7651" w:rsidRPr="008813DE">
        <w:rPr>
          <w:rFonts w:ascii="Arial" w:hAnsi="Arial" w:cs="Arial"/>
          <w:i/>
          <w:sz w:val="26"/>
          <w:szCs w:val="26"/>
        </w:rPr>
        <w:t xml:space="preserve"> views,</w:t>
      </w:r>
      <w:r w:rsidR="00AA24D6" w:rsidRPr="008813DE">
        <w:rPr>
          <w:rFonts w:ascii="Arial" w:hAnsi="Arial" w:cs="Arial"/>
          <w:i/>
          <w:sz w:val="26"/>
          <w:szCs w:val="26"/>
        </w:rPr>
        <w:t xml:space="preserve"> comments </w:t>
      </w:r>
      <w:r w:rsidR="003E7651" w:rsidRPr="008813DE">
        <w:rPr>
          <w:rFonts w:ascii="Arial" w:hAnsi="Arial" w:cs="Arial"/>
          <w:i/>
          <w:sz w:val="26"/>
          <w:szCs w:val="26"/>
        </w:rPr>
        <w:t xml:space="preserve">or suggestions on any of the other </w:t>
      </w:r>
      <w:r w:rsidR="003057A1">
        <w:rPr>
          <w:rFonts w:ascii="Arial" w:hAnsi="Arial" w:cs="Arial"/>
          <w:i/>
          <w:sz w:val="26"/>
          <w:szCs w:val="26"/>
        </w:rPr>
        <w:t xml:space="preserve">relevant </w:t>
      </w:r>
      <w:r w:rsidR="003E7651" w:rsidRPr="008813DE">
        <w:rPr>
          <w:rFonts w:ascii="Arial" w:hAnsi="Arial" w:cs="Arial"/>
          <w:i/>
          <w:sz w:val="26"/>
          <w:szCs w:val="26"/>
        </w:rPr>
        <w:t xml:space="preserve">issues discussed in </w:t>
      </w:r>
      <w:r w:rsidR="00AA24D6" w:rsidRPr="008813DE">
        <w:rPr>
          <w:rFonts w:ascii="Arial" w:hAnsi="Arial" w:cs="Arial"/>
          <w:i/>
          <w:sz w:val="26"/>
          <w:szCs w:val="26"/>
        </w:rPr>
        <w:t xml:space="preserve">this Consultation Paper by </w:t>
      </w:r>
      <w:r w:rsidR="003057A1">
        <w:rPr>
          <w:rFonts w:ascii="Arial" w:hAnsi="Arial" w:cs="Arial"/>
          <w:i/>
          <w:sz w:val="26"/>
          <w:szCs w:val="26"/>
        </w:rPr>
        <w:t>31</w:t>
      </w:r>
      <w:r w:rsidR="00BE62E3">
        <w:rPr>
          <w:rFonts w:ascii="Arial" w:hAnsi="Arial" w:cs="Arial"/>
          <w:i/>
          <w:sz w:val="26"/>
          <w:szCs w:val="26"/>
        </w:rPr>
        <w:t xml:space="preserve"> </w:t>
      </w:r>
      <w:r w:rsidR="003057A1">
        <w:rPr>
          <w:rFonts w:ascii="Arial" w:hAnsi="Arial" w:cs="Arial"/>
          <w:i/>
          <w:sz w:val="26"/>
          <w:szCs w:val="26"/>
        </w:rPr>
        <w:t>October</w:t>
      </w:r>
      <w:r w:rsidR="00BE62E3">
        <w:rPr>
          <w:rFonts w:ascii="Arial" w:hAnsi="Arial" w:cs="Arial"/>
          <w:i/>
          <w:sz w:val="26"/>
          <w:szCs w:val="26"/>
        </w:rPr>
        <w:t xml:space="preserve"> 2017</w:t>
      </w:r>
      <w:r w:rsidR="00AA24D6" w:rsidRPr="008813DE">
        <w:rPr>
          <w:rFonts w:ascii="Arial" w:hAnsi="Arial" w:cs="Arial"/>
          <w:i/>
          <w:sz w:val="26"/>
          <w:szCs w:val="26"/>
        </w:rPr>
        <w:t>.  All correspondence should be addressed to:</w:t>
      </w: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adjustRightInd w:val="0"/>
        <w:jc w:val="both"/>
        <w:rPr>
          <w:rFonts w:ascii="Arial" w:hAnsi="Arial" w:cs="Arial"/>
          <w:i/>
          <w:sz w:val="26"/>
          <w:szCs w:val="26"/>
        </w:rPr>
      </w:pP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jc w:val="both"/>
        <w:rPr>
          <w:rFonts w:ascii="Arial" w:hAnsi="Arial" w:cs="Arial"/>
          <w:i/>
          <w:sz w:val="26"/>
          <w:szCs w:val="26"/>
        </w:rPr>
      </w:pPr>
      <w:r w:rsidRPr="008813DE">
        <w:rPr>
          <w:rFonts w:ascii="Arial" w:hAnsi="Arial" w:cs="Arial"/>
          <w:i/>
          <w:sz w:val="26"/>
          <w:szCs w:val="26"/>
        </w:rPr>
        <w:tab/>
        <w:t>The Secretary</w:t>
      </w: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jc w:val="both"/>
        <w:rPr>
          <w:rFonts w:ascii="Arial" w:hAnsi="Arial" w:cs="Arial"/>
          <w:i/>
          <w:sz w:val="26"/>
          <w:szCs w:val="26"/>
        </w:rPr>
      </w:pPr>
      <w:r w:rsidRPr="008813DE">
        <w:rPr>
          <w:rFonts w:ascii="Arial" w:hAnsi="Arial" w:cs="Arial"/>
          <w:i/>
          <w:sz w:val="26"/>
          <w:szCs w:val="26"/>
        </w:rPr>
        <w:tab/>
        <w:t>Inter-departmental Working Group</w:t>
      </w:r>
      <w:r w:rsidR="00D202DB">
        <w:rPr>
          <w:rFonts w:ascii="Arial" w:hAnsi="Arial" w:cs="Arial"/>
          <w:i/>
          <w:sz w:val="26"/>
          <w:szCs w:val="26"/>
        </w:rPr>
        <w:t xml:space="preserve"> </w:t>
      </w:r>
      <w:r w:rsidRPr="008813DE">
        <w:rPr>
          <w:rFonts w:ascii="Arial" w:hAnsi="Arial" w:cs="Arial"/>
          <w:i/>
          <w:sz w:val="26"/>
          <w:szCs w:val="26"/>
        </w:rPr>
        <w:t>on Gender Recognition</w:t>
      </w: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adjustRightInd w:val="0"/>
        <w:jc w:val="both"/>
        <w:rPr>
          <w:rFonts w:ascii="Arial" w:hAnsi="Arial" w:cs="Arial"/>
          <w:i/>
          <w:sz w:val="26"/>
          <w:szCs w:val="26"/>
        </w:rPr>
      </w:pPr>
      <w:r w:rsidRPr="008813DE">
        <w:rPr>
          <w:rFonts w:ascii="Arial" w:hAnsi="Arial" w:cs="Arial"/>
          <w:i/>
          <w:sz w:val="26"/>
          <w:szCs w:val="26"/>
        </w:rPr>
        <w:tab/>
      </w:r>
      <w:r w:rsidR="00DB760D">
        <w:rPr>
          <w:rFonts w:ascii="Arial" w:hAnsi="Arial" w:cs="Arial"/>
          <w:i/>
          <w:sz w:val="26"/>
          <w:szCs w:val="26"/>
        </w:rPr>
        <w:t>5</w:t>
      </w:r>
      <w:r w:rsidRPr="008813DE">
        <w:rPr>
          <w:rFonts w:ascii="Arial" w:hAnsi="Arial" w:cs="Arial"/>
          <w:i/>
          <w:sz w:val="26"/>
          <w:szCs w:val="26"/>
        </w:rPr>
        <w:t>th Floor, East Wing, Justice Place</w:t>
      </w: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jc w:val="both"/>
        <w:rPr>
          <w:rFonts w:ascii="Arial" w:hAnsi="Arial" w:cs="Arial"/>
          <w:i/>
          <w:sz w:val="26"/>
          <w:szCs w:val="26"/>
        </w:rPr>
      </w:pPr>
      <w:r w:rsidRPr="008813DE">
        <w:rPr>
          <w:rFonts w:ascii="Arial" w:hAnsi="Arial" w:cs="Arial"/>
          <w:i/>
          <w:sz w:val="26"/>
          <w:szCs w:val="26"/>
        </w:rPr>
        <w:tab/>
        <w:t>18 Lower Albert Road</w:t>
      </w:r>
    </w:p>
    <w:p w:rsidR="003E7651" w:rsidRPr="008813DE" w:rsidRDefault="00905DED"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jc w:val="both"/>
        <w:rPr>
          <w:rFonts w:ascii="Arial" w:hAnsi="Arial" w:cs="Arial"/>
          <w:i/>
          <w:sz w:val="26"/>
          <w:szCs w:val="26"/>
        </w:rPr>
      </w:pPr>
      <w:r w:rsidRPr="008813DE">
        <w:rPr>
          <w:rFonts w:ascii="Arial" w:hAnsi="Arial" w:cs="Arial"/>
          <w:i/>
          <w:sz w:val="26"/>
          <w:szCs w:val="26"/>
        </w:rPr>
        <w:tab/>
        <w:t xml:space="preserve">Central </w:t>
      </w:r>
    </w:p>
    <w:p w:rsidR="00AA24D6" w:rsidRPr="008813DE" w:rsidRDefault="003E7651"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jc w:val="both"/>
        <w:rPr>
          <w:rFonts w:ascii="Arial" w:hAnsi="Arial" w:cs="Arial"/>
          <w:i/>
          <w:sz w:val="26"/>
          <w:szCs w:val="26"/>
        </w:rPr>
      </w:pPr>
      <w:r w:rsidRPr="008813DE">
        <w:rPr>
          <w:rFonts w:ascii="Arial" w:hAnsi="Arial" w:cs="Arial"/>
          <w:i/>
          <w:sz w:val="26"/>
          <w:szCs w:val="26"/>
        </w:rPr>
        <w:tab/>
      </w:r>
      <w:r w:rsidR="00AA24D6" w:rsidRPr="008813DE">
        <w:rPr>
          <w:rFonts w:ascii="Arial" w:hAnsi="Arial" w:cs="Arial"/>
          <w:i/>
          <w:sz w:val="26"/>
          <w:szCs w:val="26"/>
        </w:rPr>
        <w:t>Hong Kong</w:t>
      </w: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tabs>
          <w:tab w:val="left" w:pos="1440"/>
        </w:tabs>
        <w:jc w:val="both"/>
        <w:rPr>
          <w:rFonts w:ascii="Arial" w:hAnsi="Arial" w:cs="Arial"/>
          <w:i/>
          <w:sz w:val="26"/>
          <w:szCs w:val="26"/>
        </w:rPr>
      </w:pPr>
    </w:p>
    <w:p w:rsidR="00AA24D6" w:rsidRPr="008813DE" w:rsidRDefault="00AA24D6" w:rsidP="00905DED">
      <w:pPr>
        <w:pBdr>
          <w:top w:val="single" w:sz="12" w:space="15" w:color="auto"/>
          <w:left w:val="single" w:sz="12" w:space="15" w:color="auto"/>
          <w:bottom w:val="single" w:sz="12" w:space="15" w:color="auto"/>
          <w:right w:val="single" w:sz="12" w:space="15" w:color="auto"/>
        </w:pBdr>
        <w:shd w:val="pct10" w:color="auto" w:fill="FFFFFF"/>
        <w:tabs>
          <w:tab w:val="left" w:pos="1440"/>
        </w:tabs>
        <w:jc w:val="both"/>
        <w:rPr>
          <w:rFonts w:ascii="Arial" w:hAnsi="Arial" w:cs="Arial"/>
          <w:i/>
          <w:sz w:val="26"/>
          <w:szCs w:val="26"/>
        </w:rPr>
      </w:pPr>
      <w:r w:rsidRPr="008813DE">
        <w:rPr>
          <w:rFonts w:ascii="Arial" w:hAnsi="Arial" w:cs="Arial"/>
          <w:i/>
          <w:sz w:val="26"/>
          <w:szCs w:val="26"/>
        </w:rPr>
        <w:tab/>
        <w:t>Telephone:</w:t>
      </w:r>
      <w:r w:rsidRPr="008813DE">
        <w:rPr>
          <w:rFonts w:ascii="Arial" w:hAnsi="Arial" w:cs="Arial"/>
          <w:i/>
          <w:sz w:val="26"/>
          <w:szCs w:val="26"/>
        </w:rPr>
        <w:tab/>
        <w:t>(852)</w:t>
      </w:r>
      <w:r w:rsidR="002A65AA">
        <w:rPr>
          <w:rFonts w:ascii="Arial" w:hAnsi="Arial" w:cs="Arial"/>
          <w:i/>
          <w:sz w:val="26"/>
          <w:szCs w:val="26"/>
        </w:rPr>
        <w:t xml:space="preserve"> 3918 40</w:t>
      </w:r>
      <w:r w:rsidR="004B2E7E">
        <w:rPr>
          <w:rFonts w:ascii="Arial" w:hAnsi="Arial" w:cs="Arial"/>
          <w:i/>
          <w:sz w:val="26"/>
          <w:szCs w:val="26"/>
        </w:rPr>
        <w:t>33</w:t>
      </w:r>
    </w:p>
    <w:p w:rsidR="00AA24D6" w:rsidRPr="008813DE" w:rsidRDefault="00AA24D6" w:rsidP="00905DED">
      <w:pPr>
        <w:pStyle w:val="NormalIndent"/>
        <w:pBdr>
          <w:top w:val="single" w:sz="12" w:space="15" w:color="auto"/>
          <w:left w:val="single" w:sz="12" w:space="15" w:color="auto"/>
          <w:bottom w:val="single" w:sz="12" w:space="15" w:color="auto"/>
          <w:right w:val="single" w:sz="12" w:space="15" w:color="auto"/>
        </w:pBdr>
        <w:shd w:val="pct10" w:color="auto" w:fill="FFFFFF"/>
        <w:tabs>
          <w:tab w:val="left" w:pos="1440"/>
        </w:tabs>
        <w:ind w:left="0"/>
        <w:rPr>
          <w:rFonts w:cs="Arial"/>
          <w:i/>
          <w:sz w:val="26"/>
          <w:szCs w:val="26"/>
        </w:rPr>
      </w:pPr>
      <w:r w:rsidRPr="008813DE">
        <w:rPr>
          <w:rFonts w:cs="Arial"/>
          <w:i/>
          <w:sz w:val="26"/>
          <w:szCs w:val="26"/>
        </w:rPr>
        <w:tab/>
        <w:t>Fax:</w:t>
      </w:r>
      <w:r w:rsidRPr="008813DE">
        <w:rPr>
          <w:rFonts w:cs="Arial"/>
          <w:i/>
          <w:sz w:val="26"/>
          <w:szCs w:val="26"/>
        </w:rPr>
        <w:tab/>
      </w:r>
      <w:r w:rsidRPr="008813DE">
        <w:rPr>
          <w:rFonts w:cs="Arial"/>
          <w:i/>
          <w:sz w:val="26"/>
          <w:szCs w:val="26"/>
        </w:rPr>
        <w:tab/>
        <w:t xml:space="preserve">(852) </w:t>
      </w:r>
      <w:r w:rsidR="002A65AA">
        <w:rPr>
          <w:rFonts w:cs="Arial"/>
          <w:i/>
          <w:sz w:val="26"/>
          <w:szCs w:val="26"/>
        </w:rPr>
        <w:t>3918 4</w:t>
      </w:r>
      <w:r w:rsidR="009D74BD">
        <w:rPr>
          <w:rFonts w:cs="Arial"/>
          <w:i/>
          <w:sz w:val="26"/>
          <w:szCs w:val="26"/>
        </w:rPr>
        <w:t>799</w:t>
      </w:r>
    </w:p>
    <w:p w:rsidR="00AA24D6" w:rsidRPr="008813DE" w:rsidRDefault="00AA24D6" w:rsidP="00AA24D6">
      <w:pPr>
        <w:pStyle w:val="NormalIndent"/>
        <w:pBdr>
          <w:top w:val="single" w:sz="12" w:space="15" w:color="auto"/>
          <w:left w:val="single" w:sz="12" w:space="15" w:color="auto"/>
          <w:bottom w:val="single" w:sz="12" w:space="15" w:color="auto"/>
          <w:right w:val="single" w:sz="12" w:space="15" w:color="auto"/>
        </w:pBdr>
        <w:shd w:val="pct10" w:color="auto" w:fill="FFFFFF"/>
        <w:tabs>
          <w:tab w:val="left" w:pos="1440"/>
          <w:tab w:val="left" w:pos="2880"/>
        </w:tabs>
        <w:adjustRightInd w:val="0"/>
        <w:ind w:left="0"/>
        <w:rPr>
          <w:rFonts w:cs="Arial"/>
          <w:i/>
          <w:sz w:val="26"/>
          <w:szCs w:val="26"/>
        </w:rPr>
      </w:pPr>
      <w:r w:rsidRPr="008813DE">
        <w:rPr>
          <w:rFonts w:cs="Arial"/>
          <w:i/>
          <w:sz w:val="26"/>
          <w:szCs w:val="26"/>
        </w:rPr>
        <w:tab/>
        <w:t>E-mail:</w:t>
      </w:r>
      <w:r w:rsidRPr="008813DE">
        <w:rPr>
          <w:rFonts w:cs="Arial"/>
          <w:i/>
          <w:sz w:val="26"/>
          <w:szCs w:val="26"/>
        </w:rPr>
        <w:tab/>
      </w:r>
      <w:hyperlink r:id="rId11" w:history="1">
        <w:r w:rsidR="00410266" w:rsidRPr="00D338B7">
          <w:rPr>
            <w:rStyle w:val="Hyperlink"/>
            <w:rFonts w:cs="Arial"/>
            <w:i/>
            <w:sz w:val="26"/>
            <w:szCs w:val="26"/>
          </w:rPr>
          <w:t>iwggr@doj.gov.hk</w:t>
        </w:r>
      </w:hyperlink>
      <w:r w:rsidR="00410266">
        <w:rPr>
          <w:rFonts w:cs="Arial"/>
          <w:i/>
          <w:sz w:val="26"/>
          <w:szCs w:val="26"/>
        </w:rPr>
        <w:t xml:space="preserve"> </w:t>
      </w:r>
    </w:p>
    <w:p w:rsidR="00AA24D6" w:rsidRPr="008813DE" w:rsidRDefault="00AA24D6" w:rsidP="00AA24D6">
      <w:pPr>
        <w:pStyle w:val="NormalIndent"/>
        <w:pBdr>
          <w:top w:val="single" w:sz="12" w:space="15" w:color="auto"/>
          <w:left w:val="single" w:sz="12" w:space="15" w:color="auto"/>
          <w:bottom w:val="single" w:sz="12" w:space="15" w:color="auto"/>
          <w:right w:val="single" w:sz="12" w:space="15" w:color="auto"/>
        </w:pBdr>
        <w:shd w:val="pct10" w:color="auto" w:fill="FFFFFF"/>
        <w:adjustRightInd w:val="0"/>
        <w:ind w:left="0"/>
        <w:rPr>
          <w:rFonts w:cs="Arial"/>
          <w:i/>
          <w:sz w:val="26"/>
          <w:szCs w:val="26"/>
        </w:rPr>
      </w:pPr>
    </w:p>
    <w:p w:rsidR="00AA24D6" w:rsidRPr="008813DE" w:rsidRDefault="00AA24D6" w:rsidP="00AA24D6">
      <w:pPr>
        <w:pStyle w:val="NormalIndent"/>
        <w:pBdr>
          <w:top w:val="single" w:sz="12" w:space="15" w:color="auto"/>
          <w:left w:val="single" w:sz="12" w:space="15" w:color="auto"/>
          <w:bottom w:val="single" w:sz="12" w:space="15" w:color="auto"/>
          <w:right w:val="single" w:sz="12" w:space="15" w:color="auto"/>
        </w:pBdr>
        <w:shd w:val="pct10" w:color="auto" w:fill="FFFFFF"/>
        <w:adjustRightInd w:val="0"/>
        <w:ind w:left="0"/>
        <w:rPr>
          <w:rFonts w:cs="Arial"/>
          <w:i/>
          <w:sz w:val="26"/>
          <w:szCs w:val="26"/>
        </w:rPr>
      </w:pPr>
      <w:r w:rsidRPr="008813DE">
        <w:rPr>
          <w:rFonts w:cs="Arial"/>
          <w:i/>
          <w:sz w:val="26"/>
          <w:szCs w:val="26"/>
        </w:rPr>
        <w:t xml:space="preserve">It may be helpful for the IWG, either in discussion with others or in any subsequent report, to be able to refer to and attribute comments submitted in response to this Consultation Paper.  Any request to treat all or part of a response in confidence will, of course, be respected, but if no such request is made, the </w:t>
      </w:r>
      <w:r w:rsidR="007F7647" w:rsidRPr="008813DE">
        <w:rPr>
          <w:rFonts w:cs="Arial"/>
          <w:i/>
          <w:sz w:val="26"/>
          <w:szCs w:val="26"/>
        </w:rPr>
        <w:t>IWG</w:t>
      </w:r>
      <w:r w:rsidRPr="008813DE">
        <w:rPr>
          <w:rFonts w:cs="Arial"/>
          <w:i/>
          <w:sz w:val="26"/>
          <w:szCs w:val="26"/>
        </w:rPr>
        <w:t xml:space="preserve"> will assume that the response is not intended to be confidential.</w:t>
      </w:r>
    </w:p>
    <w:p w:rsidR="00AA24D6" w:rsidRPr="008813DE" w:rsidRDefault="00AA24D6" w:rsidP="00AA24D6">
      <w:pPr>
        <w:pBdr>
          <w:top w:val="single" w:sz="12" w:space="15" w:color="auto"/>
          <w:left w:val="single" w:sz="12" w:space="15" w:color="auto"/>
          <w:bottom w:val="single" w:sz="12" w:space="15" w:color="auto"/>
          <w:right w:val="single" w:sz="12" w:space="15" w:color="auto"/>
        </w:pBdr>
        <w:shd w:val="pct10" w:color="auto" w:fill="FFFFFF"/>
        <w:adjustRightInd w:val="0"/>
        <w:jc w:val="both"/>
        <w:rPr>
          <w:rFonts w:ascii="Arial" w:hAnsi="Arial" w:cs="Arial"/>
          <w:sz w:val="26"/>
          <w:szCs w:val="26"/>
          <w:lang w:val="en-GB"/>
        </w:rPr>
      </w:pPr>
    </w:p>
    <w:p w:rsidR="00AA24D6" w:rsidRPr="008813DE" w:rsidRDefault="007F7647" w:rsidP="00AA24D6">
      <w:pPr>
        <w:pStyle w:val="NormalIndent"/>
        <w:pBdr>
          <w:top w:val="single" w:sz="12" w:space="15" w:color="auto"/>
          <w:left w:val="single" w:sz="12" w:space="15" w:color="auto"/>
          <w:bottom w:val="single" w:sz="12" w:space="15" w:color="auto"/>
          <w:right w:val="single" w:sz="12" w:space="15" w:color="auto"/>
        </w:pBdr>
        <w:shd w:val="pct10" w:color="auto" w:fill="FFFFFF"/>
        <w:adjustRightInd w:val="0"/>
        <w:ind w:left="0"/>
        <w:rPr>
          <w:rFonts w:cs="Arial"/>
          <w:i/>
          <w:sz w:val="26"/>
          <w:szCs w:val="26"/>
        </w:rPr>
      </w:pPr>
      <w:r w:rsidRPr="008813DE">
        <w:rPr>
          <w:rFonts w:cs="Arial"/>
          <w:i/>
          <w:sz w:val="26"/>
          <w:szCs w:val="26"/>
        </w:rPr>
        <w:t xml:space="preserve">The IWG </w:t>
      </w:r>
      <w:r w:rsidR="00905DED" w:rsidRPr="008813DE">
        <w:rPr>
          <w:rFonts w:cs="Arial"/>
          <w:i/>
          <w:sz w:val="26"/>
          <w:szCs w:val="26"/>
        </w:rPr>
        <w:t xml:space="preserve">may </w:t>
      </w:r>
      <w:r w:rsidR="00AA24D6" w:rsidRPr="008813DE">
        <w:rPr>
          <w:rFonts w:cs="Arial"/>
          <w:i/>
          <w:sz w:val="26"/>
          <w:szCs w:val="26"/>
        </w:rPr>
        <w:t xml:space="preserve">acknowledge by name in </w:t>
      </w:r>
      <w:r w:rsidR="00836AC2" w:rsidRPr="008813DE">
        <w:rPr>
          <w:rFonts w:cs="Arial"/>
          <w:i/>
          <w:sz w:val="26"/>
          <w:szCs w:val="26"/>
        </w:rPr>
        <w:t xml:space="preserve">subsequent document or </w:t>
      </w:r>
      <w:r w:rsidR="00AA24D6" w:rsidRPr="008813DE">
        <w:rPr>
          <w:rFonts w:cs="Arial"/>
          <w:i/>
          <w:sz w:val="26"/>
          <w:szCs w:val="26"/>
        </w:rPr>
        <w:t xml:space="preserve">report anyone who responds to </w:t>
      </w:r>
      <w:r w:rsidRPr="008813DE">
        <w:rPr>
          <w:rFonts w:cs="Arial"/>
          <w:i/>
          <w:sz w:val="26"/>
          <w:szCs w:val="26"/>
        </w:rPr>
        <w:t>this</w:t>
      </w:r>
      <w:r w:rsidR="00AA24D6" w:rsidRPr="008813DE">
        <w:rPr>
          <w:rFonts w:cs="Arial"/>
          <w:i/>
          <w:sz w:val="26"/>
          <w:szCs w:val="26"/>
        </w:rPr>
        <w:t xml:space="preserve"> </w:t>
      </w:r>
      <w:r w:rsidRPr="008813DE">
        <w:rPr>
          <w:rFonts w:cs="Arial"/>
          <w:i/>
          <w:sz w:val="26"/>
          <w:szCs w:val="26"/>
        </w:rPr>
        <w:t>C</w:t>
      </w:r>
      <w:r w:rsidR="00AA24D6" w:rsidRPr="008813DE">
        <w:rPr>
          <w:rFonts w:cs="Arial"/>
          <w:i/>
          <w:sz w:val="26"/>
          <w:szCs w:val="26"/>
        </w:rPr>
        <w:t xml:space="preserve">onsultation </w:t>
      </w:r>
      <w:r w:rsidRPr="008813DE">
        <w:rPr>
          <w:rFonts w:cs="Arial"/>
          <w:i/>
          <w:sz w:val="26"/>
          <w:szCs w:val="26"/>
        </w:rPr>
        <w:t>P</w:t>
      </w:r>
      <w:r w:rsidR="00AA24D6" w:rsidRPr="008813DE">
        <w:rPr>
          <w:rFonts w:cs="Arial"/>
          <w:i/>
          <w:sz w:val="26"/>
          <w:szCs w:val="26"/>
        </w:rPr>
        <w:t>aper.  If you do not wish such an acknowledgment, please say so in your response.</w:t>
      </w:r>
    </w:p>
    <w:p w:rsidR="00AA24D6" w:rsidRPr="00C57CE1" w:rsidRDefault="00AA24D6" w:rsidP="00915161">
      <w:pPr>
        <w:adjustRightInd w:val="0"/>
        <w:snapToGrid w:val="0"/>
        <w:jc w:val="both"/>
        <w:rPr>
          <w:rFonts w:ascii="Arial" w:hAnsi="Arial" w:cs="Arial"/>
          <w:i/>
          <w:sz w:val="20"/>
          <w:szCs w:val="20"/>
          <w:lang w:val="en-GB"/>
        </w:rPr>
      </w:pPr>
    </w:p>
    <w:p w:rsidR="005850D5" w:rsidRDefault="005850D5">
      <w:pPr>
        <w:widowControl/>
        <w:rPr>
          <w:rFonts w:ascii="Arial" w:hAnsi="Arial" w:cs="Arial"/>
          <w:b/>
          <w:szCs w:val="24"/>
          <w:lang w:val="en-GB"/>
        </w:rPr>
      </w:pPr>
    </w:p>
    <w:p w:rsidR="00D97030" w:rsidRDefault="00D97030">
      <w:pPr>
        <w:widowControl/>
        <w:rPr>
          <w:rFonts w:ascii="Arial" w:hAnsi="Arial" w:cs="Arial"/>
          <w:b/>
          <w:szCs w:val="24"/>
          <w:lang w:val="en-GB"/>
        </w:rPr>
      </w:pPr>
      <w:r>
        <w:rPr>
          <w:rFonts w:ascii="Arial" w:hAnsi="Arial" w:cs="Arial"/>
          <w:b/>
          <w:szCs w:val="24"/>
          <w:lang w:val="en-GB"/>
        </w:rPr>
        <w:lastRenderedPageBreak/>
        <w:br w:type="page"/>
      </w:r>
    </w:p>
    <w:p w:rsidR="00D97030" w:rsidRDefault="00D97030">
      <w:pPr>
        <w:widowControl/>
        <w:rPr>
          <w:rFonts w:ascii="Arial" w:hAnsi="Arial" w:cs="Arial"/>
          <w:b/>
          <w:szCs w:val="24"/>
          <w:lang w:val="en-GB"/>
        </w:rPr>
        <w:sectPr w:rsidR="00D97030" w:rsidSect="00835703">
          <w:footerReference w:type="default" r:id="rId12"/>
          <w:footerReference w:type="first" r:id="rId13"/>
          <w:pgSz w:w="11906" w:h="16838"/>
          <w:pgMar w:top="1440" w:right="1800" w:bottom="1440" w:left="1800" w:header="851" w:footer="992" w:gutter="0"/>
          <w:cols w:space="425"/>
          <w:titlePg/>
          <w:docGrid w:type="lines" w:linePitch="360"/>
        </w:sectPr>
      </w:pPr>
    </w:p>
    <w:p w:rsidR="00C63879" w:rsidRDefault="00C63879" w:rsidP="008813DE">
      <w:pPr>
        <w:adjustRightInd w:val="0"/>
        <w:snapToGrid w:val="0"/>
        <w:jc w:val="both"/>
        <w:rPr>
          <w:rFonts w:ascii="Arial" w:hAnsi="Arial" w:cs="Arial"/>
          <w:b/>
          <w:sz w:val="32"/>
          <w:szCs w:val="32"/>
          <w:lang w:val="en-GB"/>
        </w:rPr>
      </w:pPr>
      <w:r>
        <w:rPr>
          <w:rFonts w:ascii="Arial" w:hAnsi="Arial" w:cs="Arial"/>
          <w:b/>
          <w:sz w:val="32"/>
          <w:szCs w:val="32"/>
          <w:lang w:val="en-GB"/>
        </w:rPr>
        <w:lastRenderedPageBreak/>
        <w:t>INTER-DEPARTMENTAL WORKING GROUP</w:t>
      </w:r>
    </w:p>
    <w:p w:rsidR="00C63879" w:rsidRDefault="00C63879" w:rsidP="008813DE">
      <w:pPr>
        <w:adjustRightInd w:val="0"/>
        <w:snapToGrid w:val="0"/>
        <w:jc w:val="both"/>
        <w:rPr>
          <w:rFonts w:ascii="Arial" w:hAnsi="Arial" w:cs="Arial"/>
          <w:b/>
          <w:sz w:val="32"/>
          <w:szCs w:val="32"/>
          <w:lang w:val="en-GB"/>
        </w:rPr>
      </w:pPr>
      <w:r>
        <w:rPr>
          <w:rFonts w:ascii="Arial" w:hAnsi="Arial" w:cs="Arial"/>
          <w:b/>
          <w:sz w:val="32"/>
          <w:szCs w:val="32"/>
          <w:lang w:val="en-GB"/>
        </w:rPr>
        <w:t>ON GENDER RECOGNITION</w:t>
      </w:r>
    </w:p>
    <w:p w:rsidR="00C63879" w:rsidRDefault="00C63879" w:rsidP="008813DE">
      <w:pPr>
        <w:adjustRightInd w:val="0"/>
        <w:snapToGrid w:val="0"/>
        <w:jc w:val="both"/>
        <w:rPr>
          <w:rFonts w:ascii="Arial" w:hAnsi="Arial" w:cs="Arial"/>
          <w:b/>
          <w:sz w:val="32"/>
          <w:szCs w:val="32"/>
          <w:lang w:val="en-GB"/>
        </w:rPr>
      </w:pPr>
    </w:p>
    <w:p w:rsidR="00C63879" w:rsidRPr="008813DE" w:rsidRDefault="00C63879" w:rsidP="008813DE">
      <w:pPr>
        <w:adjustRightInd w:val="0"/>
        <w:snapToGrid w:val="0"/>
        <w:jc w:val="both"/>
        <w:rPr>
          <w:rFonts w:ascii="Arial" w:hAnsi="Arial" w:cs="Arial"/>
          <w:b/>
          <w:sz w:val="28"/>
          <w:szCs w:val="28"/>
          <w:lang w:val="en-GB"/>
        </w:rPr>
      </w:pPr>
      <w:r w:rsidRPr="008813DE">
        <w:rPr>
          <w:rFonts w:ascii="Arial" w:hAnsi="Arial" w:cs="Arial"/>
          <w:b/>
          <w:sz w:val="28"/>
          <w:szCs w:val="28"/>
          <w:lang w:val="en-GB"/>
        </w:rPr>
        <w:t>CONSULTATION PAPER: PART 1</w:t>
      </w:r>
    </w:p>
    <w:p w:rsidR="00C63879" w:rsidRPr="008813DE" w:rsidRDefault="00C63879" w:rsidP="008813DE">
      <w:pPr>
        <w:adjustRightInd w:val="0"/>
        <w:snapToGrid w:val="0"/>
        <w:jc w:val="both"/>
        <w:rPr>
          <w:rFonts w:ascii="Arial" w:hAnsi="Arial" w:cs="Arial"/>
          <w:b/>
          <w:sz w:val="28"/>
          <w:szCs w:val="28"/>
          <w:lang w:val="en-GB"/>
        </w:rPr>
      </w:pPr>
      <w:r w:rsidRPr="008813DE">
        <w:rPr>
          <w:rFonts w:ascii="Arial" w:hAnsi="Arial" w:cs="Arial"/>
          <w:b/>
          <w:sz w:val="28"/>
          <w:szCs w:val="28"/>
          <w:lang w:val="en-GB"/>
        </w:rPr>
        <w:t xml:space="preserve">GENDER RECOGNITION </w:t>
      </w:r>
    </w:p>
    <w:p w:rsidR="00C63879" w:rsidRPr="0028108F" w:rsidRDefault="00C63879" w:rsidP="00C63879">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w:t>
      </w:r>
      <w:r>
        <w:rPr>
          <w:rFonts w:ascii="Arial" w:hAnsi="Arial" w:cs="Arial"/>
          <w:b/>
          <w:sz w:val="32"/>
          <w:szCs w:val="32"/>
          <w:lang w:val="en-GB"/>
        </w:rPr>
        <w:t>___________________</w:t>
      </w:r>
    </w:p>
    <w:p w:rsidR="00C63879" w:rsidRDefault="00C63879" w:rsidP="008813DE">
      <w:pPr>
        <w:adjustRightInd w:val="0"/>
        <w:snapToGrid w:val="0"/>
        <w:jc w:val="both"/>
        <w:rPr>
          <w:rFonts w:ascii="Arial" w:hAnsi="Arial" w:cs="Arial"/>
          <w:b/>
          <w:sz w:val="32"/>
          <w:szCs w:val="32"/>
          <w:lang w:val="en-GB"/>
        </w:rPr>
      </w:pPr>
    </w:p>
    <w:p w:rsidR="00C63879" w:rsidRDefault="00C63879" w:rsidP="008813DE">
      <w:pPr>
        <w:adjustRightInd w:val="0"/>
        <w:snapToGrid w:val="0"/>
        <w:jc w:val="both"/>
        <w:rPr>
          <w:rFonts w:ascii="Arial" w:hAnsi="Arial" w:cs="Arial"/>
          <w:b/>
          <w:sz w:val="32"/>
          <w:szCs w:val="32"/>
          <w:lang w:val="en-GB"/>
        </w:rPr>
      </w:pPr>
    </w:p>
    <w:p w:rsidR="00915161" w:rsidRPr="008813DE" w:rsidRDefault="00915161" w:rsidP="008813DE">
      <w:pPr>
        <w:adjustRightInd w:val="0"/>
        <w:snapToGrid w:val="0"/>
        <w:jc w:val="both"/>
        <w:rPr>
          <w:rFonts w:ascii="Arial" w:hAnsi="Arial" w:cs="Arial"/>
          <w:b/>
          <w:i/>
          <w:sz w:val="32"/>
          <w:szCs w:val="32"/>
          <w:lang w:val="en-GB"/>
        </w:rPr>
      </w:pPr>
      <w:r w:rsidRPr="008813DE">
        <w:rPr>
          <w:rFonts w:ascii="Arial" w:hAnsi="Arial" w:cs="Arial"/>
          <w:b/>
          <w:i/>
          <w:sz w:val="32"/>
          <w:szCs w:val="32"/>
          <w:lang w:val="en-GB"/>
        </w:rPr>
        <w:t>CONTENTS</w:t>
      </w:r>
    </w:p>
    <w:p w:rsidR="00915161" w:rsidRPr="008813DE" w:rsidRDefault="00915161" w:rsidP="00915161">
      <w:pPr>
        <w:adjustRightInd w:val="0"/>
        <w:snapToGrid w:val="0"/>
        <w:jc w:val="both"/>
        <w:rPr>
          <w:rFonts w:ascii="Arial" w:hAnsi="Arial" w:cs="Arial"/>
          <w:b/>
          <w:sz w:val="32"/>
          <w:szCs w:val="32"/>
          <w:lang w:val="en-GB"/>
        </w:rPr>
      </w:pPr>
    </w:p>
    <w:p w:rsidR="00915161" w:rsidRPr="008813DE" w:rsidRDefault="00915161" w:rsidP="008813DE">
      <w:pPr>
        <w:adjustRightInd w:val="0"/>
        <w:snapToGrid w:val="0"/>
        <w:jc w:val="both"/>
        <w:rPr>
          <w:rFonts w:ascii="Arial" w:hAnsi="Arial" w:cs="Arial"/>
          <w:b/>
          <w:sz w:val="32"/>
          <w:szCs w:val="32"/>
          <w:lang w:val="en-GB"/>
        </w:rPr>
      </w:pPr>
    </w:p>
    <w:tbl>
      <w:tblPr>
        <w:tblW w:w="8414" w:type="dxa"/>
        <w:tblInd w:w="-34" w:type="dxa"/>
        <w:tblLook w:val="01E0" w:firstRow="1" w:lastRow="1" w:firstColumn="1" w:lastColumn="1" w:noHBand="0" w:noVBand="0"/>
      </w:tblPr>
      <w:tblGrid>
        <w:gridCol w:w="7528"/>
        <w:gridCol w:w="411"/>
        <w:gridCol w:w="475"/>
      </w:tblGrid>
      <w:tr w:rsidR="00915161" w:rsidRPr="00725B6F" w:rsidTr="008813DE">
        <w:trPr>
          <w:tblHeader/>
        </w:trPr>
        <w:tc>
          <w:tcPr>
            <w:tcW w:w="7528" w:type="dxa"/>
          </w:tcPr>
          <w:p w:rsidR="00915161" w:rsidRPr="00725B6F" w:rsidRDefault="00915161" w:rsidP="00725B6F">
            <w:pPr>
              <w:tabs>
                <w:tab w:val="left" w:pos="1440"/>
              </w:tabs>
              <w:adjustRightInd w:val="0"/>
              <w:snapToGrid w:val="0"/>
              <w:rPr>
                <w:rFonts w:ascii="Arial" w:hAnsi="Arial" w:cs="Arial"/>
                <w:b/>
                <w:i/>
                <w:szCs w:val="24"/>
                <w:lang w:val="en-GB"/>
              </w:rPr>
            </w:pPr>
            <w:r w:rsidRPr="00725B6F">
              <w:rPr>
                <w:rFonts w:ascii="Arial" w:hAnsi="Arial" w:cs="Arial"/>
                <w:b/>
                <w:i/>
                <w:szCs w:val="24"/>
                <w:lang w:val="en-GB"/>
              </w:rPr>
              <w:t>Chapter</w:t>
            </w:r>
          </w:p>
        </w:tc>
        <w:tc>
          <w:tcPr>
            <w:tcW w:w="886" w:type="dxa"/>
            <w:gridSpan w:val="2"/>
          </w:tcPr>
          <w:p w:rsidR="00915161" w:rsidRPr="00725B6F" w:rsidRDefault="00915161" w:rsidP="00725B6F">
            <w:pPr>
              <w:tabs>
                <w:tab w:val="left" w:pos="1440"/>
              </w:tabs>
              <w:adjustRightInd w:val="0"/>
              <w:snapToGrid w:val="0"/>
              <w:jc w:val="center"/>
              <w:rPr>
                <w:rFonts w:ascii="Arial" w:hAnsi="Arial" w:cs="Arial"/>
                <w:b/>
                <w:i/>
                <w:szCs w:val="24"/>
                <w:lang w:val="en-GB"/>
              </w:rPr>
            </w:pPr>
            <w:r w:rsidRPr="00725B6F">
              <w:rPr>
                <w:rFonts w:ascii="Arial" w:hAnsi="Arial" w:cs="Arial"/>
                <w:b/>
                <w:i/>
                <w:szCs w:val="24"/>
                <w:lang w:val="en-GB"/>
              </w:rPr>
              <w:t>Page</w:t>
            </w:r>
          </w:p>
        </w:tc>
      </w:tr>
      <w:tr w:rsidR="00915161" w:rsidRPr="0028108F" w:rsidTr="008813DE">
        <w:trPr>
          <w:tblHeader/>
        </w:trPr>
        <w:tc>
          <w:tcPr>
            <w:tcW w:w="7528" w:type="dxa"/>
          </w:tcPr>
          <w:p w:rsidR="00915161" w:rsidRPr="00181CF2" w:rsidRDefault="00915161" w:rsidP="00725B6F">
            <w:pPr>
              <w:tabs>
                <w:tab w:val="left" w:pos="1440"/>
              </w:tabs>
              <w:adjustRightInd w:val="0"/>
              <w:snapToGrid w:val="0"/>
              <w:rPr>
                <w:rFonts w:ascii="Arial" w:hAnsi="Arial" w:cs="Arial"/>
                <w:b/>
                <w:szCs w:val="24"/>
                <w:lang w:val="en-GB"/>
              </w:rPr>
            </w:pPr>
          </w:p>
        </w:tc>
        <w:tc>
          <w:tcPr>
            <w:tcW w:w="886" w:type="dxa"/>
            <w:gridSpan w:val="2"/>
          </w:tcPr>
          <w:p w:rsidR="00915161" w:rsidRPr="00C57CE1" w:rsidRDefault="00915161" w:rsidP="00725B6F">
            <w:pPr>
              <w:tabs>
                <w:tab w:val="left" w:pos="1440"/>
              </w:tabs>
              <w:adjustRightInd w:val="0"/>
              <w:snapToGrid w:val="0"/>
              <w:jc w:val="center"/>
              <w:rPr>
                <w:rFonts w:ascii="Arial" w:hAnsi="Arial" w:cs="Arial"/>
                <w:szCs w:val="24"/>
                <w:lang w:val="en-GB"/>
              </w:rPr>
            </w:pP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lang w:val="en-GB"/>
              </w:rPr>
            </w:pPr>
            <w:r w:rsidRPr="00181CF2">
              <w:rPr>
                <w:rFonts w:ascii="Arial" w:hAnsi="Arial" w:cs="Arial"/>
                <w:b/>
                <w:szCs w:val="24"/>
                <w:lang w:val="en-GB"/>
              </w:rPr>
              <w:t>Preface</w:t>
            </w:r>
          </w:p>
          <w:p w:rsidR="00725B6F" w:rsidRPr="00181CF2" w:rsidRDefault="00725B6F" w:rsidP="00725B6F">
            <w:pPr>
              <w:tabs>
                <w:tab w:val="left" w:pos="1440"/>
              </w:tabs>
              <w:adjustRightInd w:val="0"/>
              <w:snapToGrid w:val="0"/>
              <w:rPr>
                <w:rFonts w:ascii="Arial" w:hAnsi="Arial" w:cs="Arial"/>
                <w:b/>
                <w:szCs w:val="24"/>
                <w:lang w:val="en-GB"/>
              </w:rPr>
            </w:pPr>
          </w:p>
        </w:tc>
        <w:tc>
          <w:tcPr>
            <w:tcW w:w="886" w:type="dxa"/>
            <w:gridSpan w:val="2"/>
          </w:tcPr>
          <w:p w:rsidR="00E773F6" w:rsidRPr="00D34051" w:rsidRDefault="00D34051" w:rsidP="00725B6F">
            <w:pPr>
              <w:tabs>
                <w:tab w:val="left" w:pos="1440"/>
              </w:tabs>
              <w:adjustRightInd w:val="0"/>
              <w:snapToGrid w:val="0"/>
              <w:jc w:val="center"/>
              <w:rPr>
                <w:rFonts w:ascii="Arial" w:hAnsi="Arial" w:cs="Arial"/>
                <w:szCs w:val="24"/>
                <w:lang w:val="en-GB"/>
              </w:rPr>
            </w:pPr>
            <w:r>
              <w:rPr>
                <w:rFonts w:ascii="Arial" w:hAnsi="Arial" w:cs="Arial" w:hint="eastAsia"/>
                <w:szCs w:val="24"/>
                <w:lang w:val="en-GB"/>
              </w:rPr>
              <w:t>1</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Introduction</w:t>
            </w:r>
          </w:p>
        </w:tc>
        <w:tc>
          <w:tcPr>
            <w:tcW w:w="886" w:type="dxa"/>
            <w:gridSpan w:val="2"/>
          </w:tcPr>
          <w:p w:rsidR="00E773F6" w:rsidRPr="00C57CE1" w:rsidRDefault="00D34051" w:rsidP="00725B6F">
            <w:pPr>
              <w:tabs>
                <w:tab w:val="left" w:pos="1440"/>
              </w:tabs>
              <w:adjustRightInd w:val="0"/>
              <w:snapToGrid w:val="0"/>
              <w:jc w:val="center"/>
              <w:rPr>
                <w:rFonts w:ascii="Arial" w:hAnsi="Arial" w:cs="Arial"/>
                <w:szCs w:val="24"/>
                <w:lang w:val="en-GB"/>
              </w:rPr>
            </w:pPr>
            <w:r>
              <w:rPr>
                <w:rFonts w:ascii="Arial" w:hAnsi="Arial" w:cs="Arial" w:hint="eastAsia"/>
                <w:szCs w:val="24"/>
                <w:lang w:val="en-GB"/>
              </w:rPr>
              <w:t>1</w:t>
            </w:r>
          </w:p>
        </w:tc>
      </w:tr>
      <w:tr w:rsidR="00E773F6" w:rsidRPr="0028108F" w:rsidTr="008813DE">
        <w:tc>
          <w:tcPr>
            <w:tcW w:w="7528" w:type="dxa"/>
          </w:tcPr>
          <w:p w:rsidR="00E773F6" w:rsidRPr="0028108F" w:rsidRDefault="00E773F6" w:rsidP="008813DE">
            <w:pPr>
              <w:tabs>
                <w:tab w:val="left" w:pos="1440"/>
              </w:tabs>
              <w:adjustRightInd w:val="0"/>
              <w:snapToGrid w:val="0"/>
              <w:ind w:left="317" w:hangingChars="132" w:hanging="317"/>
              <w:rPr>
                <w:rFonts w:ascii="Arial" w:hAnsi="Arial" w:cs="Arial"/>
                <w:szCs w:val="24"/>
                <w:lang w:val="en-GB"/>
              </w:rPr>
            </w:pPr>
            <w:r w:rsidRPr="00181CF2">
              <w:rPr>
                <w:rFonts w:ascii="Arial" w:hAnsi="Arial" w:cs="Arial"/>
                <w:szCs w:val="24"/>
                <w:lang w:val="en-GB"/>
              </w:rPr>
              <w:t>Background to the establishment of the</w:t>
            </w:r>
            <w:r w:rsidR="00F47842" w:rsidRPr="00C57CE1">
              <w:rPr>
                <w:rFonts w:ascii="Arial" w:hAnsi="Arial" w:cs="Arial"/>
                <w:szCs w:val="24"/>
                <w:lang w:val="en-GB"/>
              </w:rPr>
              <w:t xml:space="preserve"> Inter-departmental Working Group on Gender Recognition</w:t>
            </w:r>
            <w:r w:rsidRPr="0028108F">
              <w:rPr>
                <w:rFonts w:ascii="Arial" w:hAnsi="Arial" w:cs="Arial"/>
                <w:szCs w:val="24"/>
                <w:lang w:val="en-GB"/>
              </w:rPr>
              <w:t xml:space="preserve"> </w:t>
            </w:r>
            <w:r w:rsidR="00F47842" w:rsidRPr="0028108F">
              <w:rPr>
                <w:rFonts w:ascii="Arial" w:hAnsi="Arial" w:cs="Arial"/>
                <w:szCs w:val="24"/>
                <w:lang w:val="en-GB"/>
              </w:rPr>
              <w:t>(</w:t>
            </w:r>
            <w:r w:rsidRPr="0028108F">
              <w:rPr>
                <w:rFonts w:ascii="Arial" w:hAnsi="Arial" w:cs="Arial"/>
                <w:szCs w:val="24"/>
                <w:lang w:val="en-GB"/>
              </w:rPr>
              <w:t>IWG</w:t>
            </w:r>
            <w:r w:rsidR="00F47842" w:rsidRPr="0028108F">
              <w:rPr>
                <w:rFonts w:ascii="Arial" w:hAnsi="Arial" w:cs="Arial"/>
                <w:szCs w:val="24"/>
                <w:lang w:val="en-GB"/>
              </w:rPr>
              <w:t>)</w:t>
            </w:r>
          </w:p>
        </w:tc>
        <w:tc>
          <w:tcPr>
            <w:tcW w:w="886" w:type="dxa"/>
            <w:gridSpan w:val="2"/>
          </w:tcPr>
          <w:p w:rsidR="00E773F6" w:rsidRPr="0028108F" w:rsidRDefault="00D34051" w:rsidP="00725B6F">
            <w:pPr>
              <w:tabs>
                <w:tab w:val="left" w:pos="1440"/>
              </w:tabs>
              <w:adjustRightInd w:val="0"/>
              <w:snapToGrid w:val="0"/>
              <w:jc w:val="center"/>
              <w:rPr>
                <w:rFonts w:ascii="Arial" w:hAnsi="Arial" w:cs="Arial"/>
                <w:szCs w:val="24"/>
                <w:lang w:val="en-GB"/>
              </w:rPr>
            </w:pPr>
            <w:r>
              <w:rPr>
                <w:rFonts w:ascii="Arial" w:hAnsi="Arial" w:cs="Arial" w:hint="eastAsia"/>
                <w:szCs w:val="24"/>
                <w:lang w:val="en-GB"/>
              </w:rPr>
              <w:t>2</w:t>
            </w:r>
          </w:p>
        </w:tc>
      </w:tr>
      <w:tr w:rsidR="00E773F6" w:rsidRPr="0028108F" w:rsidTr="008813DE">
        <w:tc>
          <w:tcPr>
            <w:tcW w:w="7528" w:type="dxa"/>
          </w:tcPr>
          <w:p w:rsidR="00E773F6" w:rsidRPr="00C57CE1"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Term</w:t>
            </w:r>
            <w:r w:rsidRPr="00C57CE1">
              <w:rPr>
                <w:rFonts w:ascii="Arial" w:hAnsi="Arial" w:cs="Arial"/>
                <w:szCs w:val="24"/>
                <w:lang w:val="en-GB"/>
              </w:rPr>
              <w:t>s of reference</w:t>
            </w:r>
          </w:p>
        </w:tc>
        <w:tc>
          <w:tcPr>
            <w:tcW w:w="886" w:type="dxa"/>
            <w:gridSpan w:val="2"/>
          </w:tcPr>
          <w:p w:rsidR="00E773F6" w:rsidRPr="0028108F" w:rsidRDefault="00D34051" w:rsidP="00725B6F">
            <w:pPr>
              <w:tabs>
                <w:tab w:val="left" w:pos="1440"/>
              </w:tabs>
              <w:adjustRightInd w:val="0"/>
              <w:snapToGrid w:val="0"/>
              <w:jc w:val="center"/>
              <w:rPr>
                <w:rFonts w:ascii="Arial" w:hAnsi="Arial" w:cs="Arial"/>
                <w:szCs w:val="24"/>
                <w:lang w:val="en-GB"/>
              </w:rPr>
            </w:pPr>
            <w:r>
              <w:rPr>
                <w:rFonts w:ascii="Arial" w:hAnsi="Arial" w:cs="Arial" w:hint="eastAsia"/>
                <w:szCs w:val="24"/>
                <w:lang w:val="en-GB"/>
              </w:rPr>
              <w:t>2</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Membership</w:t>
            </w:r>
          </w:p>
        </w:tc>
        <w:tc>
          <w:tcPr>
            <w:tcW w:w="886" w:type="dxa"/>
            <w:gridSpan w:val="2"/>
          </w:tcPr>
          <w:p w:rsidR="00E773F6" w:rsidRPr="00C57CE1" w:rsidRDefault="00D34051" w:rsidP="00725B6F">
            <w:pPr>
              <w:tabs>
                <w:tab w:val="left" w:pos="1440"/>
              </w:tabs>
              <w:adjustRightInd w:val="0"/>
              <w:snapToGrid w:val="0"/>
              <w:jc w:val="center"/>
              <w:rPr>
                <w:rFonts w:ascii="Arial" w:hAnsi="Arial" w:cs="Arial"/>
                <w:szCs w:val="24"/>
                <w:lang w:val="en-GB"/>
              </w:rPr>
            </w:pPr>
            <w:r>
              <w:rPr>
                <w:rFonts w:ascii="Arial" w:hAnsi="Arial" w:cs="Arial" w:hint="eastAsia"/>
                <w:szCs w:val="24"/>
                <w:lang w:val="en-GB"/>
              </w:rPr>
              <w:t>2</w:t>
            </w:r>
          </w:p>
        </w:tc>
      </w:tr>
      <w:tr w:rsidR="00E773F6" w:rsidRPr="0028108F" w:rsidTr="008813DE">
        <w:tc>
          <w:tcPr>
            <w:tcW w:w="7528" w:type="dxa"/>
          </w:tcPr>
          <w:p w:rsidR="00E773F6" w:rsidRPr="00181CF2" w:rsidRDefault="00E773F6">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 xml:space="preserve">Methodology adopted for </w:t>
            </w:r>
            <w:r w:rsidR="00005627">
              <w:rPr>
                <w:rFonts w:ascii="Arial" w:hAnsi="Arial" w:cs="Arial" w:hint="eastAsia"/>
                <w:szCs w:val="24"/>
                <w:lang w:val="en-GB"/>
              </w:rPr>
              <w:t xml:space="preserve">the </w:t>
            </w:r>
            <w:r w:rsidRPr="00181CF2">
              <w:rPr>
                <w:rFonts w:ascii="Arial" w:hAnsi="Arial" w:cs="Arial"/>
                <w:szCs w:val="24"/>
                <w:lang w:val="en-GB"/>
              </w:rPr>
              <w:t>IWG’s study</w:t>
            </w:r>
          </w:p>
        </w:tc>
        <w:tc>
          <w:tcPr>
            <w:tcW w:w="886" w:type="dxa"/>
            <w:gridSpan w:val="2"/>
          </w:tcPr>
          <w:p w:rsidR="00E773F6" w:rsidRPr="00C57CE1" w:rsidRDefault="00D34051" w:rsidP="00725B6F">
            <w:pPr>
              <w:tabs>
                <w:tab w:val="left" w:pos="1440"/>
              </w:tabs>
              <w:adjustRightInd w:val="0"/>
              <w:snapToGrid w:val="0"/>
              <w:jc w:val="center"/>
              <w:rPr>
                <w:rFonts w:ascii="Arial" w:hAnsi="Arial" w:cs="Arial"/>
                <w:szCs w:val="24"/>
                <w:lang w:val="en-GB"/>
              </w:rPr>
            </w:pPr>
            <w:r>
              <w:rPr>
                <w:rFonts w:ascii="Arial" w:hAnsi="Arial" w:cs="Arial" w:hint="eastAsia"/>
                <w:szCs w:val="24"/>
                <w:lang w:val="en-GB"/>
              </w:rPr>
              <w:t>3</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 xml:space="preserve">Scope of </w:t>
            </w:r>
            <w:r w:rsidR="00CF0C0E">
              <w:rPr>
                <w:rFonts w:ascii="Arial" w:hAnsi="Arial" w:cs="Arial" w:hint="eastAsia"/>
                <w:szCs w:val="24"/>
                <w:lang w:val="en-GB"/>
              </w:rPr>
              <w:t xml:space="preserve">the </w:t>
            </w:r>
            <w:r w:rsidRPr="00181CF2">
              <w:rPr>
                <w:rFonts w:ascii="Arial" w:hAnsi="Arial" w:cs="Arial"/>
                <w:szCs w:val="24"/>
                <w:lang w:val="en-GB"/>
              </w:rPr>
              <w:t>IWG’s study</w:t>
            </w:r>
          </w:p>
        </w:tc>
        <w:tc>
          <w:tcPr>
            <w:tcW w:w="886" w:type="dxa"/>
            <w:gridSpan w:val="2"/>
          </w:tcPr>
          <w:p w:rsidR="00E773F6" w:rsidRPr="00C57CE1" w:rsidRDefault="005805EA" w:rsidP="00725B6F">
            <w:pPr>
              <w:tabs>
                <w:tab w:val="left" w:pos="1440"/>
              </w:tabs>
              <w:adjustRightInd w:val="0"/>
              <w:snapToGrid w:val="0"/>
              <w:jc w:val="center"/>
              <w:rPr>
                <w:rFonts w:ascii="Arial" w:hAnsi="Arial" w:cs="Arial"/>
                <w:szCs w:val="24"/>
                <w:lang w:val="en-GB"/>
              </w:rPr>
            </w:pPr>
            <w:r>
              <w:rPr>
                <w:rFonts w:ascii="Arial" w:hAnsi="Arial" w:cs="Arial"/>
                <w:szCs w:val="24"/>
                <w:lang w:val="en-GB"/>
              </w:rPr>
              <w:t>3</w:t>
            </w:r>
          </w:p>
        </w:tc>
      </w:tr>
      <w:tr w:rsidR="00E773F6" w:rsidRPr="0028108F" w:rsidTr="008813DE">
        <w:tc>
          <w:tcPr>
            <w:tcW w:w="7528" w:type="dxa"/>
          </w:tcPr>
          <w:p w:rsidR="00E773F6" w:rsidRPr="00C57CE1" w:rsidRDefault="00E773F6" w:rsidP="00725B6F">
            <w:pPr>
              <w:tabs>
                <w:tab w:val="left" w:pos="1440"/>
              </w:tabs>
              <w:adjustRightInd w:val="0"/>
              <w:snapToGrid w:val="0"/>
              <w:ind w:left="1152" w:hanging="432"/>
              <w:rPr>
                <w:rFonts w:ascii="Arial" w:hAnsi="Arial" w:cs="Arial"/>
                <w:szCs w:val="24"/>
                <w:lang w:val="en-GB"/>
              </w:rPr>
            </w:pPr>
            <w:r w:rsidRPr="00C57CE1">
              <w:rPr>
                <w:rFonts w:ascii="Arial" w:hAnsi="Arial" w:cs="Arial"/>
                <w:szCs w:val="24"/>
                <w:lang w:val="en-GB"/>
              </w:rPr>
              <w:t>Recognition issues</w:t>
            </w:r>
          </w:p>
        </w:tc>
        <w:tc>
          <w:tcPr>
            <w:tcW w:w="886" w:type="dxa"/>
            <w:gridSpan w:val="2"/>
          </w:tcPr>
          <w:p w:rsidR="00E773F6" w:rsidRPr="0028108F" w:rsidRDefault="00B55846" w:rsidP="00725B6F">
            <w:pPr>
              <w:tabs>
                <w:tab w:val="left" w:pos="1440"/>
              </w:tabs>
              <w:adjustRightInd w:val="0"/>
              <w:snapToGrid w:val="0"/>
              <w:jc w:val="center"/>
              <w:rPr>
                <w:rFonts w:ascii="Arial" w:hAnsi="Arial" w:cs="Arial"/>
                <w:szCs w:val="24"/>
                <w:lang w:val="en-GB"/>
              </w:rPr>
            </w:pPr>
            <w:r>
              <w:rPr>
                <w:rFonts w:ascii="Arial" w:hAnsi="Arial" w:cs="Arial"/>
                <w:szCs w:val="24"/>
                <w:lang w:val="en-GB"/>
              </w:rPr>
              <w:t>4</w:t>
            </w:r>
          </w:p>
        </w:tc>
      </w:tr>
      <w:tr w:rsidR="00E773F6" w:rsidRPr="0028108F" w:rsidTr="008813DE">
        <w:tc>
          <w:tcPr>
            <w:tcW w:w="7528" w:type="dxa"/>
          </w:tcPr>
          <w:p w:rsidR="00E773F6" w:rsidRPr="00C57CE1" w:rsidRDefault="00E773F6" w:rsidP="00725B6F">
            <w:pPr>
              <w:tabs>
                <w:tab w:val="left" w:pos="1440"/>
              </w:tabs>
              <w:adjustRightInd w:val="0"/>
              <w:snapToGrid w:val="0"/>
              <w:ind w:left="1152" w:hanging="432"/>
              <w:rPr>
                <w:rFonts w:ascii="Arial" w:hAnsi="Arial" w:cs="Arial"/>
                <w:szCs w:val="24"/>
                <w:lang w:val="en-GB"/>
              </w:rPr>
            </w:pPr>
            <w:r w:rsidRPr="00C57CE1">
              <w:rPr>
                <w:rFonts w:ascii="Arial" w:hAnsi="Arial" w:cs="Arial"/>
                <w:szCs w:val="24"/>
                <w:lang w:val="en-GB"/>
              </w:rPr>
              <w:t>Post-recognition issues</w:t>
            </w:r>
          </w:p>
        </w:tc>
        <w:tc>
          <w:tcPr>
            <w:tcW w:w="886" w:type="dxa"/>
            <w:gridSpan w:val="2"/>
          </w:tcPr>
          <w:p w:rsidR="00E773F6" w:rsidRPr="0028108F" w:rsidRDefault="005805EA" w:rsidP="00725B6F">
            <w:pPr>
              <w:tabs>
                <w:tab w:val="left" w:pos="1440"/>
              </w:tabs>
              <w:adjustRightInd w:val="0"/>
              <w:snapToGrid w:val="0"/>
              <w:jc w:val="center"/>
              <w:rPr>
                <w:rFonts w:ascii="Arial" w:hAnsi="Arial" w:cs="Arial"/>
                <w:szCs w:val="24"/>
                <w:lang w:val="en-GB"/>
              </w:rPr>
            </w:pPr>
            <w:r>
              <w:rPr>
                <w:rFonts w:ascii="Arial" w:hAnsi="Arial" w:cs="Arial"/>
                <w:szCs w:val="24"/>
                <w:lang w:val="en-GB"/>
              </w:rPr>
              <w:t>4</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Acknowledgements</w:t>
            </w:r>
          </w:p>
        </w:tc>
        <w:tc>
          <w:tcPr>
            <w:tcW w:w="886" w:type="dxa"/>
            <w:gridSpan w:val="2"/>
          </w:tcPr>
          <w:p w:rsidR="00E773F6" w:rsidRPr="00C57CE1" w:rsidRDefault="005805EA" w:rsidP="00725B6F">
            <w:pPr>
              <w:tabs>
                <w:tab w:val="left" w:pos="1440"/>
              </w:tabs>
              <w:adjustRightInd w:val="0"/>
              <w:snapToGrid w:val="0"/>
              <w:jc w:val="center"/>
              <w:rPr>
                <w:rFonts w:ascii="Arial" w:hAnsi="Arial" w:cs="Arial"/>
                <w:szCs w:val="24"/>
                <w:lang w:val="en-GB"/>
              </w:rPr>
            </w:pPr>
            <w:r>
              <w:rPr>
                <w:rFonts w:ascii="Arial" w:hAnsi="Arial" w:cs="Arial"/>
                <w:szCs w:val="24"/>
                <w:lang w:val="en-GB"/>
              </w:rPr>
              <w:t>5</w:t>
            </w: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lang w:val="en-GB"/>
              </w:rPr>
            </w:pPr>
          </w:p>
          <w:p w:rsidR="00725B6F" w:rsidRPr="00181CF2" w:rsidRDefault="00725B6F" w:rsidP="00725B6F">
            <w:pPr>
              <w:tabs>
                <w:tab w:val="left" w:pos="1440"/>
              </w:tabs>
              <w:adjustRightInd w:val="0"/>
              <w:snapToGrid w:val="0"/>
              <w:rPr>
                <w:rFonts w:ascii="Arial" w:hAnsi="Arial" w:cs="Arial"/>
                <w:b/>
                <w:szCs w:val="24"/>
                <w:lang w:val="en-GB"/>
              </w:rPr>
            </w:pPr>
          </w:p>
        </w:tc>
        <w:tc>
          <w:tcPr>
            <w:tcW w:w="886" w:type="dxa"/>
            <w:gridSpan w:val="2"/>
          </w:tcPr>
          <w:p w:rsidR="00E773F6" w:rsidRPr="00C57CE1" w:rsidRDefault="00E773F6" w:rsidP="00725B6F">
            <w:pPr>
              <w:tabs>
                <w:tab w:val="left" w:pos="1440"/>
              </w:tabs>
              <w:adjustRightInd w:val="0"/>
              <w:snapToGrid w:val="0"/>
              <w:rPr>
                <w:rFonts w:ascii="Arial" w:hAnsi="Arial" w:cs="Arial"/>
                <w:b/>
                <w:szCs w:val="24"/>
                <w:lang w:val="en-GB"/>
              </w:rPr>
            </w:pPr>
          </w:p>
        </w:tc>
      </w:tr>
      <w:tr w:rsidR="00E773F6" w:rsidRPr="0028108F" w:rsidTr="008813DE">
        <w:tc>
          <w:tcPr>
            <w:tcW w:w="7528" w:type="dxa"/>
          </w:tcPr>
          <w:p w:rsidR="00E773F6" w:rsidRDefault="00E773F6" w:rsidP="00725B6F">
            <w:pPr>
              <w:tabs>
                <w:tab w:val="left" w:pos="1440"/>
              </w:tabs>
              <w:adjustRightInd w:val="0"/>
              <w:snapToGrid w:val="0"/>
              <w:ind w:left="720" w:hanging="720"/>
              <w:rPr>
                <w:rFonts w:ascii="Arial" w:hAnsi="Arial" w:cs="Arial"/>
                <w:b/>
                <w:szCs w:val="24"/>
                <w:lang w:val="en-GB"/>
              </w:rPr>
            </w:pPr>
            <w:r w:rsidRPr="00181CF2">
              <w:rPr>
                <w:rFonts w:ascii="Arial" w:hAnsi="Arial" w:cs="Arial"/>
                <w:b/>
                <w:szCs w:val="24"/>
                <w:lang w:val="en-GB"/>
              </w:rPr>
              <w:t>Chapter 1</w:t>
            </w:r>
            <w:r w:rsidRPr="00181CF2">
              <w:rPr>
                <w:rFonts w:ascii="Arial" w:hAnsi="Arial" w:cs="Arial"/>
                <w:b/>
                <w:szCs w:val="24"/>
                <w:lang w:val="en-GB"/>
              </w:rPr>
              <w:tab/>
              <w:t>Introduction and relevant terminology</w:t>
            </w:r>
          </w:p>
          <w:p w:rsidR="00725B6F" w:rsidRPr="00181CF2" w:rsidRDefault="00725B6F" w:rsidP="00725B6F">
            <w:pPr>
              <w:tabs>
                <w:tab w:val="left" w:pos="1440"/>
              </w:tabs>
              <w:adjustRightInd w:val="0"/>
              <w:snapToGrid w:val="0"/>
              <w:ind w:left="720" w:hanging="720"/>
              <w:rPr>
                <w:rFonts w:ascii="Arial" w:hAnsi="Arial" w:cs="Arial"/>
                <w:b/>
                <w:szCs w:val="24"/>
                <w:lang w:val="en-GB"/>
              </w:rPr>
            </w:pPr>
          </w:p>
        </w:tc>
        <w:tc>
          <w:tcPr>
            <w:tcW w:w="886" w:type="dxa"/>
            <w:gridSpan w:val="2"/>
          </w:tcPr>
          <w:p w:rsidR="00E773F6" w:rsidRPr="008813DE" w:rsidRDefault="005805EA">
            <w:pPr>
              <w:tabs>
                <w:tab w:val="left" w:pos="1440"/>
              </w:tabs>
              <w:adjustRightInd w:val="0"/>
              <w:snapToGrid w:val="0"/>
              <w:jc w:val="center"/>
              <w:rPr>
                <w:rFonts w:ascii="Arial" w:hAnsi="Arial" w:cs="Arial"/>
                <w:szCs w:val="24"/>
                <w:lang w:val="en-GB"/>
              </w:rPr>
            </w:pPr>
            <w:r>
              <w:rPr>
                <w:rFonts w:ascii="Arial" w:hAnsi="Arial" w:cs="Arial"/>
                <w:szCs w:val="24"/>
                <w:lang w:val="en-GB"/>
              </w:rPr>
              <w:t>6</w:t>
            </w:r>
          </w:p>
        </w:tc>
      </w:tr>
      <w:tr w:rsidR="00E773F6" w:rsidRPr="0028108F" w:rsidTr="008813DE">
        <w:tc>
          <w:tcPr>
            <w:tcW w:w="7528" w:type="dxa"/>
          </w:tcPr>
          <w:p w:rsidR="00E773F6" w:rsidRPr="00181CF2" w:rsidRDefault="00E773F6" w:rsidP="00725B6F">
            <w:pPr>
              <w:tabs>
                <w:tab w:val="left" w:pos="1440"/>
              </w:tabs>
              <w:adjustRightInd w:val="0"/>
              <w:snapToGrid w:val="0"/>
              <w:rPr>
                <w:rFonts w:ascii="Arial" w:hAnsi="Arial" w:cs="Arial"/>
                <w:szCs w:val="24"/>
                <w:lang w:val="en-GB"/>
              </w:rPr>
            </w:pPr>
            <w:r w:rsidRPr="00181CF2">
              <w:rPr>
                <w:rFonts w:ascii="Arial" w:hAnsi="Arial" w:cs="Arial"/>
                <w:szCs w:val="24"/>
                <w:lang w:val="en-GB"/>
              </w:rPr>
              <w:t>Introduction</w:t>
            </w:r>
          </w:p>
        </w:tc>
        <w:tc>
          <w:tcPr>
            <w:tcW w:w="886" w:type="dxa"/>
            <w:gridSpan w:val="2"/>
          </w:tcPr>
          <w:p w:rsidR="00E773F6" w:rsidRPr="00C57CE1" w:rsidRDefault="005805EA">
            <w:pPr>
              <w:tabs>
                <w:tab w:val="left" w:pos="1440"/>
              </w:tabs>
              <w:adjustRightInd w:val="0"/>
              <w:snapToGrid w:val="0"/>
              <w:jc w:val="center"/>
              <w:rPr>
                <w:rFonts w:ascii="Arial" w:hAnsi="Arial" w:cs="Arial"/>
                <w:szCs w:val="24"/>
                <w:lang w:val="en-GB"/>
              </w:rPr>
            </w:pPr>
            <w:r>
              <w:rPr>
                <w:rFonts w:ascii="Arial" w:hAnsi="Arial" w:cs="Arial"/>
                <w:szCs w:val="24"/>
                <w:lang w:val="en-GB"/>
              </w:rPr>
              <w:t>6</w:t>
            </w:r>
          </w:p>
        </w:tc>
      </w:tr>
      <w:tr w:rsidR="00E773F6" w:rsidRPr="0028108F" w:rsidTr="008813DE">
        <w:tc>
          <w:tcPr>
            <w:tcW w:w="7528" w:type="dxa"/>
          </w:tcPr>
          <w:p w:rsidR="00E773F6" w:rsidRPr="00C57CE1" w:rsidRDefault="00E773F6" w:rsidP="00725B6F">
            <w:pPr>
              <w:tabs>
                <w:tab w:val="left" w:pos="1440"/>
              </w:tabs>
              <w:adjustRightInd w:val="0"/>
              <w:snapToGrid w:val="0"/>
              <w:rPr>
                <w:rFonts w:ascii="Arial" w:hAnsi="Arial" w:cs="Arial"/>
                <w:szCs w:val="24"/>
                <w:lang w:val="en-GB"/>
              </w:rPr>
            </w:pPr>
            <w:r w:rsidRPr="00181CF2">
              <w:rPr>
                <w:rFonts w:ascii="Arial" w:hAnsi="Arial" w:cs="Arial"/>
                <w:szCs w:val="24"/>
                <w:lang w:val="en-GB"/>
              </w:rPr>
              <w:t>Terminology</w:t>
            </w:r>
          </w:p>
        </w:tc>
        <w:tc>
          <w:tcPr>
            <w:tcW w:w="886" w:type="dxa"/>
            <w:gridSpan w:val="2"/>
          </w:tcPr>
          <w:p w:rsidR="00E773F6" w:rsidRPr="0028108F" w:rsidRDefault="005805EA" w:rsidP="00725B6F">
            <w:pPr>
              <w:tabs>
                <w:tab w:val="left" w:pos="1440"/>
              </w:tabs>
              <w:adjustRightInd w:val="0"/>
              <w:snapToGrid w:val="0"/>
              <w:jc w:val="center"/>
              <w:rPr>
                <w:rFonts w:ascii="Arial" w:hAnsi="Arial" w:cs="Arial"/>
                <w:szCs w:val="24"/>
                <w:lang w:val="en-GB"/>
              </w:rPr>
            </w:pPr>
            <w:r>
              <w:rPr>
                <w:rFonts w:ascii="Arial" w:hAnsi="Arial" w:cs="Arial"/>
                <w:szCs w:val="24"/>
                <w:lang w:val="en-GB"/>
              </w:rPr>
              <w:t>9</w:t>
            </w:r>
          </w:p>
        </w:tc>
      </w:tr>
      <w:tr w:rsidR="00E773F6" w:rsidRPr="0028108F" w:rsidTr="008813DE">
        <w:tc>
          <w:tcPr>
            <w:tcW w:w="7528" w:type="dxa"/>
          </w:tcPr>
          <w:p w:rsidR="00E773F6" w:rsidRPr="00181CF2" w:rsidRDefault="00E773F6" w:rsidP="00725B6F">
            <w:pPr>
              <w:tabs>
                <w:tab w:val="left" w:pos="1440"/>
              </w:tabs>
              <w:adjustRightInd w:val="0"/>
              <w:snapToGrid w:val="0"/>
              <w:ind w:leftChars="309" w:left="742" w:firstLine="1"/>
              <w:rPr>
                <w:rFonts w:ascii="Arial" w:hAnsi="Arial" w:cs="Arial"/>
                <w:szCs w:val="24"/>
                <w:lang w:val="en-GB"/>
              </w:rPr>
            </w:pPr>
            <w:r w:rsidRPr="00181CF2">
              <w:rPr>
                <w:rFonts w:ascii="Arial" w:hAnsi="Arial" w:cs="Arial"/>
                <w:szCs w:val="24"/>
                <w:lang w:val="en-GB"/>
              </w:rPr>
              <w:t>Legal gender recognition</w:t>
            </w:r>
          </w:p>
        </w:tc>
        <w:tc>
          <w:tcPr>
            <w:tcW w:w="886" w:type="dxa"/>
            <w:gridSpan w:val="2"/>
          </w:tcPr>
          <w:p w:rsidR="00E773F6" w:rsidRPr="00C57CE1" w:rsidDel="00CC156A" w:rsidRDefault="00C60E9C"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10</w:t>
            </w:r>
          </w:p>
        </w:tc>
      </w:tr>
      <w:tr w:rsidR="00E773F6" w:rsidRPr="0028108F" w:rsidTr="008813DE">
        <w:tc>
          <w:tcPr>
            <w:tcW w:w="7528" w:type="dxa"/>
          </w:tcPr>
          <w:p w:rsidR="00E773F6" w:rsidRPr="0028108F" w:rsidRDefault="00E773F6" w:rsidP="00626EBA">
            <w:pPr>
              <w:tabs>
                <w:tab w:val="left" w:pos="1440"/>
              </w:tabs>
              <w:adjustRightInd w:val="0"/>
              <w:snapToGrid w:val="0"/>
              <w:ind w:leftChars="309" w:left="742" w:firstLine="1"/>
              <w:rPr>
                <w:rFonts w:ascii="Arial" w:hAnsi="Arial" w:cs="Arial"/>
                <w:szCs w:val="24"/>
                <w:lang w:val="en-GB"/>
              </w:rPr>
            </w:pPr>
            <w:r w:rsidRPr="00181CF2">
              <w:rPr>
                <w:rFonts w:ascii="Arial" w:hAnsi="Arial" w:cs="Arial"/>
                <w:szCs w:val="24"/>
                <w:lang w:val="en-GB"/>
              </w:rPr>
              <w:t>Distinction between the terms “</w:t>
            </w:r>
            <w:r w:rsidRPr="00C57CE1">
              <w:rPr>
                <w:rFonts w:ascii="Arial" w:hAnsi="Arial" w:cs="Arial"/>
                <w:i/>
                <w:szCs w:val="24"/>
                <w:lang w:val="en-GB"/>
              </w:rPr>
              <w:t>gender</w:t>
            </w:r>
            <w:r w:rsidRPr="0028108F">
              <w:rPr>
                <w:rFonts w:ascii="Arial" w:hAnsi="Arial" w:cs="Arial"/>
                <w:szCs w:val="24"/>
                <w:lang w:val="en-GB"/>
              </w:rPr>
              <w:t>” and “</w:t>
            </w:r>
            <w:r w:rsidRPr="0028108F">
              <w:rPr>
                <w:rFonts w:ascii="Arial" w:hAnsi="Arial" w:cs="Arial"/>
                <w:i/>
                <w:szCs w:val="24"/>
                <w:lang w:val="en-GB"/>
              </w:rPr>
              <w:t>sex</w:t>
            </w:r>
            <w:r w:rsidRPr="0028108F">
              <w:rPr>
                <w:rFonts w:ascii="Arial" w:hAnsi="Arial" w:cs="Arial"/>
                <w:szCs w:val="24"/>
                <w:lang w:val="en-GB"/>
              </w:rPr>
              <w:t>”</w:t>
            </w:r>
          </w:p>
        </w:tc>
        <w:tc>
          <w:tcPr>
            <w:tcW w:w="886" w:type="dxa"/>
            <w:gridSpan w:val="2"/>
          </w:tcPr>
          <w:p w:rsidR="00E773F6" w:rsidRPr="0028108F" w:rsidDel="00CC156A" w:rsidRDefault="005805EA"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10</w:t>
            </w:r>
          </w:p>
        </w:tc>
      </w:tr>
      <w:tr w:rsidR="00E773F6" w:rsidRPr="0028108F" w:rsidTr="008813DE">
        <w:tc>
          <w:tcPr>
            <w:tcW w:w="7528" w:type="dxa"/>
          </w:tcPr>
          <w:p w:rsidR="00E773F6" w:rsidRPr="0028108F" w:rsidRDefault="00E773F6" w:rsidP="00725B6F">
            <w:pPr>
              <w:tabs>
                <w:tab w:val="left" w:pos="993"/>
              </w:tabs>
              <w:adjustRightInd w:val="0"/>
              <w:snapToGrid w:val="0"/>
              <w:ind w:leftChars="309" w:left="742"/>
              <w:jc w:val="both"/>
              <w:rPr>
                <w:rFonts w:ascii="Arial" w:hAnsi="Arial" w:cs="Arial"/>
                <w:szCs w:val="24"/>
                <w:lang w:val="en-GB"/>
              </w:rPr>
            </w:pPr>
            <w:r w:rsidRPr="00181CF2">
              <w:rPr>
                <w:rFonts w:ascii="Arial" w:hAnsi="Arial" w:cs="Arial"/>
                <w:szCs w:val="24"/>
                <w:lang w:val="en-GB"/>
              </w:rPr>
              <w:t>Distinction between “</w:t>
            </w:r>
            <w:r w:rsidRPr="00C57CE1">
              <w:rPr>
                <w:rFonts w:ascii="Arial" w:hAnsi="Arial" w:cs="Arial"/>
                <w:i/>
                <w:szCs w:val="24"/>
                <w:lang w:val="en-GB"/>
              </w:rPr>
              <w:t>assigned gender</w:t>
            </w:r>
            <w:r w:rsidRPr="0028108F">
              <w:rPr>
                <w:rFonts w:ascii="Arial" w:hAnsi="Arial" w:cs="Arial"/>
                <w:szCs w:val="24"/>
                <w:lang w:val="en-GB"/>
              </w:rPr>
              <w:t>” and “</w:t>
            </w:r>
            <w:r w:rsidRPr="0028108F">
              <w:rPr>
                <w:rFonts w:ascii="Arial" w:hAnsi="Arial" w:cs="Arial"/>
                <w:i/>
                <w:szCs w:val="24"/>
                <w:lang w:val="en-GB"/>
              </w:rPr>
              <w:t>affirmed gender</w:t>
            </w:r>
            <w:r w:rsidRPr="0028108F">
              <w:rPr>
                <w:rFonts w:ascii="Arial" w:hAnsi="Arial" w:cs="Arial"/>
                <w:szCs w:val="24"/>
                <w:lang w:val="en-GB"/>
              </w:rPr>
              <w:t>”</w:t>
            </w:r>
          </w:p>
        </w:tc>
        <w:tc>
          <w:tcPr>
            <w:tcW w:w="886" w:type="dxa"/>
            <w:gridSpan w:val="2"/>
          </w:tcPr>
          <w:p w:rsidR="00E773F6" w:rsidRPr="0028108F" w:rsidDel="00CC156A" w:rsidRDefault="005805EA"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11</w:t>
            </w:r>
          </w:p>
        </w:tc>
      </w:tr>
      <w:tr w:rsidR="00E773F6" w:rsidRPr="0028108F" w:rsidTr="008813DE">
        <w:tc>
          <w:tcPr>
            <w:tcW w:w="7528" w:type="dxa"/>
          </w:tcPr>
          <w:p w:rsidR="00E773F6" w:rsidRPr="0028108F" w:rsidRDefault="00E773F6" w:rsidP="008813DE">
            <w:pPr>
              <w:tabs>
                <w:tab w:val="left" w:pos="1440"/>
              </w:tabs>
              <w:adjustRightInd w:val="0"/>
              <w:snapToGrid w:val="0"/>
              <w:ind w:leftChars="309" w:left="1167" w:hangingChars="177" w:hanging="425"/>
              <w:rPr>
                <w:rFonts w:ascii="Arial" w:hAnsi="Arial" w:cs="Arial"/>
                <w:szCs w:val="24"/>
                <w:lang w:val="en-GB"/>
              </w:rPr>
            </w:pPr>
            <w:r w:rsidRPr="00181CF2">
              <w:rPr>
                <w:rFonts w:ascii="Arial" w:hAnsi="Arial" w:cs="Arial"/>
                <w:i/>
                <w:szCs w:val="24"/>
                <w:lang w:val="en-GB"/>
              </w:rPr>
              <w:t>“Transsexualism”</w:t>
            </w:r>
            <w:r w:rsidRPr="00C57CE1">
              <w:rPr>
                <w:rFonts w:ascii="Arial" w:hAnsi="Arial" w:cs="Arial"/>
                <w:szCs w:val="24"/>
                <w:lang w:val="en-GB"/>
              </w:rPr>
              <w:t xml:space="preserve"> and </w:t>
            </w:r>
            <w:r w:rsidRPr="0028108F">
              <w:rPr>
                <w:rFonts w:ascii="Arial" w:hAnsi="Arial" w:cs="Arial"/>
                <w:i/>
                <w:szCs w:val="24"/>
                <w:lang w:val="en-GB"/>
              </w:rPr>
              <w:t>“gender identity disorder”</w:t>
            </w:r>
            <w:r w:rsidRPr="0028108F">
              <w:rPr>
                <w:rFonts w:ascii="Arial" w:hAnsi="Arial" w:cs="Arial"/>
                <w:szCs w:val="24"/>
                <w:lang w:val="en-GB"/>
              </w:rPr>
              <w:t xml:space="preserve"> or </w:t>
            </w:r>
            <w:r w:rsidRPr="0028108F">
              <w:rPr>
                <w:rFonts w:ascii="Arial" w:hAnsi="Arial" w:cs="Arial"/>
                <w:i/>
                <w:szCs w:val="24"/>
                <w:lang w:val="en-GB"/>
              </w:rPr>
              <w:t>“gender dysphoria”</w:t>
            </w:r>
          </w:p>
        </w:tc>
        <w:tc>
          <w:tcPr>
            <w:tcW w:w="886" w:type="dxa"/>
            <w:gridSpan w:val="2"/>
          </w:tcPr>
          <w:p w:rsidR="00E773F6" w:rsidRPr="0028108F" w:rsidRDefault="005805EA">
            <w:pPr>
              <w:tabs>
                <w:tab w:val="left" w:pos="1440"/>
              </w:tabs>
              <w:adjustRightInd w:val="0"/>
              <w:snapToGrid w:val="0"/>
              <w:jc w:val="center"/>
              <w:rPr>
                <w:rFonts w:ascii="Arial" w:hAnsi="Arial" w:cs="Arial"/>
                <w:szCs w:val="24"/>
                <w:lang w:val="en-GB"/>
              </w:rPr>
            </w:pPr>
            <w:r>
              <w:rPr>
                <w:rFonts w:ascii="Arial" w:hAnsi="Arial" w:cs="Arial"/>
                <w:szCs w:val="24"/>
                <w:lang w:val="en-GB"/>
              </w:rPr>
              <w:t>1</w:t>
            </w:r>
            <w:r w:rsidR="0092200E">
              <w:rPr>
                <w:rFonts w:ascii="Arial" w:hAnsi="Arial" w:cs="Arial"/>
                <w:szCs w:val="24"/>
                <w:lang w:val="en-GB"/>
              </w:rPr>
              <w:t>2</w:t>
            </w:r>
          </w:p>
        </w:tc>
      </w:tr>
      <w:tr w:rsidR="00E773F6" w:rsidRPr="0028108F" w:rsidTr="008813DE">
        <w:tc>
          <w:tcPr>
            <w:tcW w:w="7528" w:type="dxa"/>
          </w:tcPr>
          <w:p w:rsidR="00E773F6" w:rsidRPr="0028108F" w:rsidRDefault="00E773F6" w:rsidP="008813DE">
            <w:pPr>
              <w:tabs>
                <w:tab w:val="left" w:pos="993"/>
              </w:tabs>
              <w:adjustRightInd w:val="0"/>
              <w:snapToGrid w:val="0"/>
              <w:jc w:val="both"/>
              <w:rPr>
                <w:rFonts w:ascii="Arial" w:hAnsi="Arial" w:cs="Arial"/>
                <w:szCs w:val="24"/>
                <w:lang w:val="en-GB"/>
              </w:rPr>
            </w:pPr>
            <w:r w:rsidRPr="00181CF2">
              <w:rPr>
                <w:rFonts w:ascii="Arial" w:hAnsi="Arial" w:cs="Arial"/>
                <w:szCs w:val="24"/>
                <w:lang w:val="en-GB"/>
              </w:rPr>
              <w:t xml:space="preserve">Distinction </w:t>
            </w:r>
            <w:r w:rsidRPr="00C57CE1">
              <w:rPr>
                <w:rFonts w:ascii="Arial" w:hAnsi="Arial" w:cs="Arial"/>
                <w:szCs w:val="24"/>
                <w:lang w:val="en-GB"/>
              </w:rPr>
              <w:t>between the terms “</w:t>
            </w:r>
            <w:r w:rsidRPr="0028108F">
              <w:rPr>
                <w:rFonts w:ascii="Arial" w:hAnsi="Arial" w:cs="Arial"/>
                <w:i/>
                <w:szCs w:val="24"/>
                <w:lang w:val="en-GB"/>
              </w:rPr>
              <w:t>transsexual</w:t>
            </w:r>
            <w:r w:rsidRPr="0028108F">
              <w:rPr>
                <w:rFonts w:ascii="Arial" w:hAnsi="Arial" w:cs="Arial"/>
                <w:szCs w:val="24"/>
                <w:lang w:val="en-GB"/>
              </w:rPr>
              <w:t>” and “</w:t>
            </w:r>
            <w:r w:rsidRPr="0028108F">
              <w:rPr>
                <w:rFonts w:ascii="Arial" w:hAnsi="Arial" w:cs="Arial"/>
                <w:i/>
                <w:szCs w:val="24"/>
                <w:lang w:val="en-GB"/>
              </w:rPr>
              <w:t>transgender</w:t>
            </w:r>
            <w:r w:rsidRPr="0028108F">
              <w:rPr>
                <w:rFonts w:ascii="Arial" w:hAnsi="Arial" w:cs="Arial"/>
                <w:szCs w:val="24"/>
                <w:lang w:val="en-GB"/>
              </w:rPr>
              <w:t>”</w:t>
            </w:r>
          </w:p>
        </w:tc>
        <w:tc>
          <w:tcPr>
            <w:tcW w:w="886" w:type="dxa"/>
            <w:gridSpan w:val="2"/>
          </w:tcPr>
          <w:p w:rsidR="00E773F6" w:rsidRPr="0028108F"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13</w:t>
            </w:r>
          </w:p>
        </w:tc>
      </w:tr>
      <w:tr w:rsidR="00E773F6" w:rsidRPr="0028108F" w:rsidTr="008813DE">
        <w:tc>
          <w:tcPr>
            <w:tcW w:w="7528" w:type="dxa"/>
          </w:tcPr>
          <w:p w:rsidR="00542DD3" w:rsidRPr="0028108F" w:rsidRDefault="00E773F6">
            <w:pPr>
              <w:adjustRightInd w:val="0"/>
              <w:snapToGrid w:val="0"/>
              <w:ind w:left="1152" w:hanging="432"/>
              <w:rPr>
                <w:rFonts w:ascii="Arial" w:hAnsi="Arial" w:cs="Arial"/>
                <w:szCs w:val="24"/>
                <w:lang w:val="en-GB"/>
              </w:rPr>
            </w:pPr>
            <w:r w:rsidRPr="00181CF2">
              <w:rPr>
                <w:rFonts w:ascii="Arial" w:hAnsi="Arial" w:cs="Arial"/>
                <w:szCs w:val="24"/>
                <w:lang w:val="en-GB"/>
              </w:rPr>
              <w:t xml:space="preserve">References in </w:t>
            </w:r>
            <w:r w:rsidRPr="00C57CE1">
              <w:rPr>
                <w:rFonts w:ascii="Arial" w:hAnsi="Arial" w:cs="Arial"/>
                <w:i/>
                <w:szCs w:val="24"/>
                <w:lang w:val="en-GB"/>
              </w:rPr>
              <w:t>W</w:t>
            </w:r>
            <w:r w:rsidRPr="0028108F">
              <w:rPr>
                <w:rFonts w:ascii="Arial" w:hAnsi="Arial" w:cs="Arial"/>
                <w:szCs w:val="24"/>
                <w:lang w:val="en-GB"/>
              </w:rPr>
              <w:t>’s case</w:t>
            </w:r>
          </w:p>
        </w:tc>
        <w:tc>
          <w:tcPr>
            <w:tcW w:w="886" w:type="dxa"/>
            <w:gridSpan w:val="2"/>
          </w:tcPr>
          <w:p w:rsidR="00E773F6" w:rsidRPr="0028108F"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1</w:t>
            </w:r>
            <w:r w:rsidR="0092200E">
              <w:rPr>
                <w:rFonts w:ascii="Arial" w:hAnsi="Arial" w:cs="Arial"/>
                <w:szCs w:val="24"/>
                <w:lang w:val="en-GB"/>
              </w:rPr>
              <w:t>4</w:t>
            </w:r>
          </w:p>
        </w:tc>
      </w:tr>
      <w:tr w:rsidR="00542DD3" w:rsidRPr="0028108F" w:rsidTr="008813DE">
        <w:tc>
          <w:tcPr>
            <w:tcW w:w="7528" w:type="dxa"/>
          </w:tcPr>
          <w:p w:rsidR="00542DD3" w:rsidDel="00542DD3" w:rsidRDefault="00542DD3" w:rsidP="00852612">
            <w:pPr>
              <w:adjustRightInd w:val="0"/>
              <w:snapToGrid w:val="0"/>
              <w:ind w:left="743"/>
              <w:rPr>
                <w:rFonts w:ascii="Arial" w:hAnsi="Arial" w:cs="Arial"/>
                <w:szCs w:val="24"/>
                <w:lang w:val="en-GB"/>
              </w:rPr>
            </w:pPr>
            <w:r>
              <w:rPr>
                <w:rFonts w:ascii="Arial" w:hAnsi="Arial" w:cs="Arial"/>
                <w:szCs w:val="24"/>
                <w:lang w:val="en-GB"/>
              </w:rPr>
              <w:t>Academics’ approaches</w:t>
            </w:r>
          </w:p>
        </w:tc>
        <w:tc>
          <w:tcPr>
            <w:tcW w:w="886" w:type="dxa"/>
            <w:gridSpan w:val="2"/>
          </w:tcPr>
          <w:p w:rsidR="00542DD3" w:rsidRPr="0028108F"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14</w:t>
            </w:r>
          </w:p>
        </w:tc>
      </w:tr>
      <w:tr w:rsidR="00E773F6" w:rsidRPr="0028108F" w:rsidTr="008813DE">
        <w:tc>
          <w:tcPr>
            <w:tcW w:w="7528" w:type="dxa"/>
          </w:tcPr>
          <w:p w:rsidR="00CF0C0E" w:rsidRPr="008813DE" w:rsidRDefault="00E773F6" w:rsidP="008813DE">
            <w:pPr>
              <w:adjustRightInd w:val="0"/>
              <w:snapToGrid w:val="0"/>
              <w:ind w:left="720"/>
              <w:rPr>
                <w:rFonts w:ascii="Arial" w:hAnsi="Arial" w:cs="Arial"/>
                <w:b/>
                <w:szCs w:val="24"/>
                <w:lang w:val="en-GB"/>
              </w:rPr>
            </w:pPr>
            <w:r w:rsidRPr="00181CF2">
              <w:rPr>
                <w:rFonts w:ascii="Arial" w:hAnsi="Arial" w:cs="Arial"/>
                <w:szCs w:val="24"/>
                <w:lang w:val="en-GB"/>
              </w:rPr>
              <w:t>References in other overseas publications</w:t>
            </w:r>
            <w:r w:rsidR="00CF0C0E" w:rsidRPr="0028108F">
              <w:rPr>
                <w:rFonts w:ascii="Arial" w:hAnsi="Arial" w:cs="Arial"/>
                <w:i/>
                <w:szCs w:val="24"/>
                <w:lang w:val="en-GB"/>
              </w:rPr>
              <w:t xml:space="preserve"> </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16</w:t>
            </w:r>
          </w:p>
        </w:tc>
      </w:tr>
      <w:tr w:rsidR="00E773F6" w:rsidRPr="0028108F" w:rsidTr="008813DE">
        <w:tc>
          <w:tcPr>
            <w:tcW w:w="7528" w:type="dxa"/>
          </w:tcPr>
          <w:p w:rsidR="00E773F6" w:rsidRPr="0028108F" w:rsidRDefault="00E773F6" w:rsidP="008813DE">
            <w:pPr>
              <w:tabs>
                <w:tab w:val="left" w:pos="993"/>
              </w:tabs>
              <w:adjustRightInd w:val="0"/>
              <w:snapToGrid w:val="0"/>
              <w:jc w:val="both"/>
              <w:rPr>
                <w:rFonts w:ascii="Arial" w:hAnsi="Arial" w:cs="Arial"/>
                <w:szCs w:val="24"/>
                <w:lang w:val="en-GB"/>
              </w:rPr>
            </w:pPr>
            <w:r w:rsidRPr="00181CF2">
              <w:rPr>
                <w:rFonts w:ascii="Arial" w:hAnsi="Arial" w:cs="Arial"/>
                <w:szCs w:val="24"/>
                <w:lang w:val="en-GB"/>
              </w:rPr>
              <w:t xml:space="preserve">Distinction between </w:t>
            </w:r>
            <w:r w:rsidRPr="00C57CE1">
              <w:rPr>
                <w:rFonts w:ascii="Arial" w:hAnsi="Arial" w:cs="Arial"/>
                <w:i/>
                <w:szCs w:val="24"/>
                <w:lang w:val="en-GB"/>
              </w:rPr>
              <w:t>“gender identity”</w:t>
            </w:r>
            <w:r w:rsidRPr="0028108F">
              <w:rPr>
                <w:rFonts w:ascii="Arial" w:hAnsi="Arial" w:cs="Arial"/>
                <w:szCs w:val="24"/>
                <w:lang w:val="en-GB"/>
              </w:rPr>
              <w:t xml:space="preserve"> and </w:t>
            </w:r>
            <w:r w:rsidRPr="0028108F">
              <w:rPr>
                <w:rFonts w:ascii="Arial" w:hAnsi="Arial" w:cs="Arial"/>
                <w:i/>
                <w:szCs w:val="24"/>
                <w:lang w:val="en-GB"/>
              </w:rPr>
              <w:t>“sexual orientation”</w:t>
            </w:r>
          </w:p>
        </w:tc>
        <w:tc>
          <w:tcPr>
            <w:tcW w:w="886" w:type="dxa"/>
            <w:gridSpan w:val="2"/>
          </w:tcPr>
          <w:p w:rsidR="00E773F6" w:rsidRPr="0028108F"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1</w:t>
            </w:r>
            <w:r w:rsidR="0092200E">
              <w:rPr>
                <w:rFonts w:ascii="Arial" w:hAnsi="Arial" w:cs="Arial"/>
                <w:szCs w:val="24"/>
                <w:lang w:val="en-GB"/>
              </w:rPr>
              <w:t>8</w:t>
            </w: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lang w:val="en-GB"/>
              </w:rPr>
            </w:pPr>
          </w:p>
          <w:p w:rsidR="00725B6F" w:rsidRPr="00181CF2" w:rsidRDefault="00725B6F" w:rsidP="00725B6F">
            <w:pPr>
              <w:tabs>
                <w:tab w:val="left" w:pos="1440"/>
              </w:tabs>
              <w:adjustRightInd w:val="0"/>
              <w:snapToGrid w:val="0"/>
              <w:rPr>
                <w:rFonts w:ascii="Arial" w:hAnsi="Arial" w:cs="Arial"/>
                <w:b/>
                <w:szCs w:val="24"/>
                <w:lang w:val="en-GB"/>
              </w:rPr>
            </w:pPr>
          </w:p>
        </w:tc>
        <w:tc>
          <w:tcPr>
            <w:tcW w:w="886" w:type="dxa"/>
            <w:gridSpan w:val="2"/>
          </w:tcPr>
          <w:p w:rsidR="00E773F6" w:rsidRPr="00C57CE1" w:rsidRDefault="00E773F6" w:rsidP="00725B6F">
            <w:pPr>
              <w:tabs>
                <w:tab w:val="left" w:pos="1440"/>
              </w:tabs>
              <w:adjustRightInd w:val="0"/>
              <w:snapToGrid w:val="0"/>
              <w:rPr>
                <w:rFonts w:ascii="Arial" w:hAnsi="Arial" w:cs="Arial"/>
                <w:b/>
                <w:szCs w:val="24"/>
                <w:lang w:val="en-GB"/>
              </w:rPr>
            </w:pPr>
          </w:p>
        </w:tc>
      </w:tr>
      <w:tr w:rsidR="00E773F6" w:rsidRPr="0028108F" w:rsidTr="008813DE">
        <w:tc>
          <w:tcPr>
            <w:tcW w:w="7528" w:type="dxa"/>
          </w:tcPr>
          <w:p w:rsidR="00E773F6" w:rsidRDefault="00E773F6" w:rsidP="00725B6F">
            <w:pPr>
              <w:tabs>
                <w:tab w:val="left" w:pos="1440"/>
              </w:tabs>
              <w:adjustRightInd w:val="0"/>
              <w:snapToGrid w:val="0"/>
              <w:ind w:left="1452" w:hanging="1452"/>
              <w:rPr>
                <w:rFonts w:ascii="Arial" w:hAnsi="Arial" w:cs="Arial"/>
                <w:b/>
                <w:szCs w:val="24"/>
                <w:lang w:val="en-GB"/>
              </w:rPr>
            </w:pPr>
            <w:r w:rsidRPr="00181CF2">
              <w:rPr>
                <w:rFonts w:ascii="Arial" w:hAnsi="Arial" w:cs="Arial"/>
                <w:b/>
                <w:szCs w:val="24"/>
                <w:lang w:val="en-GB"/>
              </w:rPr>
              <w:t>Chapter 2</w:t>
            </w:r>
            <w:r w:rsidRPr="00181CF2">
              <w:rPr>
                <w:rFonts w:ascii="Arial" w:hAnsi="Arial" w:cs="Arial"/>
                <w:b/>
                <w:szCs w:val="24"/>
                <w:lang w:val="en-GB"/>
              </w:rPr>
              <w:tab/>
              <w:t>The current situation in Hong Kong</w:t>
            </w:r>
          </w:p>
          <w:p w:rsidR="00725B6F" w:rsidRPr="00181CF2" w:rsidRDefault="00725B6F" w:rsidP="00725B6F">
            <w:pPr>
              <w:tabs>
                <w:tab w:val="left" w:pos="1440"/>
              </w:tabs>
              <w:adjustRightInd w:val="0"/>
              <w:snapToGrid w:val="0"/>
              <w:ind w:left="1452" w:hanging="1452"/>
              <w:rPr>
                <w:rFonts w:ascii="Arial" w:hAnsi="Arial" w:cs="Arial"/>
                <w:b/>
                <w:szCs w:val="24"/>
                <w:lang w:val="en-GB"/>
              </w:rPr>
            </w:pPr>
          </w:p>
        </w:tc>
        <w:tc>
          <w:tcPr>
            <w:tcW w:w="886" w:type="dxa"/>
            <w:gridSpan w:val="2"/>
          </w:tcPr>
          <w:p w:rsidR="00E773F6" w:rsidRPr="008813DE" w:rsidRDefault="00455F0E" w:rsidP="00725B6F">
            <w:pPr>
              <w:tabs>
                <w:tab w:val="left" w:pos="1440"/>
              </w:tabs>
              <w:adjustRightInd w:val="0"/>
              <w:snapToGrid w:val="0"/>
              <w:jc w:val="center"/>
              <w:rPr>
                <w:rFonts w:ascii="Arial" w:hAnsi="Arial" w:cs="Arial"/>
                <w:szCs w:val="24"/>
                <w:lang w:val="en-GB"/>
              </w:rPr>
            </w:pPr>
            <w:r w:rsidRPr="008813DE">
              <w:rPr>
                <w:rFonts w:ascii="Arial" w:hAnsi="Arial" w:cs="Arial"/>
                <w:szCs w:val="24"/>
                <w:lang w:val="en-GB"/>
              </w:rPr>
              <w:t>19</w:t>
            </w:r>
          </w:p>
        </w:tc>
      </w:tr>
      <w:tr w:rsidR="00E773F6" w:rsidRPr="0028108F" w:rsidTr="008813DE">
        <w:tc>
          <w:tcPr>
            <w:tcW w:w="7528" w:type="dxa"/>
          </w:tcPr>
          <w:p w:rsidR="00E773F6" w:rsidRPr="00C57CE1" w:rsidRDefault="00E773F6" w:rsidP="00725B6F">
            <w:pPr>
              <w:tabs>
                <w:tab w:val="left" w:pos="1440"/>
              </w:tabs>
              <w:adjustRightInd w:val="0"/>
              <w:snapToGrid w:val="0"/>
              <w:rPr>
                <w:rFonts w:ascii="Arial" w:hAnsi="Arial" w:cs="Arial"/>
                <w:szCs w:val="24"/>
                <w:lang w:val="en-GB"/>
              </w:rPr>
            </w:pPr>
            <w:r w:rsidRPr="00181CF2">
              <w:rPr>
                <w:rFonts w:ascii="Arial" w:hAnsi="Arial" w:cs="Arial"/>
                <w:szCs w:val="24"/>
                <w:lang w:val="en-GB"/>
              </w:rPr>
              <w:t>Introducti</w:t>
            </w:r>
            <w:r w:rsidRPr="00C57CE1">
              <w:rPr>
                <w:rFonts w:ascii="Arial" w:hAnsi="Arial" w:cs="Arial"/>
                <w:szCs w:val="24"/>
                <w:lang w:val="en-GB"/>
              </w:rPr>
              <w:t>on</w:t>
            </w:r>
          </w:p>
        </w:tc>
        <w:tc>
          <w:tcPr>
            <w:tcW w:w="886" w:type="dxa"/>
            <w:gridSpan w:val="2"/>
          </w:tcPr>
          <w:p w:rsidR="00E773F6" w:rsidRPr="0028108F"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19</w:t>
            </w:r>
          </w:p>
        </w:tc>
      </w:tr>
      <w:tr w:rsidR="00E773F6" w:rsidRPr="0028108F" w:rsidTr="008813DE">
        <w:tc>
          <w:tcPr>
            <w:tcW w:w="7528" w:type="dxa"/>
          </w:tcPr>
          <w:p w:rsidR="00E773F6" w:rsidRPr="00181CF2" w:rsidRDefault="0024455B" w:rsidP="00626EBA">
            <w:pPr>
              <w:tabs>
                <w:tab w:val="left" w:pos="1440"/>
              </w:tabs>
              <w:adjustRightInd w:val="0"/>
              <w:snapToGrid w:val="0"/>
              <w:rPr>
                <w:rFonts w:ascii="Arial" w:hAnsi="Arial" w:cs="Arial"/>
                <w:szCs w:val="24"/>
                <w:lang w:val="en-GB"/>
              </w:rPr>
            </w:pPr>
            <w:r>
              <w:rPr>
                <w:rFonts w:ascii="Arial" w:hAnsi="Arial" w:cs="Arial"/>
                <w:szCs w:val="24"/>
                <w:lang w:val="en-GB"/>
              </w:rPr>
              <w:t>Current a</w:t>
            </w:r>
            <w:r w:rsidR="00E773F6" w:rsidRPr="00181CF2">
              <w:rPr>
                <w:rFonts w:ascii="Arial" w:hAnsi="Arial" w:cs="Arial"/>
                <w:szCs w:val="24"/>
                <w:lang w:val="en-GB"/>
              </w:rPr>
              <w:t xml:space="preserve">dministrative system </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19</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lastRenderedPageBreak/>
              <w:t>Medical Care and Services</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19</w:t>
            </w:r>
          </w:p>
        </w:tc>
      </w:tr>
      <w:tr w:rsidR="00E773F6" w:rsidRPr="0028108F" w:rsidTr="008813DE">
        <w:tc>
          <w:tcPr>
            <w:tcW w:w="7528" w:type="dxa"/>
          </w:tcPr>
          <w:p w:rsidR="00E773F6" w:rsidRPr="0028108F"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 xml:space="preserve">Amendment of sex </w:t>
            </w:r>
            <w:r w:rsidR="00AA7C40">
              <w:rPr>
                <w:rFonts w:ascii="Arial" w:hAnsi="Arial" w:cs="Arial"/>
                <w:szCs w:val="24"/>
                <w:lang w:val="en-GB"/>
              </w:rPr>
              <w:t xml:space="preserve">entry </w:t>
            </w:r>
            <w:r w:rsidRPr="00181CF2">
              <w:rPr>
                <w:rFonts w:ascii="Arial" w:hAnsi="Arial" w:cs="Arial"/>
                <w:szCs w:val="24"/>
                <w:lang w:val="en-GB"/>
              </w:rPr>
              <w:t xml:space="preserve">on the </w:t>
            </w:r>
            <w:r w:rsidR="00F47842" w:rsidRPr="0028108F">
              <w:rPr>
                <w:rFonts w:ascii="Arial" w:hAnsi="Arial" w:cs="Arial"/>
                <w:szCs w:val="24"/>
                <w:lang w:val="en-GB"/>
              </w:rPr>
              <w:t>Hong Kong Identity Card</w:t>
            </w:r>
            <w:r w:rsidR="00CF0C0E">
              <w:rPr>
                <w:rFonts w:ascii="Arial" w:hAnsi="Arial" w:cs="Arial" w:hint="eastAsia"/>
                <w:szCs w:val="24"/>
                <w:lang w:val="en-GB"/>
              </w:rPr>
              <w:t xml:space="preserve"> (HKIC)</w:t>
            </w:r>
          </w:p>
        </w:tc>
        <w:tc>
          <w:tcPr>
            <w:tcW w:w="886" w:type="dxa"/>
            <w:gridSpan w:val="2"/>
          </w:tcPr>
          <w:p w:rsidR="00E773F6" w:rsidRPr="0028108F"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20</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Other documents</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21</w:t>
            </w:r>
          </w:p>
        </w:tc>
      </w:tr>
      <w:tr w:rsidR="00E773F6" w:rsidRPr="0028108F" w:rsidTr="008813DE">
        <w:tc>
          <w:tcPr>
            <w:tcW w:w="7528" w:type="dxa"/>
          </w:tcPr>
          <w:p w:rsidR="00E773F6" w:rsidRPr="0028108F" w:rsidRDefault="00E773F6" w:rsidP="00725B6F">
            <w:pPr>
              <w:tabs>
                <w:tab w:val="left" w:pos="1440"/>
              </w:tabs>
              <w:adjustRightInd w:val="0"/>
              <w:snapToGrid w:val="0"/>
              <w:rPr>
                <w:rFonts w:ascii="Arial" w:hAnsi="Arial" w:cs="Arial"/>
                <w:szCs w:val="24"/>
                <w:lang w:val="en-GB"/>
              </w:rPr>
            </w:pPr>
            <w:r w:rsidRPr="00181CF2">
              <w:rPr>
                <w:rFonts w:ascii="Arial" w:hAnsi="Arial" w:cs="Arial"/>
                <w:i/>
                <w:szCs w:val="24"/>
                <w:lang w:val="en-GB"/>
              </w:rPr>
              <w:t>W v Registrar of Marriages</w:t>
            </w:r>
            <w:r w:rsidRPr="00C57CE1">
              <w:rPr>
                <w:rFonts w:ascii="Arial" w:hAnsi="Arial" w:cs="Arial"/>
                <w:szCs w:val="24"/>
                <w:lang w:val="en-GB"/>
              </w:rPr>
              <w:t xml:space="preserve"> (</w:t>
            </w:r>
            <w:r w:rsidRPr="0028108F">
              <w:rPr>
                <w:rFonts w:ascii="Arial" w:hAnsi="Arial" w:cs="Arial"/>
                <w:i/>
                <w:szCs w:val="24"/>
                <w:lang w:val="en-GB"/>
              </w:rPr>
              <w:t>W</w:t>
            </w:r>
            <w:r w:rsidRPr="0028108F">
              <w:rPr>
                <w:rFonts w:ascii="Arial" w:hAnsi="Arial" w:cs="Arial"/>
                <w:szCs w:val="24"/>
                <w:lang w:val="en-GB"/>
              </w:rPr>
              <w:t>’s case)</w:t>
            </w:r>
          </w:p>
        </w:tc>
        <w:tc>
          <w:tcPr>
            <w:tcW w:w="886" w:type="dxa"/>
            <w:gridSpan w:val="2"/>
          </w:tcPr>
          <w:p w:rsidR="00E773F6" w:rsidRPr="0028108F"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22</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The application</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22</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Judicial review</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23</w:t>
            </w:r>
          </w:p>
        </w:tc>
      </w:tr>
      <w:tr w:rsidR="00E773F6" w:rsidRPr="0028108F" w:rsidTr="008813DE">
        <w:tc>
          <w:tcPr>
            <w:tcW w:w="7528" w:type="dxa"/>
          </w:tcPr>
          <w:p w:rsidR="00E773F6" w:rsidRPr="00C57CE1"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The Court of First Instance (CFI)</w:t>
            </w:r>
            <w:r w:rsidRPr="00C57CE1">
              <w:rPr>
                <w:rFonts w:ascii="Arial" w:hAnsi="Arial" w:cs="Arial"/>
                <w:szCs w:val="24"/>
                <w:lang w:val="en-GB"/>
              </w:rPr>
              <w:t xml:space="preserve"> and Court of Appeal (CA) judgments</w:t>
            </w:r>
          </w:p>
        </w:tc>
        <w:tc>
          <w:tcPr>
            <w:tcW w:w="886" w:type="dxa"/>
            <w:gridSpan w:val="2"/>
          </w:tcPr>
          <w:p w:rsidR="00E773F6" w:rsidRPr="0028108F"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23</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The Court of Final Appeal (CFA) majority judgment</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23</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The CFA</w:t>
            </w:r>
            <w:r w:rsidR="00AA7C40">
              <w:rPr>
                <w:rFonts w:ascii="Arial" w:hAnsi="Arial" w:cs="Arial"/>
                <w:szCs w:val="24"/>
                <w:lang w:val="en-GB"/>
              </w:rPr>
              <w:t>’s</w:t>
            </w:r>
            <w:r w:rsidRPr="00181CF2">
              <w:rPr>
                <w:rFonts w:ascii="Arial" w:hAnsi="Arial" w:cs="Arial"/>
                <w:szCs w:val="24"/>
                <w:lang w:val="en-GB"/>
              </w:rPr>
              <w:t xml:space="preserve"> comments on gender recognition generally</w:t>
            </w:r>
          </w:p>
        </w:tc>
        <w:tc>
          <w:tcPr>
            <w:tcW w:w="886" w:type="dxa"/>
            <w:gridSpan w:val="2"/>
          </w:tcPr>
          <w:p w:rsidR="00E773F6" w:rsidRPr="00C57CE1" w:rsidRDefault="00455F0E" w:rsidP="00725B6F">
            <w:pPr>
              <w:tabs>
                <w:tab w:val="left" w:pos="1440"/>
              </w:tabs>
              <w:adjustRightInd w:val="0"/>
              <w:snapToGrid w:val="0"/>
              <w:jc w:val="center"/>
              <w:rPr>
                <w:rFonts w:ascii="Arial" w:hAnsi="Arial" w:cs="Arial"/>
                <w:szCs w:val="24"/>
                <w:lang w:val="en-GB"/>
              </w:rPr>
            </w:pPr>
            <w:r>
              <w:rPr>
                <w:rFonts w:ascii="Arial" w:hAnsi="Arial" w:cs="Arial"/>
                <w:szCs w:val="24"/>
                <w:lang w:val="en-GB"/>
              </w:rPr>
              <w:t>24</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Dissenting judgment of Chan PJ</w:t>
            </w:r>
          </w:p>
        </w:tc>
        <w:tc>
          <w:tcPr>
            <w:tcW w:w="886" w:type="dxa"/>
            <w:gridSpan w:val="2"/>
          </w:tcPr>
          <w:p w:rsidR="00E773F6" w:rsidRPr="00C57CE1"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24</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The CFA’s court orders</w:t>
            </w:r>
          </w:p>
        </w:tc>
        <w:tc>
          <w:tcPr>
            <w:tcW w:w="886" w:type="dxa"/>
            <w:gridSpan w:val="2"/>
          </w:tcPr>
          <w:p w:rsidR="00E773F6" w:rsidRPr="00C57CE1"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25</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Implementation of the CFA decision</w:t>
            </w:r>
          </w:p>
        </w:tc>
        <w:tc>
          <w:tcPr>
            <w:tcW w:w="886" w:type="dxa"/>
            <w:gridSpan w:val="2"/>
          </w:tcPr>
          <w:p w:rsidR="00E773F6" w:rsidRPr="00C57CE1"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25</w:t>
            </w:r>
          </w:p>
        </w:tc>
      </w:tr>
      <w:tr w:rsidR="00E773F6" w:rsidRPr="0028108F" w:rsidTr="008813DE">
        <w:tc>
          <w:tcPr>
            <w:tcW w:w="7528" w:type="dxa"/>
          </w:tcPr>
          <w:p w:rsidR="00E773F6" w:rsidRPr="00C57CE1" w:rsidRDefault="00E773F6" w:rsidP="00725B6F">
            <w:pPr>
              <w:tabs>
                <w:tab w:val="left" w:pos="1440"/>
              </w:tabs>
              <w:adjustRightInd w:val="0"/>
              <w:snapToGrid w:val="0"/>
              <w:rPr>
                <w:rFonts w:ascii="Arial" w:hAnsi="Arial" w:cs="Arial"/>
                <w:szCs w:val="24"/>
                <w:lang w:val="en-GB"/>
              </w:rPr>
            </w:pPr>
            <w:r w:rsidRPr="00181CF2">
              <w:rPr>
                <w:rFonts w:ascii="Arial" w:hAnsi="Arial" w:cs="Arial"/>
                <w:szCs w:val="24"/>
                <w:lang w:val="en-GB"/>
              </w:rPr>
              <w:t>Marriage (Amendment)</w:t>
            </w:r>
            <w:r w:rsidRPr="00C57CE1">
              <w:rPr>
                <w:rFonts w:ascii="Arial" w:hAnsi="Arial" w:cs="Arial"/>
                <w:szCs w:val="24"/>
                <w:lang w:val="en-GB"/>
              </w:rPr>
              <w:t xml:space="preserve"> Bill 2014</w:t>
            </w:r>
          </w:p>
        </w:tc>
        <w:tc>
          <w:tcPr>
            <w:tcW w:w="886" w:type="dxa"/>
            <w:gridSpan w:val="2"/>
          </w:tcPr>
          <w:p w:rsidR="00E773F6" w:rsidRPr="0028108F"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26</w:t>
            </w:r>
          </w:p>
        </w:tc>
      </w:tr>
      <w:tr w:rsidR="00E773F6" w:rsidRPr="0028108F" w:rsidTr="008813DE">
        <w:tc>
          <w:tcPr>
            <w:tcW w:w="7528" w:type="dxa"/>
          </w:tcPr>
          <w:p w:rsidR="00E773F6" w:rsidRPr="00181CF2" w:rsidRDefault="00E773F6" w:rsidP="00725B6F">
            <w:pPr>
              <w:tabs>
                <w:tab w:val="left" w:pos="1440"/>
              </w:tabs>
              <w:adjustRightInd w:val="0"/>
              <w:snapToGrid w:val="0"/>
              <w:rPr>
                <w:rFonts w:ascii="Arial" w:hAnsi="Arial" w:cs="Arial"/>
                <w:szCs w:val="24"/>
                <w:lang w:val="en-GB"/>
              </w:rPr>
            </w:pPr>
            <w:r w:rsidRPr="00181CF2">
              <w:rPr>
                <w:rFonts w:ascii="Arial" w:hAnsi="Arial" w:cs="Arial"/>
                <w:szCs w:val="24"/>
                <w:lang w:val="en-GB"/>
              </w:rPr>
              <w:t>Diagnostic criteria and treatment options</w:t>
            </w:r>
          </w:p>
        </w:tc>
        <w:tc>
          <w:tcPr>
            <w:tcW w:w="886" w:type="dxa"/>
            <w:gridSpan w:val="2"/>
          </w:tcPr>
          <w:p w:rsidR="00E773F6" w:rsidRPr="00C57CE1"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26</w:t>
            </w:r>
          </w:p>
        </w:tc>
      </w:tr>
      <w:tr w:rsidR="00E773F6" w:rsidRPr="0028108F" w:rsidTr="008813DE">
        <w:tc>
          <w:tcPr>
            <w:tcW w:w="7528" w:type="dxa"/>
          </w:tcPr>
          <w:p w:rsidR="00E773F6" w:rsidRPr="00181CF2" w:rsidRDefault="00E773F6" w:rsidP="00725B6F">
            <w:pPr>
              <w:tabs>
                <w:tab w:val="left" w:pos="1440"/>
              </w:tabs>
              <w:adjustRightInd w:val="0"/>
              <w:snapToGrid w:val="0"/>
              <w:ind w:left="1152" w:hanging="432"/>
              <w:rPr>
                <w:rFonts w:ascii="Arial" w:hAnsi="Arial" w:cs="Arial"/>
                <w:szCs w:val="24"/>
                <w:lang w:val="en-GB"/>
              </w:rPr>
            </w:pPr>
            <w:r w:rsidRPr="00181CF2">
              <w:rPr>
                <w:rFonts w:ascii="Arial" w:hAnsi="Arial" w:cs="Arial"/>
                <w:szCs w:val="24"/>
                <w:lang w:val="en-GB"/>
              </w:rPr>
              <w:t>Diagnostics criteria</w:t>
            </w:r>
          </w:p>
        </w:tc>
        <w:tc>
          <w:tcPr>
            <w:tcW w:w="886" w:type="dxa"/>
            <w:gridSpan w:val="2"/>
          </w:tcPr>
          <w:p w:rsidR="00E773F6" w:rsidRPr="00C57CE1" w:rsidRDefault="00455F0E">
            <w:pPr>
              <w:tabs>
                <w:tab w:val="left" w:pos="1440"/>
              </w:tabs>
              <w:adjustRightInd w:val="0"/>
              <w:snapToGrid w:val="0"/>
              <w:jc w:val="center"/>
              <w:rPr>
                <w:rFonts w:ascii="Arial" w:hAnsi="Arial" w:cs="Arial"/>
                <w:szCs w:val="24"/>
                <w:lang w:val="en-GB"/>
              </w:rPr>
            </w:pPr>
            <w:r>
              <w:rPr>
                <w:rFonts w:ascii="Arial" w:hAnsi="Arial" w:cs="Arial"/>
                <w:szCs w:val="24"/>
                <w:lang w:val="en-GB"/>
              </w:rPr>
              <w:t>27</w:t>
            </w:r>
          </w:p>
        </w:tc>
      </w:tr>
      <w:tr w:rsidR="00E773F6" w:rsidRPr="0028108F" w:rsidTr="008813DE">
        <w:tc>
          <w:tcPr>
            <w:tcW w:w="7528" w:type="dxa"/>
          </w:tcPr>
          <w:p w:rsidR="00E773F6" w:rsidRPr="00181CF2" w:rsidRDefault="00E773F6" w:rsidP="008813DE">
            <w:pPr>
              <w:tabs>
                <w:tab w:val="left" w:pos="1440"/>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Non-surgical treatment, including psychological/psychiatric counselling and hormonal treatment</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29</w:t>
            </w:r>
          </w:p>
        </w:tc>
      </w:tr>
      <w:tr w:rsidR="00E773F6" w:rsidRPr="0028108F" w:rsidTr="008813DE">
        <w:tc>
          <w:tcPr>
            <w:tcW w:w="7528" w:type="dxa"/>
          </w:tcPr>
          <w:p w:rsidR="00E773F6" w:rsidRPr="0028108F" w:rsidRDefault="00E773F6" w:rsidP="00725B6F">
            <w:pPr>
              <w:tabs>
                <w:tab w:val="left" w:pos="1440"/>
              </w:tabs>
              <w:adjustRightInd w:val="0"/>
              <w:snapToGrid w:val="0"/>
              <w:ind w:left="743"/>
              <w:rPr>
                <w:rFonts w:ascii="Arial" w:hAnsi="Arial" w:cs="Arial"/>
                <w:szCs w:val="24"/>
                <w:lang w:val="en-GB"/>
              </w:rPr>
            </w:pPr>
            <w:r w:rsidRPr="00181CF2">
              <w:rPr>
                <w:rFonts w:ascii="Arial" w:hAnsi="Arial" w:cs="Arial"/>
                <w:szCs w:val="24"/>
                <w:lang w:val="en-GB"/>
              </w:rPr>
              <w:t>Sex reassignment surgery</w:t>
            </w:r>
            <w:r w:rsidR="00F71C21" w:rsidRPr="00C57CE1">
              <w:rPr>
                <w:rFonts w:ascii="Arial" w:hAnsi="Arial" w:cs="Arial"/>
                <w:szCs w:val="24"/>
                <w:lang w:val="en-GB"/>
              </w:rPr>
              <w:t xml:space="preserve"> (SRS)</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32</w:t>
            </w:r>
          </w:p>
        </w:tc>
      </w:tr>
      <w:tr w:rsidR="00E773F6" w:rsidRPr="0028108F" w:rsidTr="008813DE">
        <w:tc>
          <w:tcPr>
            <w:tcW w:w="7528" w:type="dxa"/>
          </w:tcPr>
          <w:p w:rsidR="00E773F6" w:rsidRPr="0028108F" w:rsidRDefault="00E773F6">
            <w:pPr>
              <w:tabs>
                <w:tab w:val="left" w:pos="1440"/>
              </w:tabs>
              <w:adjustRightInd w:val="0"/>
              <w:snapToGrid w:val="0"/>
              <w:ind w:left="743"/>
              <w:rPr>
                <w:rFonts w:ascii="Arial" w:hAnsi="Arial" w:cs="Arial"/>
                <w:szCs w:val="24"/>
                <w:lang w:val="en-GB"/>
              </w:rPr>
            </w:pPr>
            <w:r w:rsidRPr="00181CF2">
              <w:rPr>
                <w:rFonts w:ascii="Arial" w:hAnsi="Arial" w:cs="Arial"/>
                <w:szCs w:val="24"/>
                <w:lang w:val="en-GB"/>
              </w:rPr>
              <w:t xml:space="preserve">Recent enhancement of </w:t>
            </w:r>
            <w:r w:rsidR="00287023" w:rsidRPr="0028108F">
              <w:rPr>
                <w:rFonts w:ascii="Arial" w:hAnsi="Arial" w:cs="Arial"/>
                <w:szCs w:val="24"/>
                <w:lang w:val="en-GB"/>
              </w:rPr>
              <w:t>Hospital Authority</w:t>
            </w:r>
            <w:r w:rsidR="008D374A">
              <w:rPr>
                <w:rFonts w:ascii="Arial" w:hAnsi="Arial" w:cs="Arial"/>
                <w:szCs w:val="24"/>
                <w:lang w:val="en-GB"/>
              </w:rPr>
              <w:t xml:space="preserve"> </w:t>
            </w:r>
            <w:r w:rsidR="00CF0C0E">
              <w:rPr>
                <w:rFonts w:ascii="Arial" w:hAnsi="Arial" w:cs="Arial" w:hint="eastAsia"/>
                <w:szCs w:val="24"/>
                <w:lang w:val="en-GB"/>
              </w:rPr>
              <w:t>(HA)</w:t>
            </w:r>
            <w:r w:rsidRPr="0028108F">
              <w:rPr>
                <w:rFonts w:ascii="Arial" w:hAnsi="Arial" w:cs="Arial"/>
                <w:szCs w:val="24"/>
                <w:lang w:val="en-GB"/>
              </w:rPr>
              <w:t xml:space="preserve"> services</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35</w:t>
            </w: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rPr>
            </w:pPr>
          </w:p>
          <w:p w:rsidR="00725B6F" w:rsidRPr="0028108F" w:rsidRDefault="00725B6F" w:rsidP="00725B6F">
            <w:pPr>
              <w:tabs>
                <w:tab w:val="left" w:pos="1440"/>
              </w:tabs>
              <w:adjustRightInd w:val="0"/>
              <w:snapToGrid w:val="0"/>
              <w:rPr>
                <w:rFonts w:ascii="Arial" w:hAnsi="Arial" w:cs="Arial"/>
                <w:b/>
                <w:szCs w:val="24"/>
              </w:rPr>
            </w:pPr>
          </w:p>
        </w:tc>
        <w:tc>
          <w:tcPr>
            <w:tcW w:w="886" w:type="dxa"/>
            <w:gridSpan w:val="2"/>
          </w:tcPr>
          <w:p w:rsidR="00E773F6" w:rsidRPr="00181CF2" w:rsidRDefault="00E773F6" w:rsidP="008813DE">
            <w:pPr>
              <w:tabs>
                <w:tab w:val="left" w:pos="1440"/>
              </w:tabs>
              <w:adjustRightInd w:val="0"/>
              <w:snapToGrid w:val="0"/>
              <w:jc w:val="center"/>
              <w:rPr>
                <w:rFonts w:ascii="Arial" w:hAnsi="Arial" w:cs="Arial"/>
                <w:b/>
                <w:szCs w:val="24"/>
                <w:lang w:val="en-GB"/>
              </w:rPr>
            </w:pPr>
          </w:p>
        </w:tc>
      </w:tr>
      <w:tr w:rsidR="00E773F6" w:rsidRPr="0028108F" w:rsidTr="008813DE">
        <w:tc>
          <w:tcPr>
            <w:tcW w:w="7528" w:type="dxa"/>
          </w:tcPr>
          <w:p w:rsidR="00E773F6" w:rsidRDefault="00E773F6" w:rsidP="00725B6F">
            <w:pPr>
              <w:tabs>
                <w:tab w:val="left" w:pos="1440"/>
              </w:tabs>
              <w:adjustRightInd w:val="0"/>
              <w:snapToGrid w:val="0"/>
              <w:ind w:left="1452" w:hanging="1452"/>
              <w:jc w:val="both"/>
              <w:rPr>
                <w:rFonts w:ascii="Arial" w:hAnsi="Arial" w:cs="Arial"/>
                <w:b/>
                <w:szCs w:val="24"/>
                <w:lang w:val="en-GB"/>
              </w:rPr>
            </w:pPr>
            <w:r w:rsidRPr="00181CF2">
              <w:rPr>
                <w:rFonts w:ascii="Arial" w:hAnsi="Arial" w:cs="Arial"/>
                <w:b/>
                <w:szCs w:val="24"/>
                <w:lang w:val="en-GB"/>
              </w:rPr>
              <w:t>Chapter 3</w:t>
            </w:r>
            <w:r w:rsidRPr="00181CF2">
              <w:rPr>
                <w:rFonts w:ascii="Arial" w:hAnsi="Arial" w:cs="Arial"/>
                <w:b/>
                <w:szCs w:val="24"/>
                <w:lang w:val="en-GB"/>
              </w:rPr>
              <w:tab/>
              <w:t>United Kingdom Gender Recognition Scheme</w:t>
            </w:r>
          </w:p>
          <w:p w:rsidR="00725B6F" w:rsidRPr="00181CF2" w:rsidRDefault="00725B6F" w:rsidP="00725B6F">
            <w:pPr>
              <w:tabs>
                <w:tab w:val="left" w:pos="1440"/>
              </w:tabs>
              <w:adjustRightInd w:val="0"/>
              <w:snapToGrid w:val="0"/>
              <w:ind w:left="1452" w:hanging="1452"/>
              <w:jc w:val="both"/>
              <w:rPr>
                <w:rFonts w:ascii="Arial" w:hAnsi="Arial" w:cs="Arial"/>
                <w:b/>
                <w:szCs w:val="24"/>
                <w:lang w:val="en-GB"/>
              </w:rPr>
            </w:pPr>
          </w:p>
        </w:tc>
        <w:tc>
          <w:tcPr>
            <w:tcW w:w="886" w:type="dxa"/>
            <w:gridSpan w:val="2"/>
          </w:tcPr>
          <w:p w:rsidR="00E773F6" w:rsidRPr="008813DE" w:rsidRDefault="00455F0E"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37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Introduction</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37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Overview of the UK gender recognition scheme</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37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Background</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38</w:t>
            </w:r>
          </w:p>
        </w:tc>
      </w:tr>
      <w:tr w:rsidR="00E773F6" w:rsidRPr="0028108F" w:rsidTr="008813DE">
        <w:tc>
          <w:tcPr>
            <w:tcW w:w="7528" w:type="dxa"/>
          </w:tcPr>
          <w:p w:rsidR="00E773F6" w:rsidRPr="00181CF2" w:rsidRDefault="00E773F6" w:rsidP="00725B6F">
            <w:pPr>
              <w:tabs>
                <w:tab w:val="left" w:pos="1440"/>
              </w:tabs>
              <w:adjustRightInd w:val="0"/>
              <w:snapToGrid w:val="0"/>
              <w:ind w:left="1168" w:hanging="425"/>
              <w:rPr>
                <w:rFonts w:ascii="Arial" w:hAnsi="Arial" w:cs="Arial"/>
                <w:szCs w:val="24"/>
                <w:lang w:val="en-GB"/>
              </w:rPr>
            </w:pPr>
            <w:r w:rsidRPr="00181CF2">
              <w:rPr>
                <w:rFonts w:ascii="Arial" w:hAnsi="Arial" w:cs="Arial"/>
                <w:szCs w:val="24"/>
                <w:lang w:val="en-GB"/>
              </w:rPr>
              <w:t>The report of the Interdepartmental Working Group on Transsexual People</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39</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Proposed options for consultation</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40</w:t>
            </w:r>
          </w:p>
        </w:tc>
      </w:tr>
      <w:tr w:rsidR="00E773F6" w:rsidRPr="0028108F" w:rsidTr="008813DE">
        <w:tc>
          <w:tcPr>
            <w:tcW w:w="7528" w:type="dxa"/>
          </w:tcPr>
          <w:p w:rsidR="00E773F6" w:rsidRPr="00C57CE1"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Sugge</w:t>
            </w:r>
            <w:r w:rsidRPr="00C57CE1">
              <w:rPr>
                <w:rFonts w:ascii="Arial" w:hAnsi="Arial" w:cs="Arial"/>
                <w:szCs w:val="24"/>
                <w:lang w:val="en-GB"/>
              </w:rPr>
              <w:t>stions for legislative changes</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45</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23"/>
              <w:rPr>
                <w:rFonts w:ascii="Arial" w:hAnsi="Arial" w:cs="Arial"/>
                <w:szCs w:val="24"/>
                <w:lang w:val="en-GB"/>
              </w:rPr>
            </w:pPr>
            <w:r w:rsidRPr="00181CF2">
              <w:rPr>
                <w:rFonts w:ascii="Arial" w:hAnsi="Arial" w:cs="Arial"/>
                <w:szCs w:val="24"/>
                <w:lang w:val="en-GB"/>
              </w:rPr>
              <w:t>Developments following the Working Group report</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47</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Reconvening of the Working Group</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47</w:t>
            </w:r>
          </w:p>
        </w:tc>
      </w:tr>
      <w:tr w:rsidR="00E773F6" w:rsidRPr="0028108F" w:rsidTr="008813DE">
        <w:tc>
          <w:tcPr>
            <w:tcW w:w="7528" w:type="dxa"/>
          </w:tcPr>
          <w:p w:rsidR="00E773F6" w:rsidRPr="0028108F" w:rsidRDefault="00E773F6" w:rsidP="008813DE">
            <w:pPr>
              <w:tabs>
                <w:tab w:val="left" w:pos="1877"/>
              </w:tabs>
              <w:adjustRightInd w:val="0"/>
              <w:snapToGrid w:val="0"/>
              <w:ind w:leftChars="605" w:left="1877" w:hangingChars="177" w:hanging="425"/>
              <w:rPr>
                <w:rFonts w:ascii="Arial" w:hAnsi="Arial" w:cs="Arial"/>
                <w:szCs w:val="24"/>
                <w:lang w:val="en-GB"/>
              </w:rPr>
            </w:pPr>
            <w:r w:rsidRPr="00181CF2">
              <w:rPr>
                <w:rFonts w:ascii="Arial" w:hAnsi="Arial" w:cs="Arial"/>
                <w:i/>
                <w:szCs w:val="24"/>
                <w:lang w:val="en-GB"/>
              </w:rPr>
              <w:t>Christine Goodwin v The United Kingdom</w:t>
            </w:r>
            <w:r w:rsidRPr="00C57CE1">
              <w:rPr>
                <w:rFonts w:ascii="Arial" w:hAnsi="Arial" w:cs="Arial"/>
                <w:szCs w:val="24"/>
                <w:lang w:val="en-GB"/>
              </w:rPr>
              <w:t xml:space="preserve"> and</w:t>
            </w:r>
            <w:r w:rsidRPr="00C57CE1">
              <w:rPr>
                <w:rFonts w:ascii="Arial" w:hAnsi="Arial" w:cs="Arial"/>
                <w:szCs w:val="24"/>
                <w:lang w:val="en-GB"/>
              </w:rPr>
              <w:br/>
            </w:r>
            <w:r w:rsidRPr="0028108F">
              <w:rPr>
                <w:rFonts w:ascii="Arial" w:hAnsi="Arial" w:cs="Arial"/>
                <w:i/>
                <w:szCs w:val="24"/>
                <w:lang w:val="en-GB"/>
              </w:rPr>
              <w:t>I v The United Kingdom</w:t>
            </w:r>
          </w:p>
        </w:tc>
        <w:tc>
          <w:tcPr>
            <w:tcW w:w="886" w:type="dxa"/>
            <w:gridSpan w:val="2"/>
          </w:tcPr>
          <w:p w:rsidR="00E773F6" w:rsidRPr="0028108F" w:rsidRDefault="00455F0E" w:rsidP="00B55846">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w:t>
            </w:r>
            <w:r w:rsidR="00B55846">
              <w:rPr>
                <w:rFonts w:ascii="Arial" w:hAnsi="Arial" w:cs="Arial"/>
                <w:szCs w:val="24"/>
                <w:lang w:val="en-GB"/>
              </w:rPr>
              <w:t>8</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Draft legislation</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48</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i/>
                <w:szCs w:val="24"/>
                <w:lang w:val="en-GB"/>
              </w:rPr>
            </w:pPr>
            <w:r w:rsidRPr="00181CF2">
              <w:rPr>
                <w:rFonts w:ascii="Arial" w:hAnsi="Arial" w:cs="Arial"/>
                <w:i/>
                <w:szCs w:val="24"/>
                <w:lang w:val="en-GB"/>
              </w:rPr>
              <w:t>Bellinger v Bellinger</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48</w:t>
            </w:r>
          </w:p>
        </w:tc>
      </w:tr>
      <w:tr w:rsidR="00E773F6" w:rsidRPr="0028108F" w:rsidTr="008813DE">
        <w:tc>
          <w:tcPr>
            <w:tcW w:w="7528" w:type="dxa"/>
          </w:tcPr>
          <w:p w:rsidR="00E773F6" w:rsidRPr="0028108F" w:rsidRDefault="00E773F6">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The Gender Recognition Act</w:t>
            </w:r>
            <w:r w:rsidRPr="00C57CE1">
              <w:rPr>
                <w:rFonts w:ascii="Arial" w:hAnsi="Arial" w:cs="Arial"/>
                <w:szCs w:val="24"/>
                <w:lang w:val="en-GB"/>
              </w:rPr>
              <w:t xml:space="preserve"> 2004</w:t>
            </w:r>
            <w:r w:rsidR="002F5B93">
              <w:rPr>
                <w:rFonts w:ascii="Arial" w:hAnsi="Arial" w:cs="Arial"/>
                <w:szCs w:val="24"/>
                <w:lang w:val="en-GB"/>
              </w:rPr>
              <w:t xml:space="preserve"> (GRA)</w:t>
            </w:r>
            <w:r w:rsidR="00A74214" w:rsidRPr="0028108F">
              <w:rPr>
                <w:rFonts w:ascii="Arial" w:hAnsi="Arial" w:cs="Arial"/>
                <w:szCs w:val="24"/>
                <w:lang w:val="en-GB"/>
              </w:rPr>
              <w:t xml:space="preserve"> </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49</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23"/>
              <w:rPr>
                <w:rFonts w:ascii="Arial" w:hAnsi="Arial" w:cs="Arial"/>
                <w:szCs w:val="24"/>
                <w:lang w:val="en-GB"/>
              </w:rPr>
            </w:pPr>
            <w:r w:rsidRPr="00181CF2">
              <w:rPr>
                <w:rFonts w:ascii="Arial" w:hAnsi="Arial" w:cs="Arial"/>
                <w:szCs w:val="24"/>
                <w:lang w:val="en-GB"/>
              </w:rPr>
              <w:t>Introduction of the Act</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49</w:t>
            </w:r>
          </w:p>
        </w:tc>
      </w:tr>
      <w:tr w:rsidR="00E773F6" w:rsidRPr="0028108F" w:rsidTr="008813DE">
        <w:tc>
          <w:tcPr>
            <w:tcW w:w="7528" w:type="dxa"/>
          </w:tcPr>
          <w:p w:rsidR="00E773F6" w:rsidRPr="0028108F" w:rsidRDefault="00E773F6" w:rsidP="00D45E82">
            <w:pPr>
              <w:tabs>
                <w:tab w:val="left" w:pos="1168"/>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Features of the UK gender recognition scheme under the</w:t>
            </w:r>
            <w:r w:rsidR="00287023" w:rsidRPr="00C57CE1">
              <w:rPr>
                <w:rFonts w:ascii="Arial" w:hAnsi="Arial" w:cs="Arial"/>
                <w:szCs w:val="24"/>
                <w:lang w:val="en-GB"/>
              </w:rPr>
              <w:t xml:space="preserve"> </w:t>
            </w:r>
            <w:r w:rsidR="00287023" w:rsidRPr="0028108F">
              <w:rPr>
                <w:rFonts w:ascii="Arial" w:hAnsi="Arial" w:cs="Arial"/>
                <w:szCs w:val="24"/>
                <w:lang w:val="en-GB"/>
              </w:rPr>
              <w:t>GRA</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50</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Type of gender recognition scheme</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50</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Authority to determine the application</w:t>
            </w:r>
            <w:r w:rsidR="002F5B93">
              <w:rPr>
                <w:rFonts w:ascii="Arial" w:hAnsi="Arial" w:cs="Arial"/>
                <w:szCs w:val="24"/>
                <w:lang w:val="en-GB"/>
              </w:rPr>
              <w:t>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50</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Minimum age requirement</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50</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No residency requirement</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50</w:t>
            </w:r>
          </w:p>
        </w:tc>
      </w:tr>
      <w:tr w:rsidR="00E773F6" w:rsidRPr="0028108F" w:rsidTr="008813DE">
        <w:tc>
          <w:tcPr>
            <w:tcW w:w="7528" w:type="dxa"/>
          </w:tcPr>
          <w:p w:rsidR="00E773F6" w:rsidRPr="00C57CE1"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Requirements relating</w:t>
            </w:r>
            <w:r w:rsidRPr="00C57CE1">
              <w:rPr>
                <w:rFonts w:ascii="Arial" w:hAnsi="Arial" w:cs="Arial"/>
                <w:szCs w:val="24"/>
                <w:lang w:val="en-GB"/>
              </w:rPr>
              <w:t xml:space="preserve"> to marital status</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51</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No requirements relating to parental status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52</w:t>
            </w:r>
          </w:p>
        </w:tc>
      </w:tr>
      <w:tr w:rsidR="00E773F6" w:rsidRPr="0028108F" w:rsidTr="008813DE">
        <w:tc>
          <w:tcPr>
            <w:tcW w:w="7528" w:type="dxa"/>
          </w:tcPr>
          <w:p w:rsidR="00E773F6" w:rsidRPr="0028108F" w:rsidRDefault="00E773F6" w:rsidP="008813DE">
            <w:pPr>
              <w:tabs>
                <w:tab w:val="left" w:pos="1440"/>
              </w:tabs>
              <w:adjustRightInd w:val="0"/>
              <w:snapToGrid w:val="0"/>
              <w:ind w:left="1877" w:hanging="425"/>
              <w:rPr>
                <w:rFonts w:ascii="Arial" w:hAnsi="Arial" w:cs="Arial"/>
                <w:szCs w:val="24"/>
                <w:lang w:val="en-GB"/>
              </w:rPr>
            </w:pPr>
            <w:r w:rsidRPr="00181CF2">
              <w:rPr>
                <w:rFonts w:ascii="Arial" w:hAnsi="Arial" w:cs="Arial"/>
                <w:szCs w:val="24"/>
                <w:lang w:val="en-GB"/>
              </w:rPr>
              <w:lastRenderedPageBreak/>
              <w:t>Requirement of gender dysphoria/</w:t>
            </w:r>
            <w:r w:rsidR="00334997" w:rsidRPr="0028108F">
              <w:rPr>
                <w:rFonts w:ascii="Arial" w:hAnsi="Arial" w:cs="Arial"/>
                <w:szCs w:val="24"/>
                <w:lang w:val="en-GB"/>
              </w:rPr>
              <w:t>gender identity disorder</w:t>
            </w:r>
            <w:r w:rsidRPr="0028108F">
              <w:rPr>
                <w:rFonts w:ascii="Arial" w:hAnsi="Arial" w:cs="Arial"/>
                <w:szCs w:val="24"/>
                <w:lang w:val="en-GB"/>
              </w:rPr>
              <w:t xml:space="preserve"> diagnosis</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52</w:t>
            </w:r>
          </w:p>
        </w:tc>
      </w:tr>
      <w:tr w:rsidR="00E773F6" w:rsidRPr="0028108F" w:rsidTr="008813DE">
        <w:tc>
          <w:tcPr>
            <w:tcW w:w="7528" w:type="dxa"/>
          </w:tcPr>
          <w:p w:rsidR="00E773F6" w:rsidRPr="0028108F"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Requirement of “</w:t>
            </w:r>
            <w:r w:rsidR="00043FD0" w:rsidRPr="0028108F">
              <w:rPr>
                <w:rFonts w:ascii="Arial" w:hAnsi="Arial" w:cs="Arial"/>
                <w:szCs w:val="24"/>
                <w:lang w:val="en-GB"/>
              </w:rPr>
              <w:t>real life test</w:t>
            </w:r>
            <w:r w:rsidRPr="0028108F">
              <w:rPr>
                <w:rFonts w:ascii="Arial" w:hAnsi="Arial" w:cs="Arial"/>
                <w:szCs w:val="24"/>
                <w:lang w:val="en-GB"/>
              </w:rPr>
              <w:t>”</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52</w:t>
            </w:r>
          </w:p>
        </w:tc>
      </w:tr>
      <w:tr w:rsidR="00E773F6" w:rsidRPr="0028108F" w:rsidTr="008813DE">
        <w:tc>
          <w:tcPr>
            <w:tcW w:w="7528" w:type="dxa"/>
          </w:tcPr>
          <w:p w:rsidR="00E773F6" w:rsidRPr="00181CF2" w:rsidRDefault="00E773F6" w:rsidP="00725B6F">
            <w:pPr>
              <w:tabs>
                <w:tab w:val="left" w:pos="1440"/>
              </w:tabs>
              <w:adjustRightInd w:val="0"/>
              <w:snapToGrid w:val="0"/>
              <w:ind w:left="1877" w:hanging="425"/>
              <w:rPr>
                <w:rFonts w:ascii="Arial" w:hAnsi="Arial" w:cs="Arial"/>
                <w:szCs w:val="24"/>
                <w:lang w:val="en-GB"/>
              </w:rPr>
            </w:pPr>
            <w:r w:rsidRPr="00181CF2">
              <w:rPr>
                <w:rFonts w:ascii="Arial" w:hAnsi="Arial" w:cs="Arial"/>
                <w:szCs w:val="24"/>
                <w:lang w:val="en-GB"/>
              </w:rPr>
              <w:t>Requirement of intention to live permanently in acquired gender</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53</w:t>
            </w:r>
          </w:p>
        </w:tc>
      </w:tr>
      <w:tr w:rsidR="00E773F6" w:rsidRPr="0028108F" w:rsidTr="008813DE">
        <w:tc>
          <w:tcPr>
            <w:tcW w:w="7528" w:type="dxa"/>
          </w:tcPr>
          <w:p w:rsidR="00E773F6" w:rsidRPr="00C57CE1" w:rsidRDefault="00E773F6" w:rsidP="00725B6F">
            <w:pPr>
              <w:tabs>
                <w:tab w:val="left" w:pos="1440"/>
              </w:tabs>
              <w:adjustRightInd w:val="0"/>
              <w:snapToGrid w:val="0"/>
              <w:ind w:left="1877" w:hanging="425"/>
              <w:rPr>
                <w:rFonts w:ascii="Arial" w:hAnsi="Arial" w:cs="Arial"/>
                <w:szCs w:val="24"/>
                <w:lang w:val="en-GB"/>
              </w:rPr>
            </w:pPr>
            <w:r w:rsidRPr="00181CF2">
              <w:rPr>
                <w:rFonts w:ascii="Arial" w:hAnsi="Arial" w:cs="Arial"/>
                <w:szCs w:val="24"/>
                <w:lang w:val="en-GB"/>
              </w:rPr>
              <w:t>No</w:t>
            </w:r>
            <w:r w:rsidRPr="00C57CE1">
              <w:rPr>
                <w:rFonts w:ascii="Arial" w:hAnsi="Arial" w:cs="Arial"/>
                <w:szCs w:val="24"/>
                <w:lang w:val="en-GB"/>
              </w:rPr>
              <w:t xml:space="preserve"> requirement for gender reassignment surgery leading to sterilisation</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53</w:t>
            </w:r>
          </w:p>
        </w:tc>
      </w:tr>
      <w:tr w:rsidR="00E773F6" w:rsidRPr="0028108F" w:rsidTr="008813DE">
        <w:tc>
          <w:tcPr>
            <w:tcW w:w="7528" w:type="dxa"/>
          </w:tcPr>
          <w:p w:rsidR="00E773F6" w:rsidRPr="00181CF2" w:rsidRDefault="00E773F6" w:rsidP="00725B6F">
            <w:pPr>
              <w:tabs>
                <w:tab w:val="left" w:pos="1440"/>
              </w:tabs>
              <w:adjustRightInd w:val="0"/>
              <w:snapToGrid w:val="0"/>
              <w:ind w:left="1877" w:hanging="425"/>
              <w:rPr>
                <w:rFonts w:ascii="Arial" w:hAnsi="Arial" w:cs="Arial"/>
                <w:szCs w:val="24"/>
                <w:lang w:val="en-GB"/>
              </w:rPr>
            </w:pPr>
            <w:r w:rsidRPr="00181CF2">
              <w:rPr>
                <w:rFonts w:ascii="Arial" w:hAnsi="Arial" w:cs="Arial"/>
                <w:szCs w:val="24"/>
                <w:lang w:val="en-GB"/>
              </w:rPr>
              <w:t xml:space="preserve">No requirement for hormonal treatment </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53</w:t>
            </w:r>
          </w:p>
        </w:tc>
      </w:tr>
      <w:tr w:rsidR="00E773F6" w:rsidRPr="0028108F" w:rsidTr="008813DE">
        <w:tc>
          <w:tcPr>
            <w:tcW w:w="7528" w:type="dxa"/>
          </w:tcPr>
          <w:p w:rsidR="00E773F6" w:rsidRPr="0028108F" w:rsidRDefault="00E773F6" w:rsidP="00725B6F">
            <w:pPr>
              <w:tabs>
                <w:tab w:val="left" w:pos="1440"/>
              </w:tabs>
              <w:adjustRightInd w:val="0"/>
              <w:snapToGrid w:val="0"/>
              <w:ind w:left="1877" w:hanging="425"/>
              <w:rPr>
                <w:rFonts w:ascii="Arial" w:hAnsi="Arial" w:cs="Arial"/>
                <w:szCs w:val="24"/>
                <w:lang w:val="en-GB"/>
              </w:rPr>
            </w:pPr>
            <w:r w:rsidRPr="00181CF2">
              <w:rPr>
                <w:rFonts w:ascii="Arial" w:hAnsi="Arial" w:cs="Arial"/>
                <w:szCs w:val="24"/>
                <w:lang w:val="en-GB"/>
              </w:rPr>
              <w:t xml:space="preserve">No requirement of physical </w:t>
            </w:r>
            <w:r w:rsidR="002157E0" w:rsidRPr="0028108F">
              <w:rPr>
                <w:rFonts w:ascii="Arial" w:hAnsi="Arial" w:cs="Arial"/>
                <w:szCs w:val="24"/>
                <w:lang w:val="en-GB"/>
              </w:rPr>
              <w:t>adaptation</w:t>
            </w:r>
            <w:r w:rsidRPr="0028108F">
              <w:rPr>
                <w:rFonts w:ascii="Arial" w:hAnsi="Arial" w:cs="Arial"/>
                <w:szCs w:val="24"/>
                <w:lang w:val="en-GB"/>
              </w:rPr>
              <w:t xml:space="preserve"> (including non-genital surgery)</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54</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Further evidence</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54</w:t>
            </w:r>
          </w:p>
        </w:tc>
      </w:tr>
      <w:tr w:rsidR="00E773F6" w:rsidRPr="0028108F" w:rsidTr="008813DE">
        <w:tc>
          <w:tcPr>
            <w:tcW w:w="7528" w:type="dxa"/>
          </w:tcPr>
          <w:p w:rsidR="00E773F6" w:rsidRPr="0028108F" w:rsidRDefault="00E773F6" w:rsidP="001F1A82">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Official documents, etc</w:t>
            </w:r>
            <w:r w:rsidRPr="0028108F">
              <w:rPr>
                <w:rFonts w:ascii="Arial" w:hAnsi="Arial" w:cs="Arial"/>
                <w:szCs w:val="24"/>
                <w:lang w:val="en-GB"/>
              </w:rPr>
              <w:t>, affected</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54</w:t>
            </w:r>
          </w:p>
        </w:tc>
      </w:tr>
      <w:tr w:rsidR="00E773F6" w:rsidRPr="0028108F" w:rsidTr="008813DE">
        <w:tc>
          <w:tcPr>
            <w:tcW w:w="7528" w:type="dxa"/>
          </w:tcPr>
          <w:p w:rsidR="00E773F6" w:rsidRPr="00C57CE1"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Reco</w:t>
            </w:r>
            <w:r w:rsidRPr="00C57CE1">
              <w:rPr>
                <w:rFonts w:ascii="Arial" w:hAnsi="Arial" w:cs="Arial"/>
                <w:szCs w:val="24"/>
                <w:lang w:val="en-GB"/>
              </w:rPr>
              <w:t>gnition of foreign gender change</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54</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Scope of recognition</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55</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23"/>
              <w:rPr>
                <w:rFonts w:ascii="Arial" w:hAnsi="Arial" w:cs="Arial"/>
                <w:szCs w:val="24"/>
                <w:lang w:val="en-GB"/>
              </w:rPr>
            </w:pPr>
            <w:r w:rsidRPr="00181CF2">
              <w:rPr>
                <w:rFonts w:ascii="Arial" w:hAnsi="Arial" w:cs="Arial"/>
                <w:szCs w:val="24"/>
                <w:lang w:val="en-GB"/>
              </w:rPr>
              <w:t>Post-recognition matters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55</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Confidentiality</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55</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What the acquired gender does not affect</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56</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732"/>
              <w:rPr>
                <w:rFonts w:ascii="Arial" w:hAnsi="Arial" w:cs="Arial"/>
                <w:szCs w:val="24"/>
                <w:lang w:val="en-GB"/>
              </w:rPr>
            </w:pPr>
            <w:r w:rsidRPr="00181CF2">
              <w:rPr>
                <w:rFonts w:ascii="Arial" w:hAnsi="Arial" w:cs="Arial"/>
                <w:szCs w:val="24"/>
                <w:lang w:val="en-GB"/>
              </w:rPr>
              <w:t>Consequential legislative amendments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57</w:t>
            </w:r>
          </w:p>
        </w:tc>
      </w:tr>
      <w:tr w:rsidR="00E773F6" w:rsidRPr="0028108F" w:rsidTr="008813DE">
        <w:tc>
          <w:tcPr>
            <w:tcW w:w="7528" w:type="dxa"/>
          </w:tcPr>
          <w:p w:rsidR="00E773F6" w:rsidRPr="00181CF2" w:rsidRDefault="00E773F6">
            <w:pPr>
              <w:tabs>
                <w:tab w:val="left" w:pos="1440"/>
              </w:tabs>
              <w:adjustRightInd w:val="0"/>
              <w:snapToGrid w:val="0"/>
              <w:ind w:left="1877" w:hanging="425"/>
              <w:rPr>
                <w:rFonts w:ascii="Arial" w:hAnsi="Arial" w:cs="Arial"/>
                <w:szCs w:val="24"/>
                <w:lang w:val="en-GB"/>
              </w:rPr>
            </w:pPr>
            <w:r w:rsidRPr="00181CF2">
              <w:rPr>
                <w:rFonts w:ascii="Arial" w:hAnsi="Arial" w:cs="Arial"/>
                <w:szCs w:val="24"/>
                <w:lang w:val="en-GB"/>
              </w:rPr>
              <w:t xml:space="preserve">Areas of concern in House of Lords’ debates not reflected in the </w:t>
            </w:r>
            <w:r w:rsidR="00AA7C40">
              <w:rPr>
                <w:rFonts w:ascii="Arial" w:hAnsi="Arial" w:cs="Arial"/>
                <w:szCs w:val="24"/>
                <w:lang w:val="en-GB"/>
              </w:rPr>
              <w:t>GRA</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59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The Gender Recognition Panel</w:t>
            </w:r>
            <w:r w:rsidR="00C6336A">
              <w:rPr>
                <w:rFonts w:ascii="Arial" w:hAnsi="Arial" w:cs="Arial"/>
                <w:szCs w:val="24"/>
                <w:lang w:val="en-GB"/>
              </w:rPr>
              <w:t xml:space="preserve"> (GRP)</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61</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23"/>
              <w:rPr>
                <w:rFonts w:ascii="Arial" w:hAnsi="Arial" w:cs="Arial"/>
                <w:szCs w:val="24"/>
                <w:lang w:val="en-GB"/>
              </w:rPr>
            </w:pPr>
            <w:r w:rsidRPr="00181CF2">
              <w:rPr>
                <w:rFonts w:ascii="Arial" w:hAnsi="Arial" w:cs="Arial"/>
                <w:szCs w:val="24"/>
                <w:lang w:val="en-GB"/>
              </w:rPr>
              <w:t>Role and structure</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61</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23"/>
              <w:rPr>
                <w:rFonts w:ascii="Arial" w:hAnsi="Arial" w:cs="Arial"/>
                <w:szCs w:val="24"/>
                <w:lang w:val="en-GB"/>
              </w:rPr>
            </w:pPr>
            <w:r w:rsidRPr="00181CF2">
              <w:rPr>
                <w:rFonts w:ascii="Arial" w:hAnsi="Arial" w:cs="Arial"/>
                <w:szCs w:val="24"/>
                <w:lang w:val="en-GB"/>
              </w:rPr>
              <w:t>Procedures for handling applications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61</w:t>
            </w:r>
          </w:p>
        </w:tc>
      </w:tr>
      <w:tr w:rsidR="00E773F6" w:rsidRPr="0028108F" w:rsidTr="008813DE">
        <w:tc>
          <w:tcPr>
            <w:tcW w:w="7528" w:type="dxa"/>
          </w:tcPr>
          <w:p w:rsidR="00E773F6" w:rsidRPr="00181CF2" w:rsidRDefault="00E773F6" w:rsidP="00725B6F">
            <w:pPr>
              <w:tabs>
                <w:tab w:val="left" w:pos="1440"/>
              </w:tabs>
              <w:adjustRightInd w:val="0"/>
              <w:snapToGrid w:val="0"/>
              <w:ind w:left="720" w:firstLine="23"/>
              <w:rPr>
                <w:rFonts w:ascii="Arial" w:hAnsi="Arial" w:cs="Arial"/>
                <w:szCs w:val="24"/>
                <w:lang w:val="en-GB"/>
              </w:rPr>
            </w:pPr>
            <w:r w:rsidRPr="00181CF2">
              <w:rPr>
                <w:rFonts w:ascii="Arial" w:hAnsi="Arial" w:cs="Arial"/>
                <w:szCs w:val="24"/>
                <w:lang w:val="en-GB"/>
              </w:rPr>
              <w:t>Evidence required for gender recognition</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63</w:t>
            </w:r>
          </w:p>
        </w:tc>
      </w:tr>
      <w:tr w:rsidR="00E773F6" w:rsidRPr="0028108F" w:rsidTr="008813DE">
        <w:tc>
          <w:tcPr>
            <w:tcW w:w="7528" w:type="dxa"/>
          </w:tcPr>
          <w:p w:rsidR="00E773F6" w:rsidRPr="00181CF2" w:rsidRDefault="00E773F6" w:rsidP="008813DE">
            <w:pPr>
              <w:tabs>
                <w:tab w:val="left" w:pos="1440"/>
              </w:tabs>
              <w:adjustRightInd w:val="0"/>
              <w:snapToGrid w:val="0"/>
              <w:ind w:left="317" w:hangingChars="132" w:hanging="317"/>
              <w:rPr>
                <w:rFonts w:ascii="Arial" w:hAnsi="Arial" w:cs="Arial"/>
                <w:szCs w:val="24"/>
                <w:lang w:val="en-GB"/>
              </w:rPr>
            </w:pPr>
            <w:r w:rsidRPr="00181CF2">
              <w:rPr>
                <w:rFonts w:ascii="Arial" w:hAnsi="Arial" w:cs="Arial"/>
                <w:szCs w:val="24"/>
                <w:lang w:val="en-GB"/>
              </w:rPr>
              <w:t>Subsequent findings on the application process and evidential requirements</w:t>
            </w:r>
            <w:r w:rsidR="00AA7C40">
              <w:rPr>
                <w:rFonts w:ascii="Arial" w:hAnsi="Arial" w:cs="Arial"/>
                <w:szCs w:val="24"/>
                <w:lang w:val="en-GB"/>
              </w:rPr>
              <w:t xml:space="preserve"> for gender recognition</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64</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11"/>
              <w:rPr>
                <w:rFonts w:ascii="Arial" w:hAnsi="Arial" w:cs="Arial"/>
                <w:szCs w:val="24"/>
                <w:lang w:val="en-GB"/>
              </w:rPr>
            </w:pPr>
            <w:r w:rsidRPr="00181CF2">
              <w:rPr>
                <w:rFonts w:ascii="Arial" w:hAnsi="Arial" w:cs="Arial"/>
                <w:szCs w:val="24"/>
                <w:lang w:val="en-GB"/>
              </w:rPr>
              <w:t>Effectiveness of the application process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64</w:t>
            </w:r>
          </w:p>
        </w:tc>
      </w:tr>
      <w:tr w:rsidR="00E773F6" w:rsidRPr="0028108F" w:rsidTr="008813DE">
        <w:tc>
          <w:tcPr>
            <w:tcW w:w="7528" w:type="dxa"/>
          </w:tcPr>
          <w:p w:rsidR="00E773F6" w:rsidRPr="00C57CE1" w:rsidRDefault="00E773F6" w:rsidP="00725B6F">
            <w:pPr>
              <w:tabs>
                <w:tab w:val="left" w:pos="1440"/>
              </w:tabs>
              <w:adjustRightInd w:val="0"/>
              <w:snapToGrid w:val="0"/>
              <w:ind w:left="720" w:hanging="11"/>
              <w:rPr>
                <w:rFonts w:ascii="Arial" w:hAnsi="Arial" w:cs="Arial"/>
                <w:szCs w:val="24"/>
                <w:lang w:val="en-GB"/>
              </w:rPr>
            </w:pPr>
            <w:r w:rsidRPr="00181CF2">
              <w:rPr>
                <w:rFonts w:ascii="Arial" w:hAnsi="Arial" w:cs="Arial"/>
                <w:szCs w:val="24"/>
                <w:lang w:val="en-GB"/>
              </w:rPr>
              <w:t>Th</w:t>
            </w:r>
            <w:r w:rsidRPr="00C57CE1">
              <w:rPr>
                <w:rFonts w:ascii="Arial" w:hAnsi="Arial" w:cs="Arial"/>
                <w:szCs w:val="24"/>
                <w:lang w:val="en-GB"/>
              </w:rPr>
              <w:t>e ‘problematic’ two-year pre-recognition period</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66</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11"/>
              <w:rPr>
                <w:rFonts w:ascii="Arial" w:hAnsi="Arial" w:cs="Arial"/>
                <w:szCs w:val="24"/>
                <w:lang w:val="en-GB"/>
              </w:rPr>
            </w:pPr>
            <w:r w:rsidRPr="00181CF2">
              <w:rPr>
                <w:rFonts w:ascii="Arial" w:hAnsi="Arial" w:cs="Arial"/>
                <w:szCs w:val="24"/>
                <w:lang w:val="en-GB"/>
              </w:rPr>
              <w:t>Rigorous diagnostic requirements</w:t>
            </w:r>
          </w:p>
        </w:tc>
        <w:tc>
          <w:tcPr>
            <w:tcW w:w="886" w:type="dxa"/>
            <w:gridSpan w:val="2"/>
          </w:tcPr>
          <w:p w:rsidR="00E773F6" w:rsidRPr="00C57CE1" w:rsidRDefault="00455F0E" w:rsidP="00B55846">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w:t>
            </w:r>
            <w:r w:rsidR="00B55846">
              <w:rPr>
                <w:rFonts w:ascii="Arial" w:hAnsi="Arial" w:cs="Arial"/>
                <w:szCs w:val="24"/>
                <w:lang w:val="en-GB"/>
              </w:rPr>
              <w:t>7</w:t>
            </w:r>
          </w:p>
        </w:tc>
      </w:tr>
      <w:tr w:rsidR="00E773F6" w:rsidRPr="0028108F" w:rsidTr="008813DE">
        <w:tc>
          <w:tcPr>
            <w:tcW w:w="7528" w:type="dxa"/>
          </w:tcPr>
          <w:p w:rsidR="00E773F6" w:rsidRPr="00181CF2" w:rsidRDefault="00E773F6">
            <w:pPr>
              <w:tabs>
                <w:tab w:val="left" w:pos="1440"/>
              </w:tabs>
              <w:adjustRightInd w:val="0"/>
              <w:snapToGrid w:val="0"/>
              <w:ind w:left="720" w:hanging="11"/>
              <w:rPr>
                <w:rFonts w:ascii="Arial" w:hAnsi="Arial" w:cs="Arial"/>
                <w:szCs w:val="24"/>
                <w:lang w:val="en-GB"/>
              </w:rPr>
            </w:pPr>
            <w:r w:rsidRPr="00181CF2">
              <w:rPr>
                <w:rFonts w:ascii="Arial" w:hAnsi="Arial" w:cs="Arial"/>
                <w:szCs w:val="24"/>
                <w:lang w:val="en-GB"/>
              </w:rPr>
              <w:t xml:space="preserve">Other </w:t>
            </w:r>
            <w:r w:rsidR="007C05D9">
              <w:rPr>
                <w:rFonts w:ascii="Arial" w:hAnsi="Arial" w:cs="Arial" w:hint="eastAsia"/>
                <w:szCs w:val="24"/>
                <w:lang w:val="en-GB"/>
              </w:rPr>
              <w:t>observations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68</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11"/>
              <w:rPr>
                <w:rFonts w:ascii="Arial" w:hAnsi="Arial" w:cs="Arial"/>
                <w:szCs w:val="24"/>
                <w:lang w:val="en-GB"/>
              </w:rPr>
            </w:pPr>
            <w:r w:rsidRPr="00181CF2">
              <w:rPr>
                <w:rFonts w:ascii="Arial" w:hAnsi="Arial" w:cs="Arial"/>
                <w:szCs w:val="24"/>
                <w:lang w:val="en-GB"/>
              </w:rPr>
              <w:t>Reform proposals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69</w:t>
            </w:r>
          </w:p>
        </w:tc>
      </w:tr>
      <w:tr w:rsidR="00E773F6" w:rsidRPr="0028108F" w:rsidTr="008813DE">
        <w:tc>
          <w:tcPr>
            <w:tcW w:w="7528" w:type="dxa"/>
          </w:tcPr>
          <w:p w:rsidR="00E773F6" w:rsidRPr="00181CF2" w:rsidRDefault="00E773F6" w:rsidP="00725B6F">
            <w:pPr>
              <w:widowControl/>
              <w:tabs>
                <w:tab w:val="left" w:pos="1134"/>
              </w:tabs>
              <w:adjustRightInd w:val="0"/>
              <w:snapToGrid w:val="0"/>
              <w:ind w:leftChars="295" w:left="708"/>
              <w:jc w:val="both"/>
              <w:rPr>
                <w:rFonts w:ascii="Arial" w:hAnsi="Arial" w:cs="Arial"/>
                <w:szCs w:val="24"/>
                <w:lang w:val="en-GB"/>
              </w:rPr>
            </w:pPr>
            <w:r w:rsidRPr="00181CF2">
              <w:rPr>
                <w:rFonts w:ascii="Arial" w:hAnsi="Arial" w:cs="Arial"/>
                <w:szCs w:val="24"/>
                <w:lang w:val="en-GB"/>
              </w:rPr>
              <w:t>Judicial challenges related to the GRA</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70</w:t>
            </w: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lang w:val="en-GB"/>
              </w:rPr>
            </w:pPr>
          </w:p>
          <w:p w:rsidR="00725B6F" w:rsidRPr="00181CF2" w:rsidRDefault="00725B6F" w:rsidP="00725B6F">
            <w:pPr>
              <w:tabs>
                <w:tab w:val="left" w:pos="1440"/>
              </w:tabs>
              <w:adjustRightInd w:val="0"/>
              <w:snapToGrid w:val="0"/>
              <w:rPr>
                <w:rFonts w:ascii="Arial" w:hAnsi="Arial" w:cs="Arial"/>
                <w:b/>
                <w:szCs w:val="24"/>
                <w:lang w:val="en-GB"/>
              </w:rPr>
            </w:pPr>
          </w:p>
        </w:tc>
        <w:tc>
          <w:tcPr>
            <w:tcW w:w="886" w:type="dxa"/>
            <w:gridSpan w:val="2"/>
          </w:tcPr>
          <w:p w:rsidR="00E773F6" w:rsidRPr="00C57CE1" w:rsidRDefault="00E773F6" w:rsidP="008813DE">
            <w:pPr>
              <w:tabs>
                <w:tab w:val="left" w:pos="1440"/>
              </w:tabs>
              <w:adjustRightInd w:val="0"/>
              <w:snapToGrid w:val="0"/>
              <w:jc w:val="center"/>
              <w:rPr>
                <w:rFonts w:ascii="Arial" w:hAnsi="Arial" w:cs="Arial"/>
                <w:b/>
                <w:szCs w:val="24"/>
                <w:lang w:val="en-GB"/>
              </w:rPr>
            </w:pPr>
          </w:p>
        </w:tc>
      </w:tr>
      <w:tr w:rsidR="00E773F6" w:rsidRPr="0028108F" w:rsidTr="008813DE">
        <w:tc>
          <w:tcPr>
            <w:tcW w:w="7528" w:type="dxa"/>
          </w:tcPr>
          <w:p w:rsidR="00E773F6" w:rsidRPr="00181CF2" w:rsidRDefault="00E773F6" w:rsidP="00725B6F">
            <w:pPr>
              <w:tabs>
                <w:tab w:val="left" w:pos="1440"/>
              </w:tabs>
              <w:adjustRightInd w:val="0"/>
              <w:snapToGrid w:val="0"/>
              <w:jc w:val="both"/>
              <w:rPr>
                <w:rFonts w:ascii="Arial" w:hAnsi="Arial" w:cs="Arial"/>
                <w:b/>
                <w:szCs w:val="24"/>
                <w:lang w:val="en-GB"/>
              </w:rPr>
            </w:pPr>
            <w:r w:rsidRPr="00181CF2">
              <w:rPr>
                <w:rFonts w:ascii="Arial" w:hAnsi="Arial" w:cs="Arial"/>
                <w:b/>
                <w:szCs w:val="24"/>
                <w:lang w:val="en-GB"/>
              </w:rPr>
              <w:t>Chapter 4</w:t>
            </w:r>
            <w:r w:rsidRPr="00181CF2">
              <w:rPr>
                <w:rFonts w:ascii="Arial" w:hAnsi="Arial" w:cs="Arial"/>
                <w:b/>
                <w:szCs w:val="24"/>
                <w:lang w:val="en-GB"/>
              </w:rPr>
              <w:tab/>
              <w:t>Summary of gender recognition schemes in other jurisdictions</w:t>
            </w:r>
          </w:p>
        </w:tc>
        <w:tc>
          <w:tcPr>
            <w:tcW w:w="886" w:type="dxa"/>
            <w:gridSpan w:val="2"/>
          </w:tcPr>
          <w:p w:rsidR="00E773F6" w:rsidRPr="008813DE" w:rsidRDefault="00455F0E"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73</w:t>
            </w:r>
          </w:p>
        </w:tc>
      </w:tr>
      <w:tr w:rsidR="00E773F6" w:rsidRPr="0028108F" w:rsidTr="008813DE">
        <w:tc>
          <w:tcPr>
            <w:tcW w:w="7528" w:type="dxa"/>
          </w:tcPr>
          <w:p w:rsidR="00E773F6" w:rsidRPr="00181CF2" w:rsidRDefault="00E773F6" w:rsidP="00725B6F">
            <w:pPr>
              <w:tabs>
                <w:tab w:val="left" w:pos="1440"/>
              </w:tabs>
              <w:adjustRightInd w:val="0"/>
              <w:snapToGrid w:val="0"/>
              <w:jc w:val="both"/>
              <w:rPr>
                <w:rFonts w:ascii="Arial" w:hAnsi="Arial" w:cs="Arial"/>
                <w:b/>
                <w:szCs w:val="24"/>
                <w:lang w:val="en-GB"/>
              </w:rPr>
            </w:pPr>
          </w:p>
        </w:tc>
        <w:tc>
          <w:tcPr>
            <w:tcW w:w="886" w:type="dxa"/>
            <w:gridSpan w:val="2"/>
          </w:tcPr>
          <w:p w:rsidR="00E773F6" w:rsidRPr="008813DE" w:rsidRDefault="00E773F6" w:rsidP="008813DE">
            <w:pPr>
              <w:tabs>
                <w:tab w:val="left" w:pos="1440"/>
              </w:tabs>
              <w:adjustRightInd w:val="0"/>
              <w:snapToGrid w:val="0"/>
              <w:ind w:left="720" w:hanging="720"/>
              <w:jc w:val="center"/>
              <w:rPr>
                <w:rFonts w:ascii="Arial" w:hAnsi="Arial" w:cs="Arial"/>
                <w:szCs w:val="24"/>
                <w:lang w:val="en-GB"/>
              </w:rPr>
            </w:pP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 xml:space="preserve">Introduction </w:t>
            </w:r>
          </w:p>
        </w:tc>
        <w:tc>
          <w:tcPr>
            <w:tcW w:w="886" w:type="dxa"/>
            <w:gridSpan w:val="2"/>
          </w:tcPr>
          <w:p w:rsidR="00E773F6" w:rsidRPr="008813DE" w:rsidRDefault="00455F0E"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7</w:t>
            </w:r>
            <w:r w:rsidR="00D4474B">
              <w:rPr>
                <w:rFonts w:ascii="Arial" w:hAnsi="Arial" w:cs="Arial"/>
                <w:szCs w:val="24"/>
                <w:lang w:val="en-GB"/>
              </w:rPr>
              <w:t>3</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 xml:space="preserve">Asia-Pacific </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Overview</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Types of measures allowing rectification of official </w:t>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t>documents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Authority to determine applications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76</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Sex or gender reassignment surgery/procedure </w:t>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t>requirements</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76</w:t>
            </w:r>
          </w:p>
        </w:tc>
      </w:tr>
      <w:tr w:rsidR="00E773F6" w:rsidRPr="0028108F" w:rsidTr="008813DE">
        <w:tc>
          <w:tcPr>
            <w:tcW w:w="7528" w:type="dxa"/>
          </w:tcPr>
          <w:p w:rsidR="00E773F6" w:rsidRPr="00C57CE1" w:rsidRDefault="00E773F6" w:rsidP="008813DE">
            <w:pPr>
              <w:tabs>
                <w:tab w:val="left" w:pos="1440"/>
              </w:tabs>
              <w:adjustRightInd w:val="0"/>
              <w:snapToGrid w:val="0"/>
              <w:ind w:leftChars="605" w:left="2160" w:hangingChars="295" w:hanging="708"/>
              <w:rPr>
                <w:rFonts w:ascii="Arial" w:hAnsi="Arial" w:cs="Arial"/>
                <w:szCs w:val="24"/>
                <w:lang w:val="en-GB"/>
              </w:rPr>
            </w:pPr>
            <w:r w:rsidRPr="00181CF2">
              <w:rPr>
                <w:rFonts w:ascii="Arial" w:hAnsi="Arial" w:cs="Arial"/>
                <w:szCs w:val="24"/>
                <w:lang w:val="en-GB"/>
              </w:rPr>
              <w:t>Medical diagnosis, hormonal treatment and “</w:t>
            </w:r>
            <w:r w:rsidR="00440683">
              <w:rPr>
                <w:rFonts w:ascii="Arial" w:hAnsi="Arial" w:cs="Arial"/>
                <w:szCs w:val="24"/>
                <w:lang w:val="en-GB"/>
              </w:rPr>
              <w:t>r</w:t>
            </w:r>
            <w:r w:rsidRPr="00181CF2">
              <w:rPr>
                <w:rFonts w:ascii="Arial" w:hAnsi="Arial" w:cs="Arial"/>
                <w:szCs w:val="24"/>
                <w:lang w:val="en-GB"/>
              </w:rPr>
              <w:t xml:space="preserve">eal </w:t>
            </w:r>
            <w:r w:rsidR="00440683">
              <w:rPr>
                <w:rFonts w:ascii="Arial" w:hAnsi="Arial" w:cs="Arial"/>
                <w:szCs w:val="24"/>
                <w:lang w:val="en-GB"/>
              </w:rPr>
              <w:t>l</w:t>
            </w:r>
            <w:r w:rsidRPr="00C57CE1">
              <w:rPr>
                <w:rFonts w:ascii="Arial" w:hAnsi="Arial" w:cs="Arial"/>
                <w:szCs w:val="24"/>
                <w:lang w:val="en-GB"/>
              </w:rPr>
              <w:t xml:space="preserve">ife </w:t>
            </w:r>
            <w:r w:rsidR="00440683">
              <w:rPr>
                <w:rFonts w:ascii="Arial" w:hAnsi="Arial" w:cs="Arial"/>
                <w:szCs w:val="24"/>
                <w:lang w:val="en-GB"/>
              </w:rPr>
              <w:t>t</w:t>
            </w:r>
            <w:r w:rsidRPr="00C57CE1">
              <w:rPr>
                <w:rFonts w:ascii="Arial" w:hAnsi="Arial" w:cs="Arial"/>
                <w:szCs w:val="24"/>
                <w:lang w:val="en-GB"/>
              </w:rPr>
              <w:t>est” requirements</w:t>
            </w:r>
          </w:p>
        </w:tc>
        <w:tc>
          <w:tcPr>
            <w:tcW w:w="886" w:type="dxa"/>
            <w:gridSpan w:val="2"/>
          </w:tcPr>
          <w:p w:rsidR="00E773F6" w:rsidRPr="0028108F"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76</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Requirements relating to pre-existing marriage</w:t>
            </w:r>
          </w:p>
        </w:tc>
        <w:tc>
          <w:tcPr>
            <w:tcW w:w="886" w:type="dxa"/>
            <w:gridSpan w:val="2"/>
          </w:tcPr>
          <w:p w:rsidR="00E773F6" w:rsidRPr="00C57CE1" w:rsidRDefault="00455F0E"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lastRenderedPageBreak/>
              <w:tab/>
            </w:r>
            <w:r w:rsidRPr="00181CF2">
              <w:rPr>
                <w:rFonts w:ascii="Arial" w:hAnsi="Arial" w:cs="Arial"/>
                <w:szCs w:val="24"/>
                <w:lang w:val="en-GB"/>
              </w:rPr>
              <w:tab/>
              <w:t>Minimum age requirements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Foreign gender recognition or foreign gender </w:t>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t>reassignment surgery</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Scope of the gender recognition</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78</w:t>
            </w:r>
          </w:p>
        </w:tc>
      </w:tr>
      <w:tr w:rsidR="00E773F6" w:rsidRPr="0028108F" w:rsidTr="008813DE">
        <w:tc>
          <w:tcPr>
            <w:tcW w:w="7528" w:type="dxa"/>
          </w:tcPr>
          <w:p w:rsidR="00E773F6" w:rsidRPr="00C57CE1" w:rsidRDefault="00E773F6" w:rsidP="008813DE">
            <w:pPr>
              <w:tabs>
                <w:tab w:val="left" w:pos="1182"/>
                <w:tab w:val="left" w:pos="1440"/>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Examples of Asia-Pacific jurisdictions</w:t>
            </w:r>
            <w:r w:rsidRPr="00C57CE1">
              <w:rPr>
                <w:rFonts w:ascii="Arial" w:hAnsi="Arial" w:cs="Arial"/>
                <w:szCs w:val="24"/>
                <w:lang w:val="en-GB"/>
              </w:rPr>
              <w:t xml:space="preserve"> which have enacted specific gender recognition legislation</w:t>
            </w:r>
          </w:p>
        </w:tc>
        <w:tc>
          <w:tcPr>
            <w:tcW w:w="886" w:type="dxa"/>
            <w:gridSpan w:val="2"/>
          </w:tcPr>
          <w:p w:rsidR="00E773F6" w:rsidRPr="0028108F"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78</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Japan</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78</w:t>
            </w:r>
          </w:p>
        </w:tc>
      </w:tr>
      <w:tr w:rsidR="00E773F6" w:rsidRPr="0028108F" w:rsidTr="008813DE">
        <w:tc>
          <w:tcPr>
            <w:tcW w:w="7528" w:type="dxa"/>
          </w:tcPr>
          <w:p w:rsidR="00E773F6" w:rsidRPr="0028108F"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South Australia </w:t>
            </w:r>
          </w:p>
        </w:tc>
        <w:tc>
          <w:tcPr>
            <w:tcW w:w="886" w:type="dxa"/>
            <w:gridSpan w:val="2"/>
          </w:tcPr>
          <w:p w:rsidR="00E773F6" w:rsidRPr="0028108F"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82</w:t>
            </w:r>
          </w:p>
        </w:tc>
      </w:tr>
      <w:tr w:rsidR="00E773F6" w:rsidRPr="0028108F" w:rsidTr="008813DE">
        <w:tc>
          <w:tcPr>
            <w:tcW w:w="7528" w:type="dxa"/>
          </w:tcPr>
          <w:p w:rsidR="00E773F6" w:rsidRPr="00181CF2" w:rsidRDefault="00E773F6" w:rsidP="008813DE">
            <w:pPr>
              <w:tabs>
                <w:tab w:val="left" w:pos="1440"/>
              </w:tabs>
              <w:adjustRightInd w:val="0"/>
              <w:snapToGrid w:val="0"/>
              <w:ind w:left="1168" w:rightChars="-97" w:right="-233" w:hanging="425"/>
              <w:rPr>
                <w:rFonts w:ascii="Arial" w:hAnsi="Arial" w:cs="Arial"/>
                <w:szCs w:val="24"/>
                <w:lang w:val="en-GB"/>
              </w:rPr>
            </w:pPr>
            <w:r w:rsidRPr="00181CF2">
              <w:rPr>
                <w:rFonts w:ascii="Arial" w:hAnsi="Arial" w:cs="Arial"/>
                <w:szCs w:val="24"/>
                <w:lang w:val="en-GB"/>
              </w:rPr>
              <w:t>Examples of Asia-Pacific jurisdictions with other types of procedures</w:t>
            </w:r>
            <w:r w:rsidR="00A27ED9">
              <w:rPr>
                <w:rFonts w:ascii="Arial" w:hAnsi="Arial" w:cs="Arial"/>
                <w:szCs w:val="24"/>
                <w:lang w:val="en-GB"/>
              </w:rPr>
              <w:t xml:space="preserve"> </w:t>
            </w:r>
            <w:r w:rsidRPr="00181CF2">
              <w:rPr>
                <w:rFonts w:ascii="Arial" w:hAnsi="Arial" w:cs="Arial"/>
                <w:szCs w:val="24"/>
                <w:lang w:val="en-GB"/>
              </w:rPr>
              <w:t>to recognise gender change in official</w:t>
            </w:r>
            <w:r w:rsidR="00A27ED9">
              <w:rPr>
                <w:rFonts w:ascii="Arial" w:hAnsi="Arial" w:cs="Arial"/>
                <w:szCs w:val="24"/>
                <w:lang w:val="en-GB"/>
              </w:rPr>
              <w:t xml:space="preserve"> </w:t>
            </w:r>
            <w:r w:rsidRPr="00181CF2">
              <w:rPr>
                <w:rFonts w:ascii="Arial" w:hAnsi="Arial" w:cs="Arial"/>
                <w:szCs w:val="24"/>
                <w:lang w:val="en-GB"/>
              </w:rPr>
              <w:t>documents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84</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Singapore </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84</w:t>
            </w:r>
          </w:p>
        </w:tc>
      </w:tr>
      <w:tr w:rsidR="00E773F6" w:rsidRPr="0028108F" w:rsidTr="008813DE">
        <w:tc>
          <w:tcPr>
            <w:tcW w:w="7528" w:type="dxa"/>
          </w:tcPr>
          <w:p w:rsidR="00E773F6" w:rsidRPr="00C57CE1"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Aus</w:t>
            </w:r>
            <w:r w:rsidRPr="00C57CE1">
              <w:rPr>
                <w:rFonts w:ascii="Arial" w:hAnsi="Arial" w:cs="Arial"/>
                <w:szCs w:val="24"/>
                <w:lang w:val="en-GB"/>
              </w:rPr>
              <w:t>tralian Capital Territory</w:t>
            </w:r>
            <w:r w:rsidRPr="00C57CE1">
              <w:rPr>
                <w:rFonts w:ascii="Arial" w:hAnsi="Arial" w:cs="Arial"/>
                <w:szCs w:val="24"/>
                <w:lang w:val="en-GB"/>
              </w:rPr>
              <w:tab/>
            </w:r>
            <w:r w:rsidRPr="00C57CE1">
              <w:rPr>
                <w:rFonts w:ascii="Arial" w:hAnsi="Arial" w:cs="Arial"/>
                <w:szCs w:val="24"/>
                <w:lang w:val="en-GB"/>
              </w:rPr>
              <w:tab/>
            </w:r>
          </w:p>
        </w:tc>
        <w:tc>
          <w:tcPr>
            <w:tcW w:w="886" w:type="dxa"/>
            <w:gridSpan w:val="2"/>
          </w:tcPr>
          <w:p w:rsidR="00E773F6" w:rsidRPr="0028108F"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87</w:t>
            </w:r>
          </w:p>
        </w:tc>
      </w:tr>
      <w:tr w:rsidR="00E773F6" w:rsidRPr="0028108F" w:rsidTr="008813DE">
        <w:tc>
          <w:tcPr>
            <w:tcW w:w="7528" w:type="dxa"/>
          </w:tcPr>
          <w:p w:rsidR="00E773F6" w:rsidRPr="00181CF2" w:rsidRDefault="00E773F6" w:rsidP="008813DE">
            <w:pPr>
              <w:tabs>
                <w:tab w:val="left" w:pos="1440"/>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Concluding remarks on gender recognition in Asia-Pacific jurisdictions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89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 xml:space="preserve">Europe </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90</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 xml:space="preserve">Overview </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90</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Types of measures allowing rectification of official </w:t>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t>documents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91</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The process for gender recognition in some form</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91</w:t>
            </w:r>
          </w:p>
        </w:tc>
      </w:tr>
      <w:tr w:rsidR="00E773F6" w:rsidRPr="0028108F" w:rsidTr="008813DE">
        <w:tc>
          <w:tcPr>
            <w:tcW w:w="7528" w:type="dxa"/>
          </w:tcPr>
          <w:p w:rsidR="00E773F6" w:rsidRPr="00C57CE1"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Sex o</w:t>
            </w:r>
            <w:r w:rsidRPr="00C57CE1">
              <w:rPr>
                <w:rFonts w:ascii="Arial" w:hAnsi="Arial" w:cs="Arial"/>
                <w:szCs w:val="24"/>
                <w:lang w:val="en-GB"/>
              </w:rPr>
              <w:t xml:space="preserve">r gender reassignment surgery/procedure </w:t>
            </w:r>
            <w:r w:rsidRPr="00C57CE1">
              <w:rPr>
                <w:rFonts w:ascii="Arial" w:hAnsi="Arial" w:cs="Arial"/>
                <w:szCs w:val="24"/>
                <w:lang w:val="en-GB"/>
              </w:rPr>
              <w:tab/>
            </w:r>
            <w:r w:rsidRPr="00C57CE1">
              <w:rPr>
                <w:rFonts w:ascii="Arial" w:hAnsi="Arial" w:cs="Arial"/>
                <w:szCs w:val="24"/>
                <w:lang w:val="en-GB"/>
              </w:rPr>
              <w:tab/>
            </w:r>
            <w:r w:rsidRPr="00C57CE1">
              <w:rPr>
                <w:rFonts w:ascii="Arial" w:hAnsi="Arial" w:cs="Arial"/>
                <w:szCs w:val="24"/>
                <w:lang w:val="en-GB"/>
              </w:rPr>
              <w:tab/>
              <w:t>requirements</w:t>
            </w:r>
          </w:p>
        </w:tc>
        <w:tc>
          <w:tcPr>
            <w:tcW w:w="886" w:type="dxa"/>
            <w:gridSpan w:val="2"/>
          </w:tcPr>
          <w:p w:rsidR="00E773F6" w:rsidRPr="0028108F" w:rsidRDefault="00A57E36">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w:t>
            </w:r>
            <w:r w:rsidR="000A6FA8">
              <w:rPr>
                <w:rFonts w:ascii="Arial" w:hAnsi="Arial" w:cs="Arial"/>
                <w:szCs w:val="24"/>
                <w:lang w:val="en-GB"/>
              </w:rPr>
              <w:t>1</w:t>
            </w:r>
          </w:p>
        </w:tc>
      </w:tr>
      <w:tr w:rsidR="00E773F6" w:rsidRPr="0028108F" w:rsidTr="008813DE">
        <w:tc>
          <w:tcPr>
            <w:tcW w:w="7528" w:type="dxa"/>
          </w:tcPr>
          <w:p w:rsidR="00E773F6" w:rsidRPr="00181CF2" w:rsidRDefault="00E773F6" w:rsidP="008813DE">
            <w:pPr>
              <w:tabs>
                <w:tab w:val="left" w:pos="1440"/>
              </w:tabs>
              <w:adjustRightInd w:val="0"/>
              <w:snapToGrid w:val="0"/>
              <w:ind w:leftChars="605" w:left="2160" w:hangingChars="295" w:hanging="708"/>
              <w:rPr>
                <w:rFonts w:ascii="Arial" w:hAnsi="Arial" w:cs="Arial"/>
                <w:szCs w:val="24"/>
                <w:lang w:val="en-GB"/>
              </w:rPr>
            </w:pPr>
            <w:r w:rsidRPr="00181CF2">
              <w:rPr>
                <w:rFonts w:ascii="Arial" w:hAnsi="Arial" w:cs="Arial"/>
                <w:szCs w:val="24"/>
                <w:lang w:val="en-GB"/>
              </w:rPr>
              <w:t>Medical diagnosis, hormonal treatment and “</w:t>
            </w:r>
            <w:r w:rsidR="00440683">
              <w:rPr>
                <w:rFonts w:ascii="Arial" w:hAnsi="Arial" w:cs="Arial"/>
                <w:szCs w:val="24"/>
                <w:lang w:val="en-GB"/>
              </w:rPr>
              <w:t>r</w:t>
            </w:r>
            <w:r w:rsidRPr="00181CF2">
              <w:rPr>
                <w:rFonts w:ascii="Arial" w:hAnsi="Arial" w:cs="Arial"/>
                <w:szCs w:val="24"/>
                <w:lang w:val="en-GB"/>
              </w:rPr>
              <w:t xml:space="preserve">eal </w:t>
            </w:r>
            <w:r w:rsidR="00440683">
              <w:rPr>
                <w:rFonts w:ascii="Arial" w:hAnsi="Arial" w:cs="Arial"/>
                <w:szCs w:val="24"/>
                <w:lang w:val="en-GB"/>
              </w:rPr>
              <w:t>l</w:t>
            </w:r>
            <w:r w:rsidRPr="00181CF2">
              <w:rPr>
                <w:rFonts w:ascii="Arial" w:hAnsi="Arial" w:cs="Arial"/>
                <w:szCs w:val="24"/>
                <w:lang w:val="en-GB"/>
              </w:rPr>
              <w:t xml:space="preserve">ife </w:t>
            </w:r>
            <w:r w:rsidR="00440683">
              <w:rPr>
                <w:rFonts w:ascii="Arial" w:hAnsi="Arial" w:cs="Arial"/>
                <w:szCs w:val="24"/>
                <w:lang w:val="en-GB"/>
              </w:rPr>
              <w:t>t</w:t>
            </w:r>
            <w:r w:rsidRPr="00181CF2">
              <w:rPr>
                <w:rFonts w:ascii="Arial" w:hAnsi="Arial" w:cs="Arial"/>
                <w:szCs w:val="24"/>
                <w:lang w:val="en-GB"/>
              </w:rPr>
              <w:t>est” requirements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92</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Minimum age requirements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92</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Requirements relating to pre-existing marriage</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w:t>
            </w:r>
            <w:r w:rsidR="000A6FA8">
              <w:rPr>
                <w:rFonts w:ascii="Arial" w:hAnsi="Arial" w:cs="Arial"/>
                <w:szCs w:val="24"/>
                <w:lang w:val="en-GB"/>
              </w:rPr>
              <w:t>2</w:t>
            </w:r>
          </w:p>
        </w:tc>
      </w:tr>
      <w:tr w:rsidR="00E773F6" w:rsidRPr="0028108F" w:rsidTr="008813DE">
        <w:tc>
          <w:tcPr>
            <w:tcW w:w="7528" w:type="dxa"/>
          </w:tcPr>
          <w:p w:rsidR="00E773F6" w:rsidRPr="00C57CE1"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Foreign gender recognition or foreign</w:t>
            </w:r>
            <w:r w:rsidRPr="00C57CE1">
              <w:rPr>
                <w:rFonts w:ascii="Arial" w:hAnsi="Arial" w:cs="Arial"/>
                <w:szCs w:val="24"/>
                <w:lang w:val="en-GB"/>
              </w:rPr>
              <w:t xml:space="preserve"> gender </w:t>
            </w:r>
            <w:r w:rsidRPr="00C57CE1">
              <w:rPr>
                <w:rFonts w:ascii="Arial" w:hAnsi="Arial" w:cs="Arial"/>
                <w:szCs w:val="24"/>
                <w:lang w:val="en-GB"/>
              </w:rPr>
              <w:tab/>
            </w:r>
            <w:r w:rsidRPr="00C57CE1">
              <w:rPr>
                <w:rFonts w:ascii="Arial" w:hAnsi="Arial" w:cs="Arial"/>
                <w:szCs w:val="24"/>
                <w:lang w:val="en-GB"/>
              </w:rPr>
              <w:tab/>
            </w:r>
            <w:r w:rsidRPr="00C57CE1">
              <w:rPr>
                <w:rFonts w:ascii="Arial" w:hAnsi="Arial" w:cs="Arial"/>
                <w:szCs w:val="24"/>
                <w:lang w:val="en-GB"/>
              </w:rPr>
              <w:tab/>
            </w:r>
            <w:r w:rsidRPr="00C57CE1">
              <w:rPr>
                <w:rFonts w:ascii="Arial" w:hAnsi="Arial" w:cs="Arial"/>
                <w:szCs w:val="24"/>
                <w:lang w:val="en-GB"/>
              </w:rPr>
              <w:tab/>
              <w:t>reassignment surgery</w:t>
            </w:r>
          </w:p>
        </w:tc>
        <w:tc>
          <w:tcPr>
            <w:tcW w:w="886" w:type="dxa"/>
            <w:gridSpan w:val="2"/>
          </w:tcPr>
          <w:p w:rsidR="00E773F6" w:rsidRPr="0028108F"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93</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Scope of the gender recognition</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93</w:t>
            </w:r>
          </w:p>
        </w:tc>
      </w:tr>
      <w:tr w:rsidR="00E773F6" w:rsidRPr="0028108F" w:rsidTr="008813DE">
        <w:tc>
          <w:tcPr>
            <w:tcW w:w="7528" w:type="dxa"/>
          </w:tcPr>
          <w:p w:rsidR="00E773F6" w:rsidRPr="00181CF2" w:rsidRDefault="00E773F6" w:rsidP="008813DE">
            <w:pPr>
              <w:tabs>
                <w:tab w:val="left" w:pos="1440"/>
              </w:tabs>
              <w:adjustRightInd w:val="0"/>
              <w:snapToGrid w:val="0"/>
              <w:ind w:leftChars="310" w:left="1166" w:hangingChars="176" w:hanging="422"/>
              <w:rPr>
                <w:rFonts w:ascii="Arial" w:hAnsi="Arial" w:cs="Arial"/>
                <w:szCs w:val="24"/>
                <w:lang w:val="en-GB"/>
              </w:rPr>
            </w:pPr>
            <w:r w:rsidRPr="00181CF2">
              <w:rPr>
                <w:rFonts w:ascii="Arial" w:hAnsi="Arial" w:cs="Arial"/>
                <w:szCs w:val="24"/>
                <w:lang w:val="en-GB"/>
              </w:rPr>
              <w:t>Examples of European jurisdictions which have enacted specific gender recognition legislation</w:t>
            </w:r>
          </w:p>
        </w:tc>
        <w:tc>
          <w:tcPr>
            <w:tcW w:w="886" w:type="dxa"/>
            <w:gridSpan w:val="2"/>
          </w:tcPr>
          <w:p w:rsidR="00E773F6" w:rsidRPr="00C57CE1" w:rsidRDefault="00A57E36" w:rsidP="006C4619">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w:t>
            </w:r>
            <w:r w:rsidR="006C4619">
              <w:rPr>
                <w:rFonts w:ascii="Arial" w:hAnsi="Arial" w:cs="Arial"/>
                <w:szCs w:val="24"/>
                <w:lang w:val="en-GB"/>
              </w:rPr>
              <w:t>4</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Denmark</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94</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Iceland</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95</w:t>
            </w:r>
          </w:p>
        </w:tc>
      </w:tr>
      <w:tr w:rsidR="00E773F6" w:rsidRPr="0028108F" w:rsidTr="008813DE">
        <w:tc>
          <w:tcPr>
            <w:tcW w:w="7528" w:type="dxa"/>
          </w:tcPr>
          <w:p w:rsidR="00E773F6" w:rsidRPr="0028108F" w:rsidRDefault="00E773F6" w:rsidP="008813DE">
            <w:pPr>
              <w:tabs>
                <w:tab w:val="left" w:pos="1440"/>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Example</w:t>
            </w:r>
            <w:r w:rsidRPr="0028108F">
              <w:rPr>
                <w:rFonts w:ascii="Arial" w:hAnsi="Arial" w:cs="Arial"/>
                <w:szCs w:val="24"/>
                <w:lang w:val="en-GB"/>
              </w:rPr>
              <w:t xml:space="preserve"> of European jurisdictions with other types of procedures to recognise gender change in official documents</w:t>
            </w:r>
          </w:p>
        </w:tc>
        <w:tc>
          <w:tcPr>
            <w:tcW w:w="886" w:type="dxa"/>
            <w:gridSpan w:val="2"/>
          </w:tcPr>
          <w:p w:rsidR="00E773F6" w:rsidRPr="0028108F"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The Netherlands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97</w:t>
            </w:r>
          </w:p>
        </w:tc>
      </w:tr>
      <w:tr w:rsidR="00E773F6" w:rsidRPr="0028108F" w:rsidTr="008813DE">
        <w:tc>
          <w:tcPr>
            <w:tcW w:w="7528" w:type="dxa"/>
          </w:tcPr>
          <w:p w:rsidR="00E773F6" w:rsidRPr="00181CF2" w:rsidRDefault="00E773F6" w:rsidP="008813DE">
            <w:pPr>
              <w:tabs>
                <w:tab w:val="left" w:pos="1440"/>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Concluding remarks on gender recognition in European jurisdictions</w:t>
            </w:r>
          </w:p>
        </w:tc>
        <w:tc>
          <w:tcPr>
            <w:tcW w:w="886" w:type="dxa"/>
            <w:gridSpan w:val="2"/>
          </w:tcPr>
          <w:p w:rsidR="00E773F6" w:rsidRPr="00C57CE1" w:rsidRDefault="00A57E36" w:rsidP="006C4619">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9</w:t>
            </w:r>
            <w:r w:rsidR="006C4619">
              <w:rPr>
                <w:rFonts w:ascii="Arial" w:hAnsi="Arial" w:cs="Arial"/>
                <w:szCs w:val="24"/>
                <w:lang w:val="en-GB"/>
              </w:rPr>
              <w:t>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 xml:space="preserve">North America </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100</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 xml:space="preserve">Overview </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100</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United States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101</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New York State </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10</w:t>
            </w:r>
            <w:r w:rsidR="000A6FA8">
              <w:rPr>
                <w:rFonts w:ascii="Arial" w:hAnsi="Arial" w:cs="Arial"/>
                <w:szCs w:val="24"/>
                <w:lang w:val="en-GB"/>
              </w:rPr>
              <w:t>6</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Canada</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109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Saskatchewan</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w:t>
            </w:r>
            <w:r w:rsidR="000A6FA8">
              <w:rPr>
                <w:rFonts w:ascii="Arial" w:hAnsi="Arial" w:cs="Arial"/>
                <w:szCs w:val="24"/>
                <w:lang w:val="en-GB"/>
              </w:rPr>
              <w:t>1</w:t>
            </w:r>
          </w:p>
        </w:tc>
      </w:tr>
      <w:tr w:rsidR="00E773F6" w:rsidRPr="0028108F" w:rsidTr="008813DE">
        <w:tc>
          <w:tcPr>
            <w:tcW w:w="7528" w:type="dxa"/>
          </w:tcPr>
          <w:p w:rsidR="00E773F6" w:rsidRPr="00C57CE1"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 xml:space="preserve">Mexico – Federal </w:t>
            </w:r>
            <w:r w:rsidRPr="00C57CE1">
              <w:rPr>
                <w:rFonts w:ascii="Arial" w:hAnsi="Arial" w:cs="Arial"/>
                <w:szCs w:val="24"/>
                <w:lang w:val="en-GB"/>
              </w:rPr>
              <w:t>District</w:t>
            </w:r>
          </w:p>
        </w:tc>
        <w:tc>
          <w:tcPr>
            <w:tcW w:w="886" w:type="dxa"/>
            <w:gridSpan w:val="2"/>
          </w:tcPr>
          <w:p w:rsidR="00E773F6" w:rsidRPr="0028108F"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113</w:t>
            </w:r>
          </w:p>
        </w:tc>
      </w:tr>
      <w:tr w:rsidR="00E773F6" w:rsidRPr="0028108F" w:rsidTr="008813DE">
        <w:tc>
          <w:tcPr>
            <w:tcW w:w="7528" w:type="dxa"/>
          </w:tcPr>
          <w:p w:rsidR="00E773F6" w:rsidRPr="00181CF2" w:rsidRDefault="00E773F6" w:rsidP="008813DE">
            <w:pPr>
              <w:tabs>
                <w:tab w:val="left" w:pos="743"/>
              </w:tabs>
              <w:adjustRightInd w:val="0"/>
              <w:snapToGrid w:val="0"/>
              <w:ind w:leftChars="309" w:left="1167" w:hangingChars="177" w:hanging="425"/>
              <w:rPr>
                <w:rFonts w:ascii="Arial" w:hAnsi="Arial" w:cs="Arial"/>
                <w:szCs w:val="24"/>
                <w:lang w:val="en-GB"/>
              </w:rPr>
            </w:pPr>
            <w:r w:rsidRPr="00181CF2">
              <w:rPr>
                <w:rFonts w:ascii="Arial" w:hAnsi="Arial" w:cs="Arial"/>
                <w:szCs w:val="24"/>
                <w:lang w:val="en-GB"/>
              </w:rPr>
              <w:t>Concluding remarks on gender recognition in North American jurisdictions</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114</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lastRenderedPageBreak/>
              <w:t>South America</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Overview</w:t>
            </w:r>
          </w:p>
        </w:tc>
        <w:tc>
          <w:tcPr>
            <w:tcW w:w="886" w:type="dxa"/>
            <w:gridSpan w:val="2"/>
          </w:tcPr>
          <w:p w:rsidR="00E773F6" w:rsidRPr="00C57CE1" w:rsidRDefault="00A57E3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Argentina</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Legislative model for gender recognition</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115</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Authority to process the application</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116</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Minimum age requirements</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117</w:t>
            </w:r>
          </w:p>
        </w:tc>
      </w:tr>
      <w:tr w:rsidR="00E773F6" w:rsidRPr="0028108F" w:rsidTr="008813DE">
        <w:tc>
          <w:tcPr>
            <w:tcW w:w="7528" w:type="dxa"/>
          </w:tcPr>
          <w:p w:rsidR="00E773F6" w:rsidRPr="00C57CE1"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No residency</w:t>
            </w:r>
            <w:r w:rsidRPr="00C57CE1">
              <w:rPr>
                <w:rFonts w:ascii="Arial" w:hAnsi="Arial" w:cs="Arial"/>
                <w:szCs w:val="24"/>
                <w:lang w:val="en-GB"/>
              </w:rPr>
              <w:t xml:space="preserve"> or citizenship requirement</w:t>
            </w:r>
          </w:p>
        </w:tc>
        <w:tc>
          <w:tcPr>
            <w:tcW w:w="886" w:type="dxa"/>
            <w:gridSpan w:val="2"/>
          </w:tcPr>
          <w:p w:rsidR="00E773F6" w:rsidRPr="0028108F"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117</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No requirements relating to pre-existing marriage</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118</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No impact on parental status</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118</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Scope of the gender recognition</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118</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t>Uruguay</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Legislative model for gender recognition</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Judicial authority to determine applications</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119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 xml:space="preserve">List of requirements: expert report on gender </w:t>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r>
            <w:r w:rsidRPr="00181CF2">
              <w:rPr>
                <w:rFonts w:ascii="Arial" w:hAnsi="Arial" w:cs="Arial"/>
                <w:szCs w:val="24"/>
                <w:lang w:val="en-GB"/>
              </w:rPr>
              <w:tab/>
              <w:t>dissonance</w:t>
            </w:r>
          </w:p>
        </w:tc>
        <w:tc>
          <w:tcPr>
            <w:tcW w:w="886" w:type="dxa"/>
            <w:gridSpan w:val="2"/>
          </w:tcPr>
          <w:p w:rsidR="00E773F6" w:rsidRPr="00C57CE1" w:rsidRDefault="001F5C86">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w:t>
            </w:r>
            <w:r w:rsidR="000A6FA8">
              <w:rPr>
                <w:rFonts w:ascii="Arial" w:hAnsi="Arial" w:cs="Arial"/>
                <w:szCs w:val="24"/>
                <w:lang w:val="en-GB"/>
              </w:rPr>
              <w:t>19</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Requirements relating to pre-existing marriages</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120</w:t>
            </w:r>
          </w:p>
        </w:tc>
      </w:tr>
      <w:tr w:rsidR="00E773F6" w:rsidRPr="0028108F" w:rsidTr="008813DE">
        <w:tc>
          <w:tcPr>
            <w:tcW w:w="7528" w:type="dxa"/>
          </w:tcPr>
          <w:p w:rsidR="00E773F6" w:rsidRPr="00181CF2" w:rsidRDefault="00E773F6" w:rsidP="00725B6F">
            <w:pPr>
              <w:tabs>
                <w:tab w:val="left" w:pos="1440"/>
              </w:tabs>
              <w:adjustRightInd w:val="0"/>
              <w:snapToGrid w:val="0"/>
              <w:ind w:left="720" w:hanging="720"/>
              <w:rPr>
                <w:rFonts w:ascii="Arial" w:hAnsi="Arial" w:cs="Arial"/>
                <w:szCs w:val="24"/>
                <w:lang w:val="en-GB"/>
              </w:rPr>
            </w:pPr>
            <w:r w:rsidRPr="00181CF2">
              <w:rPr>
                <w:rFonts w:ascii="Arial" w:hAnsi="Arial" w:cs="Arial"/>
                <w:szCs w:val="24"/>
                <w:lang w:val="en-GB"/>
              </w:rPr>
              <w:tab/>
            </w:r>
            <w:r w:rsidRPr="00181CF2">
              <w:rPr>
                <w:rFonts w:ascii="Arial" w:hAnsi="Arial" w:cs="Arial"/>
                <w:szCs w:val="24"/>
                <w:lang w:val="en-GB"/>
              </w:rPr>
              <w:tab/>
              <w:t>Scope of the gender recognition</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120</w:t>
            </w: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lang w:val="en-GB"/>
              </w:rPr>
            </w:pPr>
          </w:p>
          <w:p w:rsidR="0054620D" w:rsidRPr="00181CF2" w:rsidRDefault="0054620D" w:rsidP="00725B6F">
            <w:pPr>
              <w:tabs>
                <w:tab w:val="left" w:pos="1440"/>
              </w:tabs>
              <w:adjustRightInd w:val="0"/>
              <w:snapToGrid w:val="0"/>
              <w:rPr>
                <w:rFonts w:ascii="Arial" w:hAnsi="Arial" w:cs="Arial"/>
                <w:b/>
                <w:szCs w:val="24"/>
                <w:lang w:val="en-GB"/>
              </w:rPr>
            </w:pPr>
          </w:p>
        </w:tc>
        <w:tc>
          <w:tcPr>
            <w:tcW w:w="886" w:type="dxa"/>
            <w:gridSpan w:val="2"/>
          </w:tcPr>
          <w:p w:rsidR="00E773F6" w:rsidRPr="00C57CE1" w:rsidRDefault="00E773F6" w:rsidP="008813DE">
            <w:pPr>
              <w:tabs>
                <w:tab w:val="left" w:pos="1440"/>
              </w:tabs>
              <w:adjustRightInd w:val="0"/>
              <w:snapToGrid w:val="0"/>
              <w:jc w:val="center"/>
              <w:rPr>
                <w:rFonts w:ascii="Arial" w:hAnsi="Arial" w:cs="Arial"/>
                <w:b/>
                <w:szCs w:val="24"/>
                <w:lang w:val="en-GB"/>
              </w:rPr>
            </w:pPr>
          </w:p>
        </w:tc>
      </w:tr>
      <w:tr w:rsidR="00E773F6" w:rsidRPr="0028108F" w:rsidTr="008813DE">
        <w:tc>
          <w:tcPr>
            <w:tcW w:w="7528" w:type="dxa"/>
          </w:tcPr>
          <w:p w:rsidR="00E773F6" w:rsidRPr="00181CF2" w:rsidRDefault="00E773F6" w:rsidP="00725B6F">
            <w:pPr>
              <w:tabs>
                <w:tab w:val="left" w:pos="1440"/>
              </w:tabs>
              <w:adjustRightInd w:val="0"/>
              <w:snapToGrid w:val="0"/>
              <w:ind w:left="1452" w:hanging="1452"/>
              <w:jc w:val="both"/>
              <w:rPr>
                <w:rFonts w:ascii="Arial" w:hAnsi="Arial" w:cs="Arial"/>
                <w:b/>
                <w:szCs w:val="24"/>
                <w:lang w:val="en-GB"/>
              </w:rPr>
            </w:pPr>
            <w:r w:rsidRPr="00181CF2">
              <w:rPr>
                <w:rFonts w:ascii="Arial" w:hAnsi="Arial" w:cs="Arial"/>
                <w:b/>
                <w:szCs w:val="24"/>
                <w:lang w:val="en-GB"/>
              </w:rPr>
              <w:t>Chapter 5</w:t>
            </w:r>
            <w:r w:rsidRPr="00181CF2">
              <w:rPr>
                <w:rFonts w:ascii="Arial" w:hAnsi="Arial" w:cs="Arial"/>
                <w:b/>
                <w:szCs w:val="24"/>
                <w:lang w:val="en-GB"/>
              </w:rPr>
              <w:tab/>
              <w:t>Should Hong Kong have a gender recognition scheme?</w:t>
            </w:r>
          </w:p>
        </w:tc>
        <w:tc>
          <w:tcPr>
            <w:tcW w:w="886" w:type="dxa"/>
            <w:gridSpan w:val="2"/>
          </w:tcPr>
          <w:p w:rsidR="00E773F6" w:rsidRPr="008813DE" w:rsidRDefault="001F5C86" w:rsidP="008813DE">
            <w:pPr>
              <w:tabs>
                <w:tab w:val="left" w:pos="1440"/>
              </w:tabs>
              <w:adjustRightInd w:val="0"/>
              <w:snapToGrid w:val="0"/>
              <w:jc w:val="center"/>
              <w:rPr>
                <w:rFonts w:ascii="Arial" w:hAnsi="Arial" w:cs="Arial"/>
                <w:szCs w:val="24"/>
                <w:lang w:val="en-GB"/>
              </w:rPr>
            </w:pPr>
            <w:r w:rsidRPr="008813DE">
              <w:rPr>
                <w:rFonts w:ascii="Arial" w:hAnsi="Arial" w:cs="Arial"/>
                <w:szCs w:val="24"/>
                <w:lang w:val="en-GB"/>
              </w:rPr>
              <w:t>121</w:t>
            </w:r>
          </w:p>
        </w:tc>
      </w:tr>
      <w:tr w:rsidR="00E773F6" w:rsidRPr="0028108F" w:rsidTr="008813DE">
        <w:tc>
          <w:tcPr>
            <w:tcW w:w="7528" w:type="dxa"/>
          </w:tcPr>
          <w:p w:rsidR="00E773F6" w:rsidRPr="00181CF2" w:rsidRDefault="00E773F6" w:rsidP="00725B6F">
            <w:pPr>
              <w:tabs>
                <w:tab w:val="left" w:pos="1440"/>
              </w:tabs>
              <w:adjustRightInd w:val="0"/>
              <w:snapToGrid w:val="0"/>
              <w:ind w:left="1452" w:hanging="1452"/>
              <w:jc w:val="both"/>
              <w:rPr>
                <w:rFonts w:ascii="Arial" w:hAnsi="Arial" w:cs="Arial"/>
                <w:b/>
                <w:szCs w:val="24"/>
                <w:lang w:val="en-GB"/>
              </w:rPr>
            </w:pPr>
          </w:p>
        </w:tc>
        <w:tc>
          <w:tcPr>
            <w:tcW w:w="886" w:type="dxa"/>
            <w:gridSpan w:val="2"/>
          </w:tcPr>
          <w:p w:rsidR="00E773F6" w:rsidRPr="00C57CE1" w:rsidRDefault="00E773F6" w:rsidP="008813DE">
            <w:pPr>
              <w:tabs>
                <w:tab w:val="left" w:pos="1440"/>
              </w:tabs>
              <w:adjustRightInd w:val="0"/>
              <w:snapToGrid w:val="0"/>
              <w:ind w:left="720" w:hanging="720"/>
              <w:jc w:val="center"/>
              <w:rPr>
                <w:rFonts w:ascii="Arial" w:hAnsi="Arial" w:cs="Arial"/>
                <w:szCs w:val="24"/>
                <w:lang w:val="en-GB"/>
              </w:rPr>
            </w:pPr>
          </w:p>
        </w:tc>
      </w:tr>
      <w:tr w:rsidR="00E773F6" w:rsidRPr="0028108F" w:rsidTr="008813DE">
        <w:tc>
          <w:tcPr>
            <w:tcW w:w="7528" w:type="dxa"/>
          </w:tcPr>
          <w:p w:rsidR="00E773F6" w:rsidRPr="00181CF2" w:rsidRDefault="00E773F6" w:rsidP="00725B6F">
            <w:pPr>
              <w:adjustRightInd w:val="0"/>
              <w:snapToGrid w:val="0"/>
              <w:jc w:val="both"/>
              <w:rPr>
                <w:rFonts w:ascii="Arial" w:hAnsi="Arial" w:cs="Arial"/>
                <w:szCs w:val="24"/>
                <w:lang w:val="en-GB"/>
              </w:rPr>
            </w:pPr>
            <w:r w:rsidRPr="00181CF2">
              <w:rPr>
                <w:rFonts w:ascii="Arial" w:hAnsi="Arial" w:cs="Arial"/>
                <w:szCs w:val="24"/>
                <w:lang w:val="en-GB"/>
              </w:rPr>
              <w:t xml:space="preserve">Introduction </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121</w:t>
            </w:r>
          </w:p>
        </w:tc>
      </w:tr>
      <w:tr w:rsidR="00E773F6" w:rsidRPr="0028108F" w:rsidTr="008813DE">
        <w:tc>
          <w:tcPr>
            <w:tcW w:w="7528" w:type="dxa"/>
          </w:tcPr>
          <w:p w:rsidR="00E773F6" w:rsidRPr="0028108F" w:rsidRDefault="0006282B" w:rsidP="00725B6F">
            <w:pPr>
              <w:adjustRightInd w:val="0"/>
              <w:snapToGrid w:val="0"/>
              <w:jc w:val="both"/>
              <w:rPr>
                <w:rFonts w:ascii="Arial" w:hAnsi="Arial" w:cs="Arial"/>
                <w:szCs w:val="24"/>
                <w:lang w:val="en-GB"/>
              </w:rPr>
            </w:pPr>
            <w:r w:rsidRPr="0028108F">
              <w:rPr>
                <w:rFonts w:ascii="Arial" w:hAnsi="Arial" w:cs="Arial"/>
                <w:szCs w:val="24"/>
                <w:lang w:val="en-GB"/>
              </w:rPr>
              <w:t>Arguments in support</w:t>
            </w:r>
            <w:r w:rsidRPr="00181CF2">
              <w:rPr>
                <w:rFonts w:ascii="Arial" w:hAnsi="Arial" w:cs="Arial"/>
                <w:szCs w:val="24"/>
                <w:lang w:val="en-GB"/>
              </w:rPr>
              <w:t xml:space="preserve"> </w:t>
            </w:r>
            <w:r w:rsidR="00E773F6" w:rsidRPr="00C57CE1">
              <w:rPr>
                <w:rFonts w:ascii="Arial" w:hAnsi="Arial" w:cs="Arial"/>
                <w:szCs w:val="24"/>
                <w:lang w:val="en-GB"/>
              </w:rPr>
              <w:t>of having a gender recognition scheme</w:t>
            </w:r>
          </w:p>
        </w:tc>
        <w:tc>
          <w:tcPr>
            <w:tcW w:w="886" w:type="dxa"/>
            <w:gridSpan w:val="2"/>
          </w:tcPr>
          <w:p w:rsidR="00E773F6" w:rsidRPr="0028108F" w:rsidRDefault="001F5C86" w:rsidP="006C4619">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12</w:t>
            </w:r>
            <w:r w:rsidR="006C4619">
              <w:rPr>
                <w:rFonts w:ascii="Arial" w:hAnsi="Arial" w:cs="Arial"/>
                <w:szCs w:val="24"/>
                <w:lang w:val="en-GB"/>
              </w:rPr>
              <w:t>2</w:t>
            </w:r>
          </w:p>
        </w:tc>
      </w:tr>
      <w:tr w:rsidR="00E773F6" w:rsidRPr="0028108F" w:rsidTr="008813DE">
        <w:tc>
          <w:tcPr>
            <w:tcW w:w="7528" w:type="dxa"/>
          </w:tcPr>
          <w:p w:rsidR="00E773F6" w:rsidRPr="0028108F" w:rsidRDefault="0006282B" w:rsidP="00725B6F">
            <w:pPr>
              <w:adjustRightInd w:val="0"/>
              <w:snapToGrid w:val="0"/>
              <w:jc w:val="both"/>
              <w:rPr>
                <w:rFonts w:ascii="Arial" w:hAnsi="Arial" w:cs="Arial"/>
                <w:szCs w:val="24"/>
                <w:lang w:val="en-GB"/>
              </w:rPr>
            </w:pPr>
            <w:r w:rsidRPr="00181CF2">
              <w:rPr>
                <w:rFonts w:ascii="Arial" w:hAnsi="Arial" w:cs="Arial"/>
                <w:szCs w:val="24"/>
                <w:lang w:val="en-GB"/>
              </w:rPr>
              <w:t>Arguments against</w:t>
            </w:r>
            <w:r w:rsidRPr="0028108F">
              <w:rPr>
                <w:rFonts w:ascii="Arial" w:hAnsi="Arial" w:cs="Arial"/>
                <w:szCs w:val="24"/>
                <w:lang w:val="en-GB"/>
              </w:rPr>
              <w:t xml:space="preserve"> </w:t>
            </w:r>
            <w:r w:rsidR="00E773F6" w:rsidRPr="00181CF2">
              <w:rPr>
                <w:rFonts w:ascii="Arial" w:hAnsi="Arial" w:cs="Arial"/>
                <w:szCs w:val="24"/>
                <w:lang w:val="en-GB"/>
              </w:rPr>
              <w:t>having a gender recognition scheme</w:t>
            </w:r>
          </w:p>
        </w:tc>
        <w:tc>
          <w:tcPr>
            <w:tcW w:w="886" w:type="dxa"/>
            <w:gridSpan w:val="2"/>
          </w:tcPr>
          <w:p w:rsidR="00E773F6" w:rsidRPr="0028108F"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132</w:t>
            </w:r>
          </w:p>
        </w:tc>
      </w:tr>
      <w:tr w:rsidR="00E773F6" w:rsidRPr="0028108F" w:rsidTr="008813DE">
        <w:tc>
          <w:tcPr>
            <w:tcW w:w="7528" w:type="dxa"/>
          </w:tcPr>
          <w:p w:rsidR="00E773F6" w:rsidRDefault="00E773F6" w:rsidP="00725B6F">
            <w:pPr>
              <w:tabs>
                <w:tab w:val="left" w:pos="1440"/>
              </w:tabs>
              <w:adjustRightInd w:val="0"/>
              <w:snapToGrid w:val="0"/>
              <w:rPr>
                <w:rFonts w:ascii="Arial" w:hAnsi="Arial" w:cs="Arial"/>
                <w:b/>
                <w:szCs w:val="24"/>
                <w:lang w:val="en-GB"/>
              </w:rPr>
            </w:pPr>
          </w:p>
          <w:p w:rsidR="0054620D" w:rsidRPr="00181CF2" w:rsidRDefault="0054620D" w:rsidP="00725B6F">
            <w:pPr>
              <w:tabs>
                <w:tab w:val="left" w:pos="1440"/>
              </w:tabs>
              <w:adjustRightInd w:val="0"/>
              <w:snapToGrid w:val="0"/>
              <w:rPr>
                <w:rFonts w:ascii="Arial" w:hAnsi="Arial" w:cs="Arial"/>
                <w:b/>
                <w:szCs w:val="24"/>
                <w:lang w:val="en-GB"/>
              </w:rPr>
            </w:pPr>
          </w:p>
        </w:tc>
        <w:tc>
          <w:tcPr>
            <w:tcW w:w="886" w:type="dxa"/>
            <w:gridSpan w:val="2"/>
          </w:tcPr>
          <w:p w:rsidR="00E773F6" w:rsidRPr="00C57CE1" w:rsidRDefault="00E773F6" w:rsidP="008813DE">
            <w:pPr>
              <w:tabs>
                <w:tab w:val="left" w:pos="1440"/>
              </w:tabs>
              <w:adjustRightInd w:val="0"/>
              <w:snapToGrid w:val="0"/>
              <w:jc w:val="center"/>
              <w:rPr>
                <w:rFonts w:ascii="Arial" w:hAnsi="Arial" w:cs="Arial"/>
                <w:b/>
                <w:szCs w:val="24"/>
                <w:lang w:val="en-GB"/>
              </w:rPr>
            </w:pPr>
          </w:p>
        </w:tc>
      </w:tr>
      <w:tr w:rsidR="00E773F6" w:rsidRPr="0028108F" w:rsidTr="008813DE">
        <w:tc>
          <w:tcPr>
            <w:tcW w:w="7528" w:type="dxa"/>
          </w:tcPr>
          <w:p w:rsidR="00E773F6" w:rsidRPr="00181CF2" w:rsidRDefault="00E773F6" w:rsidP="00725B6F">
            <w:pPr>
              <w:tabs>
                <w:tab w:val="left" w:pos="1440"/>
              </w:tabs>
              <w:adjustRightInd w:val="0"/>
              <w:snapToGrid w:val="0"/>
              <w:ind w:left="1452" w:hanging="1452"/>
              <w:jc w:val="both"/>
              <w:rPr>
                <w:rFonts w:ascii="Arial" w:hAnsi="Arial" w:cs="Arial"/>
                <w:b/>
                <w:szCs w:val="24"/>
                <w:lang w:val="en-GB"/>
              </w:rPr>
            </w:pPr>
            <w:r w:rsidRPr="00181CF2">
              <w:rPr>
                <w:rFonts w:ascii="Arial" w:hAnsi="Arial" w:cs="Arial"/>
                <w:b/>
                <w:szCs w:val="24"/>
                <w:lang w:val="en-GB"/>
              </w:rPr>
              <w:t>Chapter 6</w:t>
            </w:r>
            <w:r w:rsidRPr="00181CF2">
              <w:rPr>
                <w:rFonts w:ascii="Arial" w:hAnsi="Arial" w:cs="Arial"/>
                <w:b/>
                <w:szCs w:val="24"/>
                <w:lang w:val="en-GB"/>
              </w:rPr>
              <w:tab/>
              <w:t>Medical requirements for gender recognition</w:t>
            </w:r>
          </w:p>
        </w:tc>
        <w:tc>
          <w:tcPr>
            <w:tcW w:w="886" w:type="dxa"/>
            <w:gridSpan w:val="2"/>
          </w:tcPr>
          <w:p w:rsidR="00E773F6" w:rsidRPr="008813DE" w:rsidRDefault="001F5C86" w:rsidP="008813DE">
            <w:pPr>
              <w:tabs>
                <w:tab w:val="left" w:pos="1440"/>
              </w:tabs>
              <w:adjustRightInd w:val="0"/>
              <w:snapToGrid w:val="0"/>
              <w:jc w:val="center"/>
              <w:rPr>
                <w:rFonts w:ascii="Arial" w:hAnsi="Arial" w:cs="Arial"/>
                <w:szCs w:val="24"/>
                <w:lang w:val="en-GB"/>
              </w:rPr>
            </w:pPr>
            <w:r w:rsidRPr="008813DE">
              <w:rPr>
                <w:rFonts w:ascii="Arial" w:hAnsi="Arial" w:cs="Arial"/>
                <w:szCs w:val="24"/>
                <w:lang w:val="en-GB"/>
              </w:rPr>
              <w:t>139</w:t>
            </w:r>
          </w:p>
        </w:tc>
      </w:tr>
      <w:tr w:rsidR="00E773F6" w:rsidRPr="0028108F" w:rsidTr="008813DE">
        <w:tc>
          <w:tcPr>
            <w:tcW w:w="7528" w:type="dxa"/>
          </w:tcPr>
          <w:p w:rsidR="00E773F6" w:rsidRPr="00181CF2" w:rsidRDefault="00E773F6" w:rsidP="00725B6F">
            <w:pPr>
              <w:tabs>
                <w:tab w:val="left" w:pos="1440"/>
              </w:tabs>
              <w:adjustRightInd w:val="0"/>
              <w:snapToGrid w:val="0"/>
              <w:ind w:left="1452" w:hanging="1452"/>
              <w:jc w:val="both"/>
              <w:rPr>
                <w:rFonts w:ascii="Arial" w:hAnsi="Arial" w:cs="Arial"/>
                <w:b/>
                <w:szCs w:val="24"/>
                <w:lang w:val="en-GB"/>
              </w:rPr>
            </w:pPr>
          </w:p>
        </w:tc>
        <w:tc>
          <w:tcPr>
            <w:tcW w:w="886" w:type="dxa"/>
            <w:gridSpan w:val="2"/>
          </w:tcPr>
          <w:p w:rsidR="00E773F6" w:rsidRPr="00C57CE1" w:rsidRDefault="00E773F6" w:rsidP="008813DE">
            <w:pPr>
              <w:tabs>
                <w:tab w:val="left" w:pos="1440"/>
              </w:tabs>
              <w:adjustRightInd w:val="0"/>
              <w:snapToGrid w:val="0"/>
              <w:ind w:left="720" w:hanging="720"/>
              <w:jc w:val="center"/>
              <w:rPr>
                <w:rFonts w:ascii="Arial" w:hAnsi="Arial" w:cs="Arial"/>
                <w:szCs w:val="24"/>
                <w:lang w:val="en-GB"/>
              </w:rPr>
            </w:pPr>
          </w:p>
        </w:tc>
      </w:tr>
      <w:tr w:rsidR="00E773F6" w:rsidRPr="0028108F" w:rsidTr="008813DE">
        <w:tc>
          <w:tcPr>
            <w:tcW w:w="7528" w:type="dxa"/>
          </w:tcPr>
          <w:p w:rsidR="00E773F6" w:rsidRPr="00181CF2" w:rsidRDefault="00E773F6" w:rsidP="00725B6F">
            <w:pPr>
              <w:adjustRightInd w:val="0"/>
              <w:snapToGrid w:val="0"/>
              <w:jc w:val="both"/>
              <w:rPr>
                <w:rFonts w:ascii="Arial" w:hAnsi="Arial" w:cs="Arial"/>
                <w:szCs w:val="24"/>
                <w:lang w:val="en-GB"/>
              </w:rPr>
            </w:pPr>
            <w:r w:rsidRPr="00181CF2">
              <w:rPr>
                <w:rFonts w:ascii="Arial" w:hAnsi="Arial" w:cs="Arial"/>
                <w:szCs w:val="24"/>
                <w:lang w:val="en-GB"/>
              </w:rPr>
              <w:t xml:space="preserve">Introduction </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139</w:t>
            </w:r>
          </w:p>
        </w:tc>
      </w:tr>
      <w:tr w:rsidR="00E773F6" w:rsidRPr="0028108F" w:rsidTr="008813DE">
        <w:tc>
          <w:tcPr>
            <w:tcW w:w="7528" w:type="dxa"/>
          </w:tcPr>
          <w:p w:rsidR="00E773F6" w:rsidRPr="00181CF2" w:rsidRDefault="00E773F6" w:rsidP="00725B6F">
            <w:pPr>
              <w:adjustRightInd w:val="0"/>
              <w:snapToGrid w:val="0"/>
              <w:ind w:leftChars="-412" w:left="2" w:hangingChars="413" w:hanging="991"/>
              <w:jc w:val="both"/>
              <w:rPr>
                <w:rFonts w:ascii="Arial" w:hAnsi="Arial" w:cs="Arial"/>
                <w:szCs w:val="24"/>
                <w:lang w:val="en-GB"/>
              </w:rPr>
            </w:pPr>
            <w:r w:rsidRPr="00181CF2">
              <w:rPr>
                <w:rFonts w:ascii="Arial" w:hAnsi="Arial" w:cs="Arial"/>
                <w:szCs w:val="24"/>
                <w:lang w:val="en-GB"/>
              </w:rPr>
              <w:tab/>
              <w:t>Requirement of medical diagnosis</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139</w:t>
            </w:r>
          </w:p>
        </w:tc>
      </w:tr>
      <w:tr w:rsidR="00E773F6" w:rsidRPr="00A27ED9" w:rsidTr="008813DE">
        <w:tc>
          <w:tcPr>
            <w:tcW w:w="7528" w:type="dxa"/>
          </w:tcPr>
          <w:p w:rsidR="00E773F6" w:rsidRPr="008813DE" w:rsidRDefault="0006282B" w:rsidP="008813DE">
            <w:pPr>
              <w:tabs>
                <w:tab w:val="left" w:pos="851"/>
              </w:tabs>
              <w:adjustRightInd w:val="0"/>
              <w:snapToGrid w:val="0"/>
              <w:ind w:leftChars="309" w:left="1167" w:hangingChars="177" w:hanging="425"/>
              <w:jc w:val="both"/>
              <w:rPr>
                <w:rFonts w:ascii="Arial" w:hAnsi="Arial" w:cs="Arial"/>
                <w:color w:val="000000" w:themeColor="text1"/>
                <w:szCs w:val="24"/>
                <w:lang w:val="en-GB"/>
              </w:rPr>
            </w:pPr>
            <w:r w:rsidRPr="008813DE">
              <w:rPr>
                <w:rFonts w:ascii="Arial" w:hAnsi="Arial" w:cs="Arial"/>
                <w:color w:val="000000" w:themeColor="text1"/>
                <w:szCs w:val="24"/>
                <w:lang w:val="en-GB"/>
              </w:rPr>
              <w:t xml:space="preserve">Arguments in support </w:t>
            </w:r>
            <w:r w:rsidR="00E773F6" w:rsidRPr="008813DE">
              <w:rPr>
                <w:rFonts w:ascii="Arial" w:hAnsi="Arial" w:cs="Arial"/>
                <w:color w:val="000000" w:themeColor="text1"/>
                <w:szCs w:val="24"/>
                <w:lang w:val="en-GB"/>
              </w:rPr>
              <w:t>of having a requirement of medical diagnosis</w:t>
            </w:r>
          </w:p>
        </w:tc>
        <w:tc>
          <w:tcPr>
            <w:tcW w:w="886" w:type="dxa"/>
            <w:gridSpan w:val="2"/>
          </w:tcPr>
          <w:p w:rsidR="00E773F6" w:rsidRPr="00A27ED9" w:rsidRDefault="001F5C86" w:rsidP="008813DE">
            <w:pPr>
              <w:tabs>
                <w:tab w:val="left" w:pos="1440"/>
              </w:tabs>
              <w:adjustRightInd w:val="0"/>
              <w:snapToGrid w:val="0"/>
              <w:ind w:left="720" w:hanging="720"/>
              <w:jc w:val="center"/>
              <w:rPr>
                <w:rFonts w:ascii="Arial" w:hAnsi="Arial" w:cs="Arial"/>
                <w:szCs w:val="24"/>
                <w:lang w:val="en-GB"/>
              </w:rPr>
            </w:pPr>
            <w:r w:rsidRPr="00A27ED9">
              <w:rPr>
                <w:rFonts w:ascii="Arial" w:hAnsi="Arial" w:cs="Arial"/>
                <w:szCs w:val="24"/>
                <w:lang w:val="en-GB"/>
              </w:rPr>
              <w:t>139</w:t>
            </w:r>
          </w:p>
        </w:tc>
      </w:tr>
      <w:tr w:rsidR="00E773F6" w:rsidRPr="00A27ED9" w:rsidTr="008813DE">
        <w:tc>
          <w:tcPr>
            <w:tcW w:w="7528" w:type="dxa"/>
          </w:tcPr>
          <w:p w:rsidR="00E773F6" w:rsidRPr="008813DE" w:rsidRDefault="0006282B" w:rsidP="008813DE">
            <w:pPr>
              <w:tabs>
                <w:tab w:val="left" w:pos="851"/>
              </w:tabs>
              <w:adjustRightInd w:val="0"/>
              <w:snapToGrid w:val="0"/>
              <w:ind w:firstLineChars="309" w:firstLine="742"/>
              <w:jc w:val="both"/>
              <w:rPr>
                <w:rFonts w:ascii="Arial" w:hAnsi="Arial" w:cs="Arial"/>
                <w:color w:val="000000" w:themeColor="text1"/>
                <w:szCs w:val="24"/>
                <w:lang w:val="en-GB"/>
              </w:rPr>
            </w:pPr>
            <w:r w:rsidRPr="008813DE">
              <w:rPr>
                <w:rFonts w:ascii="Arial" w:hAnsi="Arial" w:cs="Arial"/>
                <w:color w:val="000000" w:themeColor="text1"/>
                <w:szCs w:val="24"/>
                <w:lang w:val="en-GB"/>
              </w:rPr>
              <w:t>Arguments against</w:t>
            </w:r>
            <w:r w:rsidR="00E773F6" w:rsidRPr="008813DE">
              <w:rPr>
                <w:rFonts w:ascii="Arial" w:hAnsi="Arial" w:cs="Arial"/>
                <w:color w:val="000000" w:themeColor="text1"/>
                <w:szCs w:val="24"/>
                <w:lang w:val="en-GB"/>
              </w:rPr>
              <w:t xml:space="preserve"> having a requirement of medical diagnosis</w:t>
            </w:r>
          </w:p>
        </w:tc>
        <w:tc>
          <w:tcPr>
            <w:tcW w:w="886" w:type="dxa"/>
            <w:gridSpan w:val="2"/>
          </w:tcPr>
          <w:p w:rsidR="00E773F6" w:rsidRPr="00A27ED9" w:rsidRDefault="001F5C86" w:rsidP="008813DE">
            <w:pPr>
              <w:tabs>
                <w:tab w:val="left" w:pos="1440"/>
              </w:tabs>
              <w:adjustRightInd w:val="0"/>
              <w:snapToGrid w:val="0"/>
              <w:ind w:left="720" w:hanging="720"/>
              <w:jc w:val="center"/>
              <w:rPr>
                <w:rFonts w:ascii="Arial" w:hAnsi="Arial" w:cs="Arial"/>
                <w:szCs w:val="24"/>
                <w:lang w:val="en-GB"/>
              </w:rPr>
            </w:pPr>
            <w:r w:rsidRPr="00A27ED9">
              <w:rPr>
                <w:rFonts w:ascii="Arial" w:hAnsi="Arial" w:cs="Arial"/>
                <w:szCs w:val="24"/>
                <w:lang w:val="en-GB"/>
              </w:rPr>
              <w:t>142</w:t>
            </w:r>
          </w:p>
        </w:tc>
      </w:tr>
      <w:tr w:rsidR="00E773F6" w:rsidRPr="0028108F" w:rsidTr="008813DE">
        <w:tc>
          <w:tcPr>
            <w:tcW w:w="7528" w:type="dxa"/>
          </w:tcPr>
          <w:p w:rsidR="00E773F6" w:rsidRPr="0028108F" w:rsidRDefault="00E773F6" w:rsidP="00725B6F">
            <w:pPr>
              <w:tabs>
                <w:tab w:val="left" w:pos="851"/>
              </w:tabs>
              <w:adjustRightInd w:val="0"/>
              <w:snapToGrid w:val="0"/>
              <w:ind w:left="883" w:hangingChars="368" w:hanging="883"/>
              <w:jc w:val="both"/>
              <w:rPr>
                <w:rFonts w:ascii="Arial" w:hAnsi="Arial" w:cs="Arial"/>
                <w:szCs w:val="24"/>
                <w:lang w:val="en-GB"/>
              </w:rPr>
            </w:pPr>
            <w:r w:rsidRPr="00181CF2">
              <w:rPr>
                <w:rFonts w:ascii="Arial" w:hAnsi="Arial" w:cs="Arial"/>
                <w:szCs w:val="24"/>
                <w:lang w:val="en-GB"/>
              </w:rPr>
              <w:t>Requirement of “</w:t>
            </w:r>
            <w:r w:rsidR="00043FD0" w:rsidRPr="0028108F">
              <w:rPr>
                <w:rFonts w:ascii="Arial" w:hAnsi="Arial" w:cs="Arial"/>
                <w:szCs w:val="24"/>
                <w:lang w:val="en-GB"/>
              </w:rPr>
              <w:t>real life test</w:t>
            </w:r>
            <w:r w:rsidRPr="0028108F">
              <w:rPr>
                <w:rFonts w:ascii="Arial" w:hAnsi="Arial" w:cs="Arial"/>
                <w:szCs w:val="24"/>
                <w:lang w:val="en-GB"/>
              </w:rPr>
              <w:t xml:space="preserve">” </w:t>
            </w:r>
          </w:p>
        </w:tc>
        <w:tc>
          <w:tcPr>
            <w:tcW w:w="886" w:type="dxa"/>
            <w:gridSpan w:val="2"/>
          </w:tcPr>
          <w:p w:rsidR="00E773F6" w:rsidRPr="0028108F"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147</w:t>
            </w:r>
          </w:p>
        </w:tc>
      </w:tr>
      <w:tr w:rsidR="00E773F6" w:rsidRPr="00C6336A" w:rsidTr="008813DE">
        <w:tc>
          <w:tcPr>
            <w:tcW w:w="7528" w:type="dxa"/>
          </w:tcPr>
          <w:p w:rsidR="00E773F6" w:rsidRPr="008813DE" w:rsidRDefault="0006282B" w:rsidP="008813DE">
            <w:pPr>
              <w:tabs>
                <w:tab w:val="left" w:pos="851"/>
              </w:tabs>
              <w:adjustRightInd w:val="0"/>
              <w:snapToGrid w:val="0"/>
              <w:ind w:firstLineChars="309" w:firstLine="742"/>
              <w:jc w:val="both"/>
              <w:rPr>
                <w:rFonts w:ascii="Arial" w:hAnsi="Arial" w:cs="Arial"/>
                <w:color w:val="000000" w:themeColor="text1"/>
                <w:szCs w:val="24"/>
                <w:lang w:val="en-GB"/>
              </w:rPr>
            </w:pPr>
            <w:r w:rsidRPr="008813DE">
              <w:rPr>
                <w:rFonts w:ascii="Arial" w:hAnsi="Arial" w:cs="Arial"/>
                <w:color w:val="000000" w:themeColor="text1"/>
                <w:szCs w:val="24"/>
                <w:lang w:val="en-GB"/>
              </w:rPr>
              <w:t>Arguments in support</w:t>
            </w:r>
            <w:r w:rsidR="00E773F6" w:rsidRPr="008813DE">
              <w:rPr>
                <w:rFonts w:ascii="Arial" w:hAnsi="Arial" w:cs="Arial"/>
                <w:color w:val="000000" w:themeColor="text1"/>
                <w:szCs w:val="24"/>
                <w:lang w:val="en-GB"/>
              </w:rPr>
              <w:t xml:space="preserve"> of having a requirement of “</w:t>
            </w:r>
            <w:r w:rsidR="00043FD0" w:rsidRPr="008813DE">
              <w:rPr>
                <w:rFonts w:ascii="Arial" w:hAnsi="Arial" w:cs="Arial"/>
                <w:color w:val="000000" w:themeColor="text1"/>
                <w:szCs w:val="24"/>
                <w:lang w:val="en-GB"/>
              </w:rPr>
              <w:t>real life test</w:t>
            </w:r>
            <w:r w:rsidR="00E773F6" w:rsidRPr="008813DE">
              <w:rPr>
                <w:rFonts w:ascii="Arial" w:hAnsi="Arial" w:cs="Arial"/>
                <w:color w:val="000000" w:themeColor="text1"/>
                <w:szCs w:val="24"/>
                <w:lang w:val="en-GB"/>
              </w:rPr>
              <w:t>”</w:t>
            </w:r>
          </w:p>
        </w:tc>
        <w:tc>
          <w:tcPr>
            <w:tcW w:w="886" w:type="dxa"/>
            <w:gridSpan w:val="2"/>
          </w:tcPr>
          <w:p w:rsidR="00E773F6" w:rsidRPr="00C6336A" w:rsidRDefault="001F5C86"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147</w:t>
            </w:r>
          </w:p>
        </w:tc>
      </w:tr>
      <w:tr w:rsidR="00E773F6" w:rsidRPr="00C6336A" w:rsidTr="008813DE">
        <w:tc>
          <w:tcPr>
            <w:tcW w:w="7528" w:type="dxa"/>
          </w:tcPr>
          <w:p w:rsidR="00E773F6" w:rsidRPr="008813DE" w:rsidRDefault="0006282B" w:rsidP="008813DE">
            <w:pPr>
              <w:tabs>
                <w:tab w:val="left" w:pos="851"/>
              </w:tabs>
              <w:adjustRightInd w:val="0"/>
              <w:snapToGrid w:val="0"/>
              <w:ind w:firstLineChars="309" w:firstLine="742"/>
              <w:jc w:val="both"/>
              <w:rPr>
                <w:rFonts w:ascii="Arial" w:hAnsi="Arial" w:cs="Arial"/>
                <w:color w:val="000000" w:themeColor="text1"/>
                <w:szCs w:val="24"/>
                <w:lang w:val="en-GB"/>
              </w:rPr>
            </w:pPr>
            <w:r w:rsidRPr="008813DE">
              <w:rPr>
                <w:rFonts w:ascii="Arial" w:hAnsi="Arial" w:cs="Arial"/>
                <w:color w:val="000000" w:themeColor="text1"/>
                <w:szCs w:val="24"/>
                <w:lang w:val="en-GB"/>
              </w:rPr>
              <w:t xml:space="preserve">Arguments against </w:t>
            </w:r>
            <w:r w:rsidR="00E773F6" w:rsidRPr="008813DE">
              <w:rPr>
                <w:rFonts w:ascii="Arial" w:hAnsi="Arial" w:cs="Arial"/>
                <w:color w:val="000000" w:themeColor="text1"/>
                <w:szCs w:val="24"/>
                <w:lang w:val="en-GB"/>
              </w:rPr>
              <w:t>having a requirement of “</w:t>
            </w:r>
            <w:r w:rsidR="00043FD0" w:rsidRPr="008813DE">
              <w:rPr>
                <w:rFonts w:ascii="Arial" w:hAnsi="Arial" w:cs="Arial"/>
                <w:color w:val="000000" w:themeColor="text1"/>
                <w:szCs w:val="24"/>
                <w:lang w:val="en-GB"/>
              </w:rPr>
              <w:t>real life test</w:t>
            </w:r>
            <w:r w:rsidR="00E773F6" w:rsidRPr="008813DE">
              <w:rPr>
                <w:rFonts w:ascii="Arial" w:hAnsi="Arial" w:cs="Arial"/>
                <w:color w:val="000000" w:themeColor="text1"/>
                <w:szCs w:val="24"/>
                <w:lang w:val="en-GB"/>
              </w:rPr>
              <w:t>”</w:t>
            </w:r>
          </w:p>
        </w:tc>
        <w:tc>
          <w:tcPr>
            <w:tcW w:w="886" w:type="dxa"/>
            <w:gridSpan w:val="2"/>
          </w:tcPr>
          <w:p w:rsidR="00E773F6" w:rsidRPr="00C6336A" w:rsidRDefault="001F5C86"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148</w:t>
            </w:r>
          </w:p>
        </w:tc>
      </w:tr>
      <w:tr w:rsidR="00E773F6" w:rsidRPr="0028108F" w:rsidTr="008813DE">
        <w:tc>
          <w:tcPr>
            <w:tcW w:w="7528" w:type="dxa"/>
          </w:tcPr>
          <w:p w:rsidR="00E773F6" w:rsidRPr="0028108F" w:rsidRDefault="00E773F6" w:rsidP="00725B6F">
            <w:pPr>
              <w:tabs>
                <w:tab w:val="left" w:pos="851"/>
              </w:tabs>
              <w:adjustRightInd w:val="0"/>
              <w:snapToGrid w:val="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Requirement for hormonal treatment  </w:t>
            </w:r>
          </w:p>
        </w:tc>
        <w:tc>
          <w:tcPr>
            <w:tcW w:w="886" w:type="dxa"/>
            <w:gridSpan w:val="2"/>
          </w:tcPr>
          <w:p w:rsidR="00E773F6" w:rsidRPr="00181CF2"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150</w:t>
            </w:r>
          </w:p>
        </w:tc>
      </w:tr>
      <w:tr w:rsidR="00E773F6" w:rsidRPr="00C6336A" w:rsidTr="008813DE">
        <w:tc>
          <w:tcPr>
            <w:tcW w:w="7528" w:type="dxa"/>
          </w:tcPr>
          <w:p w:rsidR="00E773F6" w:rsidRPr="008813DE" w:rsidRDefault="0006282B" w:rsidP="008813DE">
            <w:pPr>
              <w:tabs>
                <w:tab w:val="left" w:pos="851"/>
              </w:tabs>
              <w:adjustRightInd w:val="0"/>
              <w:snapToGrid w:val="0"/>
              <w:ind w:leftChars="309" w:left="1167" w:hangingChars="177" w:hanging="425"/>
              <w:jc w:val="both"/>
              <w:rPr>
                <w:rFonts w:ascii="Arial" w:hAnsi="Arial" w:cs="Arial"/>
                <w:color w:val="000000" w:themeColor="text1"/>
                <w:szCs w:val="24"/>
                <w:lang w:val="en-GB"/>
              </w:rPr>
            </w:pPr>
            <w:r w:rsidRPr="008813DE">
              <w:rPr>
                <w:rFonts w:ascii="Arial" w:hAnsi="Arial" w:cs="Arial"/>
                <w:color w:val="000000" w:themeColor="text1"/>
                <w:szCs w:val="24"/>
                <w:lang w:val="en-GB"/>
              </w:rPr>
              <w:t>Arguments in support</w:t>
            </w:r>
            <w:r w:rsidR="00E773F6" w:rsidRPr="008813DE">
              <w:rPr>
                <w:rFonts w:ascii="Arial" w:hAnsi="Arial" w:cs="Arial"/>
                <w:color w:val="000000" w:themeColor="text1"/>
                <w:szCs w:val="24"/>
                <w:lang w:val="en-GB"/>
              </w:rPr>
              <w:t xml:space="preserve"> of having a requirement for hormonal treatment</w:t>
            </w:r>
          </w:p>
        </w:tc>
        <w:tc>
          <w:tcPr>
            <w:tcW w:w="886" w:type="dxa"/>
            <w:gridSpan w:val="2"/>
          </w:tcPr>
          <w:p w:rsidR="00E773F6" w:rsidRPr="00C6336A" w:rsidRDefault="001F5C86"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150</w:t>
            </w:r>
          </w:p>
        </w:tc>
      </w:tr>
      <w:tr w:rsidR="00E773F6" w:rsidRPr="00C6336A" w:rsidTr="008813DE">
        <w:tc>
          <w:tcPr>
            <w:tcW w:w="7528" w:type="dxa"/>
          </w:tcPr>
          <w:p w:rsidR="00E773F6" w:rsidRPr="008813DE" w:rsidRDefault="0006282B" w:rsidP="008813DE">
            <w:pPr>
              <w:tabs>
                <w:tab w:val="left" w:pos="851"/>
              </w:tabs>
              <w:adjustRightInd w:val="0"/>
              <w:snapToGrid w:val="0"/>
              <w:ind w:leftChars="309" w:left="1167" w:hangingChars="177" w:hanging="425"/>
              <w:jc w:val="both"/>
              <w:rPr>
                <w:rFonts w:ascii="Arial" w:hAnsi="Arial" w:cs="Arial"/>
                <w:color w:val="000000" w:themeColor="text1"/>
                <w:szCs w:val="24"/>
                <w:lang w:val="en-GB"/>
              </w:rPr>
            </w:pPr>
            <w:r w:rsidRPr="008813DE">
              <w:rPr>
                <w:rFonts w:ascii="Arial" w:hAnsi="Arial" w:cs="Arial"/>
                <w:color w:val="000000" w:themeColor="text1"/>
                <w:szCs w:val="24"/>
                <w:lang w:val="en-GB"/>
              </w:rPr>
              <w:t xml:space="preserve">Arguments against </w:t>
            </w:r>
            <w:r w:rsidR="00E773F6" w:rsidRPr="008813DE">
              <w:rPr>
                <w:rFonts w:ascii="Arial" w:hAnsi="Arial" w:cs="Arial"/>
                <w:color w:val="000000" w:themeColor="text1"/>
                <w:szCs w:val="24"/>
                <w:lang w:val="en-GB"/>
              </w:rPr>
              <w:t>having a requirement for hormonal treatment</w:t>
            </w:r>
          </w:p>
        </w:tc>
        <w:tc>
          <w:tcPr>
            <w:tcW w:w="886" w:type="dxa"/>
            <w:gridSpan w:val="2"/>
          </w:tcPr>
          <w:p w:rsidR="00E773F6" w:rsidRPr="00C6336A" w:rsidRDefault="001F5C86"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15</w:t>
            </w:r>
            <w:r w:rsidR="00B30449">
              <w:rPr>
                <w:rFonts w:ascii="Arial" w:hAnsi="Arial" w:cs="Arial"/>
                <w:szCs w:val="24"/>
                <w:lang w:val="en-GB"/>
              </w:rPr>
              <w:t>2</w:t>
            </w:r>
          </w:p>
        </w:tc>
      </w:tr>
      <w:tr w:rsidR="00E773F6" w:rsidRPr="0028108F" w:rsidTr="008813DE">
        <w:tc>
          <w:tcPr>
            <w:tcW w:w="7528" w:type="dxa"/>
          </w:tcPr>
          <w:p w:rsidR="00E773F6" w:rsidRPr="00181CF2" w:rsidRDefault="00E773F6" w:rsidP="00725B6F">
            <w:pPr>
              <w:adjustRightInd w:val="0"/>
              <w:snapToGrid w:val="0"/>
              <w:ind w:left="2"/>
              <w:jc w:val="both"/>
              <w:rPr>
                <w:rFonts w:ascii="Arial" w:hAnsi="Arial" w:cs="Arial"/>
                <w:szCs w:val="24"/>
                <w:lang w:val="en-GB"/>
              </w:rPr>
            </w:pPr>
            <w:r w:rsidRPr="00181CF2">
              <w:rPr>
                <w:rFonts w:ascii="Arial" w:hAnsi="Arial" w:cs="Arial"/>
                <w:szCs w:val="24"/>
                <w:lang w:val="en-GB"/>
              </w:rPr>
              <w:t xml:space="preserve">Requirement of SRS </w:t>
            </w:r>
          </w:p>
        </w:tc>
        <w:tc>
          <w:tcPr>
            <w:tcW w:w="886" w:type="dxa"/>
            <w:gridSpan w:val="2"/>
          </w:tcPr>
          <w:p w:rsidR="00E773F6" w:rsidRPr="00C57CE1" w:rsidRDefault="001F5C86"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15</w:t>
            </w:r>
            <w:r w:rsidR="0092200E">
              <w:rPr>
                <w:rFonts w:ascii="Arial" w:hAnsi="Arial" w:cs="Arial"/>
                <w:szCs w:val="24"/>
                <w:lang w:val="en-GB"/>
              </w:rPr>
              <w:t>4</w:t>
            </w:r>
          </w:p>
        </w:tc>
      </w:tr>
      <w:tr w:rsidR="00E773F6" w:rsidRPr="00C6336A" w:rsidTr="008813DE">
        <w:tc>
          <w:tcPr>
            <w:tcW w:w="7528" w:type="dxa"/>
          </w:tcPr>
          <w:p w:rsidR="00E773F6" w:rsidRPr="008813DE" w:rsidRDefault="0006282B" w:rsidP="008813DE">
            <w:pPr>
              <w:tabs>
                <w:tab w:val="left" w:pos="851"/>
              </w:tabs>
              <w:adjustRightInd w:val="0"/>
              <w:snapToGrid w:val="0"/>
              <w:ind w:leftChars="310" w:left="1166" w:hangingChars="176" w:hanging="422"/>
              <w:jc w:val="both"/>
              <w:rPr>
                <w:rFonts w:ascii="Arial" w:hAnsi="Arial" w:cs="Arial"/>
                <w:color w:val="000000" w:themeColor="text1"/>
                <w:szCs w:val="24"/>
                <w:lang w:val="en-GB"/>
              </w:rPr>
            </w:pPr>
            <w:r w:rsidRPr="00C6336A">
              <w:rPr>
                <w:rFonts w:ascii="Arial" w:hAnsi="Arial" w:cs="Arial"/>
                <w:szCs w:val="24"/>
                <w:lang w:val="en-GB"/>
              </w:rPr>
              <w:t>Arguments in support</w:t>
            </w:r>
            <w:r w:rsidR="00E773F6" w:rsidRPr="008813DE">
              <w:rPr>
                <w:rFonts w:ascii="Arial" w:hAnsi="Arial" w:cs="Arial"/>
                <w:color w:val="000000" w:themeColor="text1"/>
                <w:szCs w:val="24"/>
                <w:lang w:val="en-GB"/>
              </w:rPr>
              <w:t xml:space="preserve"> of having a requirement for the applicant to have undergone SRS</w:t>
            </w:r>
          </w:p>
        </w:tc>
        <w:tc>
          <w:tcPr>
            <w:tcW w:w="886" w:type="dxa"/>
            <w:gridSpan w:val="2"/>
          </w:tcPr>
          <w:p w:rsidR="00E773F6" w:rsidRPr="00C6336A" w:rsidRDefault="001F5C86"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154</w:t>
            </w:r>
          </w:p>
        </w:tc>
      </w:tr>
      <w:tr w:rsidR="00E773F6" w:rsidRPr="00C6336A" w:rsidTr="008813DE">
        <w:tc>
          <w:tcPr>
            <w:tcW w:w="7528" w:type="dxa"/>
          </w:tcPr>
          <w:p w:rsidR="00E773F6" w:rsidRPr="008813DE" w:rsidRDefault="0006282B" w:rsidP="008813DE">
            <w:pPr>
              <w:tabs>
                <w:tab w:val="left" w:pos="851"/>
              </w:tabs>
              <w:adjustRightInd w:val="0"/>
              <w:snapToGrid w:val="0"/>
              <w:ind w:leftChars="309" w:left="1167" w:hangingChars="177" w:hanging="425"/>
              <w:jc w:val="both"/>
              <w:rPr>
                <w:rFonts w:ascii="Arial" w:hAnsi="Arial" w:cs="Arial"/>
                <w:color w:val="000000" w:themeColor="text1"/>
                <w:szCs w:val="24"/>
                <w:lang w:val="en-GB"/>
              </w:rPr>
            </w:pPr>
            <w:r w:rsidRPr="008813DE">
              <w:rPr>
                <w:rFonts w:ascii="Arial" w:hAnsi="Arial" w:cs="Arial"/>
                <w:color w:val="000000" w:themeColor="text1"/>
                <w:szCs w:val="24"/>
                <w:lang w:val="en-GB"/>
              </w:rPr>
              <w:t xml:space="preserve">Arguments against </w:t>
            </w:r>
            <w:r w:rsidR="00E773F6" w:rsidRPr="008813DE">
              <w:rPr>
                <w:rFonts w:ascii="Arial" w:hAnsi="Arial" w:cs="Arial"/>
                <w:color w:val="000000" w:themeColor="text1"/>
                <w:szCs w:val="24"/>
                <w:lang w:val="en-GB"/>
              </w:rPr>
              <w:t>having a requirement for the applicant to have undergone SRS</w:t>
            </w:r>
          </w:p>
        </w:tc>
        <w:tc>
          <w:tcPr>
            <w:tcW w:w="886" w:type="dxa"/>
            <w:gridSpan w:val="2"/>
          </w:tcPr>
          <w:p w:rsidR="00E773F6" w:rsidRPr="00C6336A" w:rsidRDefault="001F5C86"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163</w:t>
            </w:r>
          </w:p>
        </w:tc>
      </w:tr>
      <w:tr w:rsidR="00E773F6" w:rsidRPr="00C6336A" w:rsidTr="008813DE">
        <w:trPr>
          <w:trHeight w:val="149"/>
        </w:trPr>
        <w:tc>
          <w:tcPr>
            <w:tcW w:w="7528" w:type="dxa"/>
          </w:tcPr>
          <w:p w:rsidR="00E773F6" w:rsidRPr="008813DE" w:rsidRDefault="0006282B" w:rsidP="008813DE">
            <w:pPr>
              <w:tabs>
                <w:tab w:val="left" w:pos="851"/>
              </w:tabs>
              <w:adjustRightInd w:val="0"/>
              <w:snapToGrid w:val="0"/>
              <w:ind w:leftChars="309" w:left="1167" w:hangingChars="177" w:hanging="425"/>
              <w:jc w:val="both"/>
              <w:rPr>
                <w:rFonts w:ascii="Arial" w:hAnsi="Arial" w:cs="Arial"/>
                <w:color w:val="000000" w:themeColor="text1"/>
                <w:szCs w:val="24"/>
                <w:lang w:val="en-GB"/>
              </w:rPr>
            </w:pPr>
            <w:r w:rsidRPr="008813DE">
              <w:rPr>
                <w:rFonts w:ascii="Arial" w:hAnsi="Arial" w:cs="Arial"/>
                <w:color w:val="000000" w:themeColor="text1"/>
                <w:szCs w:val="24"/>
                <w:lang w:val="en-GB"/>
              </w:rPr>
              <w:t>Arguments</w:t>
            </w:r>
            <w:r w:rsidRPr="008813DE">
              <w:rPr>
                <w:rFonts w:ascii="Arial" w:hAnsi="Arial" w:cs="Arial"/>
                <w:szCs w:val="24"/>
                <w:lang w:val="en-GB"/>
              </w:rPr>
              <w:t xml:space="preserve"> in support</w:t>
            </w:r>
            <w:r w:rsidR="00E773F6" w:rsidRPr="008813DE">
              <w:rPr>
                <w:rFonts w:ascii="Arial" w:hAnsi="Arial" w:cs="Arial"/>
                <w:color w:val="000000" w:themeColor="text1"/>
                <w:szCs w:val="24"/>
                <w:lang w:val="en-GB"/>
              </w:rPr>
              <w:t xml:space="preserve"> and </w:t>
            </w:r>
            <w:r w:rsidRPr="008813DE">
              <w:rPr>
                <w:rFonts w:ascii="Arial" w:hAnsi="Arial" w:cs="Arial"/>
                <w:color w:val="000000" w:themeColor="text1"/>
                <w:szCs w:val="24"/>
                <w:lang w:val="en-GB"/>
              </w:rPr>
              <w:t>against</w:t>
            </w:r>
            <w:r w:rsidR="00E773F6" w:rsidRPr="008813DE">
              <w:rPr>
                <w:rFonts w:ascii="Arial" w:hAnsi="Arial" w:cs="Arial"/>
                <w:color w:val="000000" w:themeColor="text1"/>
                <w:szCs w:val="24"/>
                <w:lang w:val="en-GB"/>
              </w:rPr>
              <w:t xml:space="preserve"> recognising SRS performed </w:t>
            </w:r>
            <w:r w:rsidR="00E773F6" w:rsidRPr="008813DE">
              <w:rPr>
                <w:rFonts w:ascii="Arial" w:hAnsi="Arial" w:cs="Arial"/>
                <w:color w:val="000000" w:themeColor="text1"/>
                <w:szCs w:val="24"/>
                <w:lang w:val="en-GB"/>
              </w:rPr>
              <w:lastRenderedPageBreak/>
              <w:t>overseas</w:t>
            </w:r>
          </w:p>
        </w:tc>
        <w:tc>
          <w:tcPr>
            <w:tcW w:w="886" w:type="dxa"/>
            <w:gridSpan w:val="2"/>
          </w:tcPr>
          <w:p w:rsidR="00E773F6" w:rsidRPr="008813DE" w:rsidRDefault="001F5C86"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lastRenderedPageBreak/>
              <w:t>180</w:t>
            </w:r>
          </w:p>
        </w:tc>
      </w:tr>
      <w:tr w:rsidR="00E773F6" w:rsidRPr="0028108F" w:rsidTr="008813DE">
        <w:tc>
          <w:tcPr>
            <w:tcW w:w="7528" w:type="dxa"/>
          </w:tcPr>
          <w:p w:rsidR="00E773F6" w:rsidRDefault="00E773F6" w:rsidP="00725B6F">
            <w:pPr>
              <w:tabs>
                <w:tab w:val="left" w:pos="851"/>
              </w:tabs>
              <w:adjustRightInd w:val="0"/>
              <w:snapToGrid w:val="0"/>
              <w:jc w:val="both"/>
              <w:rPr>
                <w:rFonts w:ascii="Arial" w:hAnsi="Arial" w:cs="Arial"/>
                <w:i/>
                <w:color w:val="000000" w:themeColor="text1"/>
                <w:szCs w:val="24"/>
                <w:lang w:val="en-GB"/>
              </w:rPr>
            </w:pPr>
          </w:p>
          <w:p w:rsidR="0054620D" w:rsidRPr="00181CF2" w:rsidRDefault="0054620D" w:rsidP="00725B6F">
            <w:pPr>
              <w:tabs>
                <w:tab w:val="left" w:pos="851"/>
              </w:tabs>
              <w:adjustRightInd w:val="0"/>
              <w:snapToGrid w:val="0"/>
              <w:jc w:val="both"/>
              <w:rPr>
                <w:rFonts w:ascii="Arial" w:hAnsi="Arial" w:cs="Arial"/>
                <w:i/>
                <w:color w:val="000000" w:themeColor="text1"/>
                <w:szCs w:val="24"/>
                <w:lang w:val="en-GB"/>
              </w:rPr>
            </w:pPr>
          </w:p>
        </w:tc>
        <w:tc>
          <w:tcPr>
            <w:tcW w:w="886" w:type="dxa"/>
            <w:gridSpan w:val="2"/>
          </w:tcPr>
          <w:p w:rsidR="00E773F6" w:rsidRPr="00C57CE1" w:rsidRDefault="00E773F6" w:rsidP="008813DE">
            <w:pPr>
              <w:tabs>
                <w:tab w:val="left" w:pos="1440"/>
              </w:tabs>
              <w:adjustRightInd w:val="0"/>
              <w:snapToGrid w:val="0"/>
              <w:jc w:val="center"/>
              <w:rPr>
                <w:rFonts w:ascii="Arial" w:hAnsi="Arial" w:cs="Arial"/>
                <w:b/>
                <w:szCs w:val="24"/>
                <w:lang w:val="en-GB"/>
              </w:rPr>
            </w:pPr>
          </w:p>
        </w:tc>
      </w:tr>
      <w:tr w:rsidR="001544FD" w:rsidRPr="0028108F" w:rsidTr="008813DE">
        <w:tc>
          <w:tcPr>
            <w:tcW w:w="7528" w:type="dxa"/>
          </w:tcPr>
          <w:p w:rsidR="001544FD" w:rsidRDefault="001544FD" w:rsidP="00725B6F">
            <w:pPr>
              <w:tabs>
                <w:tab w:val="left" w:pos="1440"/>
              </w:tabs>
              <w:adjustRightInd w:val="0"/>
              <w:snapToGrid w:val="0"/>
              <w:ind w:left="1452" w:hanging="1452"/>
              <w:jc w:val="both"/>
              <w:rPr>
                <w:rFonts w:ascii="Arial" w:hAnsi="Arial" w:cs="Arial"/>
                <w:b/>
                <w:szCs w:val="24"/>
                <w:lang w:val="en-GB"/>
              </w:rPr>
            </w:pPr>
            <w:r w:rsidRPr="00181CF2">
              <w:rPr>
                <w:rFonts w:ascii="Arial" w:hAnsi="Arial" w:cs="Arial"/>
                <w:b/>
                <w:szCs w:val="24"/>
                <w:lang w:val="en-GB"/>
              </w:rPr>
              <w:t>Chapter 7</w:t>
            </w:r>
            <w:r w:rsidRPr="00181CF2">
              <w:rPr>
                <w:rFonts w:ascii="Arial" w:hAnsi="Arial" w:cs="Arial"/>
                <w:b/>
                <w:szCs w:val="24"/>
                <w:lang w:val="en-GB"/>
              </w:rPr>
              <w:tab/>
              <w:t xml:space="preserve">Non-medical requirements for gender recognition </w:t>
            </w:r>
          </w:p>
          <w:p w:rsidR="0054620D" w:rsidRPr="00181CF2" w:rsidRDefault="0054620D" w:rsidP="00725B6F">
            <w:pPr>
              <w:tabs>
                <w:tab w:val="left" w:pos="1440"/>
              </w:tabs>
              <w:adjustRightInd w:val="0"/>
              <w:snapToGrid w:val="0"/>
              <w:ind w:left="1452" w:hanging="1452"/>
              <w:jc w:val="both"/>
              <w:rPr>
                <w:rFonts w:ascii="Arial" w:hAnsi="Arial" w:cs="Arial"/>
                <w:b/>
                <w:szCs w:val="24"/>
                <w:lang w:val="en-GB"/>
              </w:rPr>
            </w:pPr>
          </w:p>
        </w:tc>
        <w:tc>
          <w:tcPr>
            <w:tcW w:w="886" w:type="dxa"/>
            <w:gridSpan w:val="2"/>
          </w:tcPr>
          <w:p w:rsidR="001544FD" w:rsidRPr="008813DE" w:rsidRDefault="00A52E14" w:rsidP="008813DE">
            <w:pPr>
              <w:tabs>
                <w:tab w:val="left" w:pos="1440"/>
              </w:tabs>
              <w:adjustRightInd w:val="0"/>
              <w:snapToGrid w:val="0"/>
              <w:jc w:val="center"/>
              <w:rPr>
                <w:rFonts w:ascii="Arial" w:hAnsi="Arial" w:cs="Arial"/>
                <w:szCs w:val="24"/>
                <w:lang w:val="en-GB"/>
              </w:rPr>
            </w:pPr>
            <w:r>
              <w:rPr>
                <w:rFonts w:ascii="Arial" w:hAnsi="Arial" w:cs="Arial"/>
                <w:szCs w:val="24"/>
                <w:lang w:val="en-GB"/>
              </w:rPr>
              <w:t>183</w:t>
            </w:r>
          </w:p>
        </w:tc>
      </w:tr>
      <w:tr w:rsidR="001544FD" w:rsidRPr="0028108F" w:rsidTr="008813DE">
        <w:tc>
          <w:tcPr>
            <w:tcW w:w="7528" w:type="dxa"/>
          </w:tcPr>
          <w:p w:rsidR="001544FD" w:rsidRPr="001F349D" w:rsidRDefault="001544FD" w:rsidP="00725B6F">
            <w:pPr>
              <w:tabs>
                <w:tab w:val="left" w:pos="1440"/>
              </w:tabs>
              <w:adjustRightInd w:val="0"/>
              <w:snapToGrid w:val="0"/>
              <w:ind w:left="1452" w:hanging="1452"/>
              <w:jc w:val="both"/>
              <w:rPr>
                <w:rFonts w:ascii="Arial" w:hAnsi="Arial" w:cs="Arial"/>
                <w:szCs w:val="24"/>
                <w:lang w:val="en-GB"/>
              </w:rPr>
            </w:pPr>
            <w:r w:rsidRPr="001F349D">
              <w:rPr>
                <w:rFonts w:ascii="Arial" w:hAnsi="Arial" w:cs="Arial"/>
                <w:szCs w:val="24"/>
                <w:lang w:val="en-GB"/>
              </w:rPr>
              <w:t>Introduction</w:t>
            </w:r>
          </w:p>
        </w:tc>
        <w:tc>
          <w:tcPr>
            <w:tcW w:w="886" w:type="dxa"/>
            <w:gridSpan w:val="2"/>
          </w:tcPr>
          <w:p w:rsidR="001544FD" w:rsidRPr="00C57CE1"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183</w:t>
            </w:r>
          </w:p>
        </w:tc>
      </w:tr>
      <w:tr w:rsidR="001544FD" w:rsidRPr="0028108F" w:rsidTr="008813DE">
        <w:tc>
          <w:tcPr>
            <w:tcW w:w="7528" w:type="dxa"/>
          </w:tcPr>
          <w:p w:rsidR="001544FD" w:rsidRPr="00181CF2" w:rsidRDefault="001544FD" w:rsidP="008813DE">
            <w:pPr>
              <w:tabs>
                <w:tab w:val="left" w:pos="743"/>
              </w:tabs>
              <w:adjustRightInd w:val="0"/>
              <w:snapToGrid w:val="0"/>
              <w:ind w:left="318" w:hanging="318"/>
              <w:jc w:val="both"/>
              <w:rPr>
                <w:rFonts w:ascii="Arial" w:hAnsi="Arial" w:cs="Arial"/>
                <w:szCs w:val="24"/>
                <w:lang w:val="en-GB"/>
              </w:rPr>
            </w:pPr>
            <w:r w:rsidRPr="00181CF2">
              <w:rPr>
                <w:rFonts w:ascii="Arial" w:hAnsi="Arial" w:cs="Arial"/>
                <w:szCs w:val="24"/>
                <w:lang w:val="en-GB"/>
              </w:rPr>
              <w:t xml:space="preserve">Requirements relating to nationality, citizenship, residency or domicile </w:t>
            </w:r>
          </w:p>
        </w:tc>
        <w:tc>
          <w:tcPr>
            <w:tcW w:w="886" w:type="dxa"/>
            <w:gridSpan w:val="2"/>
          </w:tcPr>
          <w:p w:rsidR="001544FD" w:rsidRPr="00C57CE1"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183</w:t>
            </w:r>
          </w:p>
        </w:tc>
      </w:tr>
      <w:tr w:rsidR="001544FD" w:rsidRPr="00C6336A" w:rsidTr="008813DE">
        <w:tc>
          <w:tcPr>
            <w:tcW w:w="7528" w:type="dxa"/>
          </w:tcPr>
          <w:p w:rsidR="001544FD" w:rsidRPr="008813DE" w:rsidRDefault="001544FD" w:rsidP="008813DE">
            <w:pPr>
              <w:tabs>
                <w:tab w:val="left" w:pos="851"/>
              </w:tabs>
              <w:adjustRightInd w:val="0"/>
              <w:snapToGrid w:val="0"/>
              <w:ind w:left="851" w:hanging="108"/>
              <w:jc w:val="both"/>
              <w:rPr>
                <w:rFonts w:ascii="Arial" w:hAnsi="Arial" w:cs="Arial"/>
                <w:szCs w:val="24"/>
                <w:lang w:val="en-GB"/>
              </w:rPr>
            </w:pPr>
            <w:r w:rsidRPr="008813DE">
              <w:rPr>
                <w:rFonts w:ascii="Arial" w:hAnsi="Arial" w:cs="Arial"/>
                <w:szCs w:val="24"/>
                <w:lang w:val="en-GB"/>
              </w:rPr>
              <w:t>Global review</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184</w:t>
            </w:r>
          </w:p>
        </w:tc>
      </w:tr>
      <w:tr w:rsidR="001544FD" w:rsidRPr="00C6336A" w:rsidTr="008813DE">
        <w:tc>
          <w:tcPr>
            <w:tcW w:w="7528" w:type="dxa"/>
          </w:tcPr>
          <w:p w:rsidR="001544FD" w:rsidRPr="008813DE" w:rsidRDefault="001544FD" w:rsidP="008813DE">
            <w:pPr>
              <w:tabs>
                <w:tab w:val="left" w:pos="851"/>
              </w:tabs>
              <w:adjustRightInd w:val="0"/>
              <w:snapToGrid w:val="0"/>
              <w:ind w:firstLineChars="309" w:firstLine="742"/>
              <w:jc w:val="both"/>
              <w:rPr>
                <w:rFonts w:ascii="Arial" w:hAnsi="Arial" w:cs="Arial"/>
                <w:szCs w:val="24"/>
                <w:lang w:val="en-GB"/>
              </w:rPr>
            </w:pPr>
            <w:r w:rsidRPr="008813DE">
              <w:rPr>
                <w:rFonts w:ascii="Arial" w:hAnsi="Arial" w:cs="Arial"/>
                <w:szCs w:val="24"/>
                <w:lang w:val="en-GB"/>
              </w:rPr>
              <w:t>Legal considerations: relevant conflict of laws implications</w:t>
            </w:r>
          </w:p>
        </w:tc>
        <w:tc>
          <w:tcPr>
            <w:tcW w:w="886" w:type="dxa"/>
            <w:gridSpan w:val="2"/>
          </w:tcPr>
          <w:p w:rsidR="001544FD" w:rsidRPr="008813DE" w:rsidRDefault="00A52E14" w:rsidP="006C4619">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18</w:t>
            </w:r>
            <w:r w:rsidR="006C4619">
              <w:rPr>
                <w:rFonts w:ascii="Arial" w:hAnsi="Arial" w:cs="Arial"/>
                <w:szCs w:val="24"/>
                <w:lang w:val="en-GB"/>
              </w:rPr>
              <w:t>6</w:t>
            </w:r>
          </w:p>
        </w:tc>
      </w:tr>
      <w:tr w:rsidR="00A67419" w:rsidRPr="00C6336A" w:rsidTr="008813DE">
        <w:tc>
          <w:tcPr>
            <w:tcW w:w="7528" w:type="dxa"/>
          </w:tcPr>
          <w:p w:rsidR="00A67419" w:rsidRPr="008813DE" w:rsidRDefault="00A67419" w:rsidP="008813DE">
            <w:pPr>
              <w:tabs>
                <w:tab w:val="left" w:pos="851"/>
              </w:tabs>
              <w:adjustRightInd w:val="0"/>
              <w:snapToGrid w:val="0"/>
              <w:ind w:leftChars="309" w:left="1167" w:hangingChars="177" w:hanging="425"/>
              <w:jc w:val="both"/>
              <w:rPr>
                <w:rFonts w:ascii="Arial" w:hAnsi="Arial" w:cs="Arial"/>
                <w:szCs w:val="24"/>
                <w:lang w:val="en-GB"/>
              </w:rPr>
            </w:pPr>
            <w:r w:rsidRPr="008813DE">
              <w:rPr>
                <w:rFonts w:ascii="Arial" w:hAnsi="Arial" w:cs="Arial"/>
                <w:szCs w:val="24"/>
                <w:lang w:val="en-GB"/>
              </w:rPr>
              <w:t>Conflict of laws principles relating to gender recognition and, in particular, requirements of nationality, citizenship, residency or domicile</w:t>
            </w:r>
          </w:p>
        </w:tc>
        <w:tc>
          <w:tcPr>
            <w:tcW w:w="886" w:type="dxa"/>
            <w:gridSpan w:val="2"/>
          </w:tcPr>
          <w:p w:rsidR="00A67419" w:rsidRPr="008813DE" w:rsidRDefault="00A52E14"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187</w:t>
            </w:r>
          </w:p>
        </w:tc>
      </w:tr>
      <w:tr w:rsidR="001544FD" w:rsidRPr="0028108F" w:rsidTr="008813DE">
        <w:tc>
          <w:tcPr>
            <w:tcW w:w="7528" w:type="dxa"/>
          </w:tcPr>
          <w:p w:rsidR="001544FD" w:rsidRPr="00181CF2" w:rsidRDefault="001544FD" w:rsidP="00725B6F">
            <w:pPr>
              <w:adjustRightInd w:val="0"/>
              <w:snapToGrid w:val="0"/>
              <w:ind w:leftChars="-412" w:left="2" w:hangingChars="413" w:hanging="991"/>
              <w:jc w:val="both"/>
              <w:rPr>
                <w:rFonts w:ascii="Arial" w:hAnsi="Arial" w:cs="Arial"/>
                <w:szCs w:val="24"/>
                <w:lang w:val="en-GB"/>
              </w:rPr>
            </w:pPr>
            <w:r w:rsidRPr="00181CF2">
              <w:rPr>
                <w:rFonts w:ascii="Arial" w:hAnsi="Arial" w:cs="Arial"/>
                <w:szCs w:val="24"/>
                <w:lang w:val="en-GB"/>
              </w:rPr>
              <w:tab/>
              <w:t xml:space="preserve">Minimum age requirement </w:t>
            </w:r>
          </w:p>
        </w:tc>
        <w:tc>
          <w:tcPr>
            <w:tcW w:w="886" w:type="dxa"/>
            <w:gridSpan w:val="2"/>
          </w:tcPr>
          <w:p w:rsidR="001544FD" w:rsidRPr="00A52E14" w:rsidRDefault="00A52E14" w:rsidP="006C4619">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19</w:t>
            </w:r>
            <w:r w:rsidR="006C4619">
              <w:rPr>
                <w:rFonts w:ascii="Arial" w:hAnsi="Arial" w:cs="Arial"/>
                <w:szCs w:val="24"/>
                <w:lang w:val="en-GB"/>
              </w:rPr>
              <w:t>6</w:t>
            </w:r>
          </w:p>
        </w:tc>
      </w:tr>
      <w:tr w:rsidR="001544FD" w:rsidRPr="00C6336A" w:rsidTr="008813DE">
        <w:tc>
          <w:tcPr>
            <w:tcW w:w="7528" w:type="dxa"/>
          </w:tcPr>
          <w:p w:rsidR="001544FD" w:rsidRPr="00C6336A" w:rsidRDefault="0006282B" w:rsidP="008813DE">
            <w:pPr>
              <w:tabs>
                <w:tab w:val="left" w:pos="851"/>
              </w:tabs>
              <w:adjustRightInd w:val="0"/>
              <w:snapToGrid w:val="0"/>
              <w:ind w:firstLineChars="309" w:firstLine="742"/>
              <w:jc w:val="both"/>
              <w:rPr>
                <w:rFonts w:ascii="Arial" w:hAnsi="Arial" w:cs="Arial"/>
                <w:szCs w:val="24"/>
                <w:lang w:val="en-GB"/>
              </w:rPr>
            </w:pPr>
            <w:r w:rsidRPr="008813DE">
              <w:rPr>
                <w:rFonts w:ascii="Arial" w:hAnsi="Arial" w:cs="Arial"/>
                <w:color w:val="000000" w:themeColor="text1"/>
                <w:szCs w:val="24"/>
                <w:lang w:val="en-GB"/>
              </w:rPr>
              <w:t>Arguments in support</w:t>
            </w:r>
            <w:r w:rsidR="001544FD" w:rsidRPr="008813DE">
              <w:rPr>
                <w:rFonts w:ascii="Arial" w:hAnsi="Arial" w:cs="Arial"/>
                <w:color w:val="000000" w:themeColor="text1"/>
                <w:szCs w:val="24"/>
                <w:lang w:val="en-GB"/>
              </w:rPr>
              <w:t xml:space="preserve"> </w:t>
            </w:r>
            <w:r w:rsidR="001544FD" w:rsidRPr="008813DE">
              <w:rPr>
                <w:rFonts w:ascii="Arial" w:hAnsi="Arial" w:cs="Arial"/>
                <w:szCs w:val="24"/>
                <w:lang w:val="en-GB"/>
              </w:rPr>
              <w:t>of</w:t>
            </w:r>
            <w:r w:rsidR="001544FD" w:rsidRPr="008813DE">
              <w:rPr>
                <w:rFonts w:ascii="Arial" w:hAnsi="Arial" w:cs="Arial"/>
                <w:color w:val="000000" w:themeColor="text1"/>
                <w:szCs w:val="24"/>
                <w:lang w:val="en-GB"/>
              </w:rPr>
              <w:t xml:space="preserve"> having a minimum age requirement </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196</w:t>
            </w:r>
          </w:p>
        </w:tc>
      </w:tr>
      <w:tr w:rsidR="001544FD" w:rsidRPr="00C6336A" w:rsidTr="008813DE">
        <w:tc>
          <w:tcPr>
            <w:tcW w:w="7528" w:type="dxa"/>
          </w:tcPr>
          <w:p w:rsidR="001544FD" w:rsidRPr="00C6336A" w:rsidRDefault="0006282B" w:rsidP="008813DE">
            <w:pPr>
              <w:tabs>
                <w:tab w:val="left" w:pos="735"/>
              </w:tabs>
              <w:adjustRightInd w:val="0"/>
              <w:snapToGrid w:val="0"/>
              <w:ind w:firstLineChars="309" w:firstLine="742"/>
              <w:jc w:val="both"/>
              <w:rPr>
                <w:rFonts w:ascii="Arial" w:hAnsi="Arial" w:cs="Arial"/>
                <w:szCs w:val="24"/>
                <w:lang w:val="en-GB"/>
              </w:rPr>
            </w:pPr>
            <w:r w:rsidRPr="008813DE">
              <w:rPr>
                <w:rFonts w:ascii="Arial" w:hAnsi="Arial" w:cs="Arial"/>
                <w:color w:val="000000" w:themeColor="text1"/>
                <w:szCs w:val="24"/>
                <w:lang w:val="en-GB"/>
              </w:rPr>
              <w:t>Arguments against</w:t>
            </w:r>
            <w:r w:rsidR="001544FD" w:rsidRPr="008813DE">
              <w:rPr>
                <w:rFonts w:ascii="Arial" w:hAnsi="Arial" w:cs="Arial"/>
                <w:color w:val="000000" w:themeColor="text1"/>
                <w:szCs w:val="24"/>
                <w:lang w:val="en-GB"/>
              </w:rPr>
              <w:t xml:space="preserve"> having a minimum age requirement </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198</w:t>
            </w:r>
          </w:p>
        </w:tc>
      </w:tr>
      <w:tr w:rsidR="001544FD" w:rsidRPr="0028108F" w:rsidTr="008813DE">
        <w:tc>
          <w:tcPr>
            <w:tcW w:w="7528" w:type="dxa"/>
          </w:tcPr>
          <w:p w:rsidR="001544FD" w:rsidRPr="00181CF2" w:rsidRDefault="001544FD">
            <w:pPr>
              <w:adjustRightInd w:val="0"/>
              <w:snapToGrid w:val="0"/>
              <w:jc w:val="both"/>
              <w:rPr>
                <w:rFonts w:ascii="Arial" w:hAnsi="Arial" w:cs="Arial"/>
                <w:szCs w:val="24"/>
                <w:lang w:val="en-GB"/>
              </w:rPr>
            </w:pPr>
            <w:r w:rsidRPr="00181CF2">
              <w:rPr>
                <w:rFonts w:ascii="Arial" w:hAnsi="Arial" w:cs="Arial"/>
                <w:szCs w:val="24"/>
                <w:lang w:val="en-GB"/>
              </w:rPr>
              <w:t xml:space="preserve">Requirement </w:t>
            </w:r>
            <w:r w:rsidR="00AA7C40">
              <w:rPr>
                <w:rFonts w:ascii="Arial" w:hAnsi="Arial" w:cs="Arial"/>
                <w:szCs w:val="24"/>
                <w:lang w:val="en-GB"/>
              </w:rPr>
              <w:t xml:space="preserve">related to </w:t>
            </w:r>
            <w:r w:rsidRPr="00181CF2">
              <w:rPr>
                <w:rFonts w:ascii="Arial" w:hAnsi="Arial" w:cs="Arial"/>
                <w:szCs w:val="24"/>
                <w:lang w:val="en-GB"/>
              </w:rPr>
              <w:t>marital status</w:t>
            </w:r>
          </w:p>
        </w:tc>
        <w:tc>
          <w:tcPr>
            <w:tcW w:w="886" w:type="dxa"/>
            <w:gridSpan w:val="2"/>
          </w:tcPr>
          <w:p w:rsidR="001544FD" w:rsidRPr="00A52E14"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201</w:t>
            </w:r>
          </w:p>
        </w:tc>
      </w:tr>
      <w:tr w:rsidR="001544FD" w:rsidRPr="00C6336A" w:rsidTr="008813DE">
        <w:tc>
          <w:tcPr>
            <w:tcW w:w="7528" w:type="dxa"/>
          </w:tcPr>
          <w:p w:rsidR="001544FD" w:rsidRPr="00C6336A" w:rsidRDefault="0006282B" w:rsidP="008813DE">
            <w:pPr>
              <w:tabs>
                <w:tab w:val="left" w:pos="851"/>
              </w:tabs>
              <w:adjustRightInd w:val="0"/>
              <w:snapToGrid w:val="0"/>
              <w:ind w:leftChars="309" w:left="1167" w:hangingChars="177" w:hanging="425"/>
              <w:jc w:val="both"/>
              <w:rPr>
                <w:rFonts w:ascii="Arial" w:hAnsi="Arial" w:cs="Arial"/>
                <w:szCs w:val="24"/>
                <w:lang w:val="en-GB"/>
              </w:rPr>
            </w:pPr>
            <w:r w:rsidRPr="008813DE">
              <w:rPr>
                <w:rFonts w:ascii="Arial" w:hAnsi="Arial" w:cs="Arial"/>
                <w:color w:val="000000" w:themeColor="text1"/>
                <w:szCs w:val="24"/>
                <w:lang w:val="en-GB"/>
              </w:rPr>
              <w:t>Arguments in support</w:t>
            </w:r>
            <w:r w:rsidR="001544FD" w:rsidRPr="008813DE">
              <w:rPr>
                <w:rFonts w:ascii="Arial" w:hAnsi="Arial" w:cs="Arial"/>
                <w:color w:val="000000" w:themeColor="text1"/>
                <w:szCs w:val="24"/>
                <w:lang w:val="en-GB"/>
              </w:rPr>
              <w:t xml:space="preserve"> </w:t>
            </w:r>
            <w:r w:rsidR="001F349D" w:rsidRPr="008813DE">
              <w:rPr>
                <w:rFonts w:ascii="Arial" w:hAnsi="Arial" w:cs="Arial"/>
                <w:color w:val="000000" w:themeColor="text1"/>
                <w:szCs w:val="24"/>
                <w:lang w:val="en-GB"/>
              </w:rPr>
              <w:t xml:space="preserve">of </w:t>
            </w:r>
            <w:r w:rsidR="001544FD" w:rsidRPr="008813DE">
              <w:rPr>
                <w:rFonts w:ascii="Arial" w:hAnsi="Arial" w:cs="Arial"/>
                <w:color w:val="000000" w:themeColor="text1"/>
                <w:szCs w:val="24"/>
                <w:lang w:val="en-GB"/>
              </w:rPr>
              <w:t xml:space="preserve">having </w:t>
            </w:r>
            <w:r w:rsidR="00AA7C40" w:rsidRPr="008813DE">
              <w:rPr>
                <w:rFonts w:ascii="Arial" w:hAnsi="Arial" w:cs="Arial"/>
                <w:color w:val="000000" w:themeColor="text1"/>
                <w:szCs w:val="24"/>
                <w:lang w:val="en-GB"/>
              </w:rPr>
              <w:t xml:space="preserve">a </w:t>
            </w:r>
            <w:r w:rsidR="001544FD" w:rsidRPr="008813DE">
              <w:rPr>
                <w:rFonts w:ascii="Arial" w:hAnsi="Arial" w:cs="Arial"/>
                <w:color w:val="000000" w:themeColor="text1"/>
                <w:szCs w:val="24"/>
                <w:lang w:val="en-GB"/>
              </w:rPr>
              <w:t>requirement that an applicant should be unmarried or divorced</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C6336A">
              <w:rPr>
                <w:rFonts w:ascii="Arial" w:hAnsi="Arial" w:cs="Arial"/>
                <w:szCs w:val="24"/>
                <w:lang w:val="en-GB"/>
              </w:rPr>
              <w:t>201</w:t>
            </w:r>
          </w:p>
        </w:tc>
      </w:tr>
      <w:tr w:rsidR="001544FD" w:rsidRPr="00C6336A" w:rsidTr="008813DE">
        <w:tc>
          <w:tcPr>
            <w:tcW w:w="7528" w:type="dxa"/>
          </w:tcPr>
          <w:p w:rsidR="001544FD" w:rsidRPr="008813DE" w:rsidRDefault="0006282B" w:rsidP="008813DE">
            <w:pPr>
              <w:tabs>
                <w:tab w:val="left" w:pos="851"/>
              </w:tabs>
              <w:adjustRightInd w:val="0"/>
              <w:snapToGrid w:val="0"/>
              <w:ind w:leftChars="309" w:left="1167" w:hangingChars="177" w:hanging="425"/>
              <w:jc w:val="both"/>
              <w:rPr>
                <w:rFonts w:ascii="Arial" w:hAnsi="Arial" w:cs="Arial"/>
                <w:color w:val="000000" w:themeColor="text1"/>
                <w:szCs w:val="24"/>
                <w:lang w:val="en-GB"/>
              </w:rPr>
            </w:pPr>
            <w:r w:rsidRPr="008813DE">
              <w:rPr>
                <w:rFonts w:ascii="Arial" w:hAnsi="Arial" w:cs="Arial"/>
                <w:color w:val="000000" w:themeColor="text1"/>
                <w:szCs w:val="24"/>
                <w:lang w:val="en-GB"/>
              </w:rPr>
              <w:t>Arguments against</w:t>
            </w:r>
            <w:r w:rsidR="001544FD" w:rsidRPr="008813DE">
              <w:rPr>
                <w:rFonts w:ascii="Arial" w:hAnsi="Arial" w:cs="Arial"/>
                <w:color w:val="000000" w:themeColor="text1"/>
                <w:szCs w:val="24"/>
                <w:lang w:val="en-GB"/>
              </w:rPr>
              <w:t xml:space="preserve"> having requirement that an applicant should be unmarried or divorced</w:t>
            </w:r>
          </w:p>
        </w:tc>
        <w:tc>
          <w:tcPr>
            <w:tcW w:w="886" w:type="dxa"/>
            <w:gridSpan w:val="2"/>
          </w:tcPr>
          <w:p w:rsidR="001544FD" w:rsidRPr="008813DE" w:rsidRDefault="00A52E14" w:rsidP="006C4619">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20</w:t>
            </w:r>
            <w:r w:rsidR="006C4619">
              <w:rPr>
                <w:rFonts w:ascii="Arial" w:hAnsi="Arial" w:cs="Arial"/>
                <w:szCs w:val="24"/>
                <w:lang w:val="en-GB"/>
              </w:rPr>
              <w:t>4</w:t>
            </w:r>
          </w:p>
        </w:tc>
      </w:tr>
      <w:tr w:rsidR="001544FD" w:rsidRPr="0028108F" w:rsidTr="008813DE">
        <w:tc>
          <w:tcPr>
            <w:tcW w:w="7528" w:type="dxa"/>
          </w:tcPr>
          <w:p w:rsidR="001544FD" w:rsidRPr="00181CF2" w:rsidRDefault="001544FD">
            <w:pPr>
              <w:adjustRightInd w:val="0"/>
              <w:snapToGrid w:val="0"/>
              <w:jc w:val="both"/>
              <w:rPr>
                <w:rFonts w:ascii="Arial" w:hAnsi="Arial" w:cs="Arial"/>
                <w:szCs w:val="24"/>
                <w:lang w:val="en-GB"/>
              </w:rPr>
            </w:pPr>
            <w:r w:rsidRPr="00181CF2">
              <w:rPr>
                <w:rFonts w:ascii="Arial" w:hAnsi="Arial" w:cs="Arial"/>
                <w:szCs w:val="24"/>
                <w:lang w:val="en-GB"/>
              </w:rPr>
              <w:t xml:space="preserve">Requirement </w:t>
            </w:r>
            <w:r w:rsidR="00AA7C40">
              <w:rPr>
                <w:rFonts w:ascii="Arial" w:hAnsi="Arial" w:cs="Arial"/>
                <w:szCs w:val="24"/>
                <w:lang w:val="en-GB"/>
              </w:rPr>
              <w:t>related to</w:t>
            </w:r>
            <w:r w:rsidRPr="00181CF2">
              <w:rPr>
                <w:rFonts w:ascii="Arial" w:hAnsi="Arial" w:cs="Arial"/>
                <w:szCs w:val="24"/>
                <w:lang w:val="en-GB"/>
              </w:rPr>
              <w:t xml:space="preserve"> parental status</w:t>
            </w:r>
          </w:p>
        </w:tc>
        <w:tc>
          <w:tcPr>
            <w:tcW w:w="886" w:type="dxa"/>
            <w:gridSpan w:val="2"/>
          </w:tcPr>
          <w:p w:rsidR="001544FD" w:rsidRPr="00A52E14" w:rsidRDefault="00A52E14" w:rsidP="006C4619">
            <w:pPr>
              <w:tabs>
                <w:tab w:val="left" w:pos="1440"/>
              </w:tabs>
              <w:adjustRightInd w:val="0"/>
              <w:snapToGrid w:val="0"/>
              <w:ind w:left="720" w:hanging="720"/>
              <w:jc w:val="center"/>
              <w:rPr>
                <w:rFonts w:ascii="Arial" w:hAnsi="Arial" w:cs="Arial"/>
                <w:szCs w:val="24"/>
                <w:lang w:val="en-GB"/>
              </w:rPr>
            </w:pPr>
            <w:r w:rsidRPr="00A52E14">
              <w:rPr>
                <w:rFonts w:ascii="Arial" w:hAnsi="Arial" w:cs="Arial"/>
                <w:szCs w:val="24"/>
                <w:lang w:val="en-GB"/>
              </w:rPr>
              <w:t>2</w:t>
            </w:r>
            <w:r w:rsidR="006C4619">
              <w:rPr>
                <w:rFonts w:ascii="Arial" w:hAnsi="Arial" w:cs="Arial"/>
                <w:szCs w:val="24"/>
                <w:lang w:val="en-GB"/>
              </w:rPr>
              <w:t>10</w:t>
            </w:r>
          </w:p>
        </w:tc>
      </w:tr>
      <w:tr w:rsidR="001544FD" w:rsidRPr="00C6336A" w:rsidTr="008813DE">
        <w:tc>
          <w:tcPr>
            <w:tcW w:w="7528" w:type="dxa"/>
          </w:tcPr>
          <w:p w:rsidR="001544FD" w:rsidRPr="00C6336A" w:rsidRDefault="0006282B" w:rsidP="008813DE">
            <w:pPr>
              <w:tabs>
                <w:tab w:val="left" w:pos="851"/>
              </w:tabs>
              <w:adjustRightInd w:val="0"/>
              <w:snapToGrid w:val="0"/>
              <w:ind w:leftChars="309" w:left="1167" w:hangingChars="177" w:hanging="425"/>
              <w:jc w:val="both"/>
              <w:rPr>
                <w:rFonts w:ascii="Arial" w:hAnsi="Arial" w:cs="Arial"/>
                <w:szCs w:val="24"/>
                <w:lang w:val="en-GB"/>
              </w:rPr>
            </w:pPr>
            <w:r w:rsidRPr="008813DE">
              <w:rPr>
                <w:rFonts w:ascii="Arial" w:hAnsi="Arial" w:cs="Arial"/>
                <w:color w:val="000000" w:themeColor="text1"/>
                <w:szCs w:val="24"/>
                <w:lang w:val="en-GB"/>
              </w:rPr>
              <w:t>Arguments in support</w:t>
            </w:r>
            <w:r w:rsidR="001544FD" w:rsidRPr="008813DE">
              <w:rPr>
                <w:rFonts w:ascii="Arial" w:hAnsi="Arial" w:cs="Arial"/>
                <w:color w:val="000000" w:themeColor="text1"/>
                <w:szCs w:val="24"/>
                <w:lang w:val="en-GB"/>
              </w:rPr>
              <w:t xml:space="preserve"> </w:t>
            </w:r>
            <w:r w:rsidRPr="008813DE">
              <w:rPr>
                <w:rFonts w:ascii="Arial" w:hAnsi="Arial" w:cs="Arial"/>
                <w:color w:val="000000" w:themeColor="text1"/>
                <w:szCs w:val="24"/>
                <w:lang w:val="en-GB"/>
              </w:rPr>
              <w:t xml:space="preserve">of </w:t>
            </w:r>
            <w:r w:rsidR="001544FD" w:rsidRPr="008813DE">
              <w:rPr>
                <w:rFonts w:ascii="Arial" w:hAnsi="Arial" w:cs="Arial"/>
                <w:color w:val="000000" w:themeColor="text1"/>
                <w:szCs w:val="24"/>
                <w:lang w:val="en-GB"/>
              </w:rPr>
              <w:t xml:space="preserve">and </w:t>
            </w:r>
            <w:r w:rsidRPr="008813DE">
              <w:rPr>
                <w:rFonts w:ascii="Arial" w:hAnsi="Arial" w:cs="Arial"/>
                <w:color w:val="000000" w:themeColor="text1"/>
                <w:szCs w:val="24"/>
                <w:lang w:val="en-GB"/>
              </w:rPr>
              <w:t>against</w:t>
            </w:r>
            <w:r w:rsidR="001544FD" w:rsidRPr="008813DE">
              <w:rPr>
                <w:rFonts w:ascii="Arial" w:hAnsi="Arial" w:cs="Arial"/>
                <w:color w:val="000000" w:themeColor="text1"/>
                <w:szCs w:val="24"/>
                <w:lang w:val="en-GB"/>
              </w:rPr>
              <w:t xml:space="preserve"> requiring an applicant to be childless</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w:t>
            </w:r>
            <w:r w:rsidR="0092200E">
              <w:rPr>
                <w:rFonts w:ascii="Arial" w:hAnsi="Arial" w:cs="Arial"/>
                <w:szCs w:val="24"/>
                <w:lang w:val="en-GB"/>
              </w:rPr>
              <w:t>10</w:t>
            </w:r>
          </w:p>
        </w:tc>
      </w:tr>
      <w:tr w:rsidR="001544FD" w:rsidRPr="00C6336A" w:rsidTr="008813DE">
        <w:tc>
          <w:tcPr>
            <w:tcW w:w="7528" w:type="dxa"/>
          </w:tcPr>
          <w:p w:rsidR="001544FD" w:rsidRPr="00C6336A" w:rsidRDefault="0006282B" w:rsidP="008813DE">
            <w:pPr>
              <w:tabs>
                <w:tab w:val="left" w:pos="851"/>
              </w:tabs>
              <w:adjustRightInd w:val="0"/>
              <w:snapToGrid w:val="0"/>
              <w:ind w:leftChars="309" w:left="1167" w:hangingChars="177" w:hanging="425"/>
              <w:jc w:val="both"/>
              <w:rPr>
                <w:rFonts w:ascii="Arial" w:hAnsi="Arial" w:cs="Arial"/>
                <w:szCs w:val="24"/>
                <w:lang w:val="en-GB"/>
              </w:rPr>
            </w:pPr>
            <w:r w:rsidRPr="008813DE">
              <w:rPr>
                <w:rFonts w:ascii="Arial" w:hAnsi="Arial" w:cs="Arial"/>
                <w:color w:val="000000" w:themeColor="text1"/>
                <w:szCs w:val="24"/>
                <w:lang w:val="en-GB"/>
              </w:rPr>
              <w:t xml:space="preserve">Arguments in support of and against </w:t>
            </w:r>
            <w:r w:rsidR="001544FD" w:rsidRPr="008813DE">
              <w:rPr>
                <w:rFonts w:ascii="Arial" w:hAnsi="Arial" w:cs="Arial"/>
                <w:color w:val="000000" w:themeColor="text1"/>
                <w:szCs w:val="24"/>
                <w:lang w:val="en-GB"/>
              </w:rPr>
              <w:t>requiring an applicant not to be a father or mother of a child below a certain age limit</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213</w:t>
            </w:r>
          </w:p>
        </w:tc>
      </w:tr>
      <w:tr w:rsidR="001544FD" w:rsidRPr="0028108F" w:rsidTr="008813DE">
        <w:tc>
          <w:tcPr>
            <w:tcW w:w="7528" w:type="dxa"/>
          </w:tcPr>
          <w:p w:rsidR="001544FD" w:rsidRPr="00181CF2" w:rsidRDefault="001544FD" w:rsidP="00725B6F">
            <w:pPr>
              <w:adjustRightInd w:val="0"/>
              <w:snapToGrid w:val="0"/>
              <w:jc w:val="both"/>
              <w:rPr>
                <w:rFonts w:ascii="Arial" w:hAnsi="Arial" w:cs="Arial"/>
                <w:szCs w:val="24"/>
                <w:lang w:val="en-GB"/>
              </w:rPr>
            </w:pPr>
            <w:r w:rsidRPr="00181CF2">
              <w:rPr>
                <w:rFonts w:ascii="Arial" w:hAnsi="Arial" w:cs="Arial"/>
                <w:szCs w:val="24"/>
                <w:lang w:val="en-GB"/>
              </w:rPr>
              <w:t xml:space="preserve">Recognition of foreign gender change  </w:t>
            </w:r>
          </w:p>
        </w:tc>
        <w:tc>
          <w:tcPr>
            <w:tcW w:w="886" w:type="dxa"/>
            <w:gridSpan w:val="2"/>
          </w:tcPr>
          <w:p w:rsidR="001544FD" w:rsidRPr="00A52E14" w:rsidRDefault="00A52E14" w:rsidP="006C4619">
            <w:pPr>
              <w:tabs>
                <w:tab w:val="left" w:pos="1440"/>
              </w:tabs>
              <w:adjustRightInd w:val="0"/>
              <w:snapToGrid w:val="0"/>
              <w:ind w:left="720" w:hanging="720"/>
              <w:jc w:val="center"/>
              <w:rPr>
                <w:rFonts w:ascii="Arial" w:hAnsi="Arial" w:cs="Arial"/>
                <w:szCs w:val="24"/>
                <w:lang w:val="en-GB"/>
              </w:rPr>
            </w:pPr>
            <w:r w:rsidRPr="00A52E14">
              <w:rPr>
                <w:rFonts w:ascii="Arial" w:hAnsi="Arial" w:cs="Arial"/>
                <w:szCs w:val="24"/>
                <w:lang w:val="en-GB"/>
              </w:rPr>
              <w:t>21</w:t>
            </w:r>
            <w:r w:rsidR="006C4619">
              <w:rPr>
                <w:rFonts w:ascii="Arial" w:hAnsi="Arial" w:cs="Arial"/>
                <w:szCs w:val="24"/>
                <w:lang w:val="en-GB"/>
              </w:rPr>
              <w:t>6</w:t>
            </w:r>
          </w:p>
        </w:tc>
      </w:tr>
      <w:tr w:rsidR="001544FD" w:rsidRPr="00C6336A" w:rsidTr="008813DE">
        <w:tc>
          <w:tcPr>
            <w:tcW w:w="7528" w:type="dxa"/>
          </w:tcPr>
          <w:p w:rsidR="001544FD" w:rsidRPr="008813DE" w:rsidRDefault="001544FD" w:rsidP="00725B6F">
            <w:pPr>
              <w:tabs>
                <w:tab w:val="left" w:pos="851"/>
              </w:tabs>
              <w:adjustRightInd w:val="0"/>
              <w:snapToGrid w:val="0"/>
              <w:ind w:left="851" w:hanging="851"/>
              <w:jc w:val="both"/>
              <w:rPr>
                <w:rFonts w:ascii="Arial" w:hAnsi="Arial" w:cs="Arial"/>
                <w:color w:val="000000" w:themeColor="text1"/>
                <w:szCs w:val="24"/>
                <w:lang w:val="en-GB"/>
              </w:rPr>
            </w:pPr>
            <w:r w:rsidRPr="008813DE">
              <w:rPr>
                <w:rFonts w:ascii="Arial" w:hAnsi="Arial" w:cs="Arial"/>
                <w:color w:val="000000" w:themeColor="text1"/>
                <w:szCs w:val="24"/>
                <w:lang w:val="en-GB"/>
              </w:rPr>
              <w:tab/>
              <w:t>Global review</w:t>
            </w:r>
          </w:p>
        </w:tc>
        <w:tc>
          <w:tcPr>
            <w:tcW w:w="886" w:type="dxa"/>
            <w:gridSpan w:val="2"/>
          </w:tcPr>
          <w:p w:rsidR="001544FD" w:rsidRPr="008813DE" w:rsidRDefault="00A52E14" w:rsidP="006C4619">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21</w:t>
            </w:r>
            <w:r w:rsidR="006C4619">
              <w:rPr>
                <w:rFonts w:ascii="Arial" w:hAnsi="Arial" w:cs="Arial"/>
                <w:szCs w:val="24"/>
                <w:lang w:val="en-GB"/>
              </w:rPr>
              <w:t>7</w:t>
            </w:r>
          </w:p>
        </w:tc>
      </w:tr>
      <w:tr w:rsidR="001544FD" w:rsidRPr="00C6336A" w:rsidTr="008813DE">
        <w:tc>
          <w:tcPr>
            <w:tcW w:w="7528" w:type="dxa"/>
          </w:tcPr>
          <w:p w:rsidR="001544FD" w:rsidRPr="008813DE" w:rsidRDefault="001544FD" w:rsidP="008813DE">
            <w:pPr>
              <w:tabs>
                <w:tab w:val="left" w:pos="851"/>
              </w:tabs>
              <w:adjustRightInd w:val="0"/>
              <w:snapToGrid w:val="0"/>
              <w:ind w:leftChars="605" w:left="2160" w:hangingChars="295" w:hanging="708"/>
              <w:jc w:val="both"/>
              <w:rPr>
                <w:rFonts w:ascii="Arial" w:hAnsi="Arial" w:cs="Arial"/>
                <w:color w:val="000000" w:themeColor="text1"/>
                <w:szCs w:val="24"/>
                <w:lang w:val="en-GB"/>
              </w:rPr>
            </w:pPr>
            <w:r w:rsidRPr="008813DE">
              <w:rPr>
                <w:rFonts w:ascii="Arial" w:hAnsi="Arial" w:cs="Arial"/>
                <w:color w:val="000000" w:themeColor="text1"/>
                <w:szCs w:val="24"/>
                <w:lang w:val="en-GB"/>
              </w:rPr>
              <w:t>Relevant international convention: ICCS Convention No. 29</w:t>
            </w:r>
          </w:p>
        </w:tc>
        <w:tc>
          <w:tcPr>
            <w:tcW w:w="886" w:type="dxa"/>
            <w:gridSpan w:val="2"/>
          </w:tcPr>
          <w:p w:rsidR="001544FD" w:rsidRPr="008813DE" w:rsidRDefault="00A52E14" w:rsidP="006C4619">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21</w:t>
            </w:r>
            <w:r w:rsidR="006C4619">
              <w:rPr>
                <w:rFonts w:ascii="Arial" w:hAnsi="Arial" w:cs="Arial"/>
                <w:szCs w:val="24"/>
                <w:lang w:val="en-GB"/>
              </w:rPr>
              <w:t>8</w:t>
            </w:r>
          </w:p>
        </w:tc>
      </w:tr>
      <w:tr w:rsidR="001544FD" w:rsidRPr="00C6336A" w:rsidTr="008813DE">
        <w:tc>
          <w:tcPr>
            <w:tcW w:w="7528" w:type="dxa"/>
          </w:tcPr>
          <w:p w:rsidR="001544FD" w:rsidRPr="008813DE" w:rsidRDefault="001544FD" w:rsidP="008813DE">
            <w:pPr>
              <w:tabs>
                <w:tab w:val="left" w:pos="851"/>
              </w:tabs>
              <w:adjustRightInd w:val="0"/>
              <w:snapToGrid w:val="0"/>
              <w:ind w:leftChars="605" w:left="2160" w:hangingChars="295" w:hanging="708"/>
              <w:jc w:val="both"/>
              <w:rPr>
                <w:rFonts w:ascii="Arial" w:hAnsi="Arial" w:cs="Arial"/>
                <w:color w:val="000000" w:themeColor="text1"/>
                <w:szCs w:val="24"/>
                <w:lang w:val="en-GB"/>
              </w:rPr>
            </w:pPr>
            <w:r w:rsidRPr="008813DE">
              <w:rPr>
                <w:rFonts w:ascii="Arial" w:hAnsi="Arial" w:cs="Arial"/>
                <w:color w:val="000000" w:themeColor="text1"/>
                <w:szCs w:val="24"/>
                <w:lang w:val="en-GB"/>
              </w:rPr>
              <w:t>Sub-question (1): whether to recognise foreign gender recognition</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218</w:t>
            </w:r>
          </w:p>
        </w:tc>
      </w:tr>
      <w:tr w:rsidR="001544FD" w:rsidRPr="00C6336A" w:rsidTr="008813DE">
        <w:tc>
          <w:tcPr>
            <w:tcW w:w="7528" w:type="dxa"/>
          </w:tcPr>
          <w:p w:rsidR="001544FD" w:rsidRPr="008813DE" w:rsidRDefault="001544FD" w:rsidP="008813DE">
            <w:pPr>
              <w:tabs>
                <w:tab w:val="left" w:pos="851"/>
              </w:tabs>
              <w:adjustRightInd w:val="0"/>
              <w:snapToGrid w:val="0"/>
              <w:ind w:leftChars="605" w:left="2160" w:hangingChars="295" w:hanging="708"/>
              <w:jc w:val="both"/>
              <w:rPr>
                <w:rFonts w:ascii="Arial" w:hAnsi="Arial" w:cs="Arial"/>
                <w:color w:val="000000" w:themeColor="text1"/>
                <w:szCs w:val="24"/>
                <w:lang w:val="en-GB"/>
              </w:rPr>
            </w:pPr>
            <w:r w:rsidRPr="008813DE">
              <w:rPr>
                <w:rFonts w:ascii="Arial" w:hAnsi="Arial" w:cs="Arial"/>
                <w:color w:val="000000" w:themeColor="text1"/>
                <w:szCs w:val="24"/>
                <w:lang w:val="en-GB"/>
              </w:rPr>
              <w:t>Sub-question (2): restricting recognition to certain foreign jurisdictions</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220</w:t>
            </w:r>
          </w:p>
        </w:tc>
      </w:tr>
      <w:tr w:rsidR="001544FD" w:rsidRPr="00C6336A" w:rsidTr="008813DE">
        <w:tc>
          <w:tcPr>
            <w:tcW w:w="7528" w:type="dxa"/>
          </w:tcPr>
          <w:p w:rsidR="001544FD" w:rsidRPr="008813DE" w:rsidRDefault="001544FD" w:rsidP="008813DE">
            <w:pPr>
              <w:tabs>
                <w:tab w:val="left" w:pos="851"/>
              </w:tabs>
              <w:adjustRightInd w:val="0"/>
              <w:snapToGrid w:val="0"/>
              <w:ind w:leftChars="605" w:left="2160" w:hangingChars="295" w:hanging="708"/>
              <w:jc w:val="both"/>
              <w:rPr>
                <w:rFonts w:ascii="Arial" w:hAnsi="Arial" w:cs="Arial"/>
                <w:color w:val="000000" w:themeColor="text1"/>
                <w:szCs w:val="24"/>
                <w:lang w:val="en-GB"/>
              </w:rPr>
            </w:pPr>
            <w:r w:rsidRPr="008813DE">
              <w:rPr>
                <w:rFonts w:ascii="Arial" w:hAnsi="Arial" w:cs="Arial"/>
                <w:color w:val="000000" w:themeColor="text1"/>
                <w:szCs w:val="24"/>
                <w:lang w:val="en-GB"/>
              </w:rPr>
              <w:t>Sub-question (3): connection between the applicant and the foreign jurisdiction</w:t>
            </w:r>
          </w:p>
        </w:tc>
        <w:tc>
          <w:tcPr>
            <w:tcW w:w="886" w:type="dxa"/>
            <w:gridSpan w:val="2"/>
          </w:tcPr>
          <w:p w:rsidR="001544FD" w:rsidRPr="008813DE" w:rsidRDefault="00A52E14" w:rsidP="008813DE">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221</w:t>
            </w:r>
          </w:p>
        </w:tc>
      </w:tr>
      <w:tr w:rsidR="001544FD" w:rsidRPr="00C6336A" w:rsidTr="008813DE">
        <w:tc>
          <w:tcPr>
            <w:tcW w:w="7528" w:type="dxa"/>
          </w:tcPr>
          <w:p w:rsidR="001544FD" w:rsidRPr="008813DE" w:rsidRDefault="001544FD" w:rsidP="00725B6F">
            <w:pPr>
              <w:tabs>
                <w:tab w:val="left" w:pos="851"/>
              </w:tabs>
              <w:adjustRightInd w:val="0"/>
              <w:snapToGrid w:val="0"/>
              <w:ind w:left="851" w:hanging="851"/>
              <w:jc w:val="both"/>
              <w:rPr>
                <w:rFonts w:ascii="Arial" w:hAnsi="Arial" w:cs="Arial"/>
                <w:color w:val="000000" w:themeColor="text1"/>
                <w:szCs w:val="24"/>
                <w:lang w:val="en-GB"/>
              </w:rPr>
            </w:pPr>
          </w:p>
          <w:p w:rsidR="0054620D" w:rsidRPr="008813DE" w:rsidRDefault="0054620D" w:rsidP="00725B6F">
            <w:pPr>
              <w:tabs>
                <w:tab w:val="left" w:pos="851"/>
              </w:tabs>
              <w:adjustRightInd w:val="0"/>
              <w:snapToGrid w:val="0"/>
              <w:ind w:left="851" w:hanging="851"/>
              <w:jc w:val="both"/>
              <w:rPr>
                <w:rFonts w:ascii="Arial" w:hAnsi="Arial" w:cs="Arial"/>
                <w:color w:val="000000" w:themeColor="text1"/>
                <w:szCs w:val="24"/>
                <w:lang w:val="en-GB"/>
              </w:rPr>
            </w:pPr>
          </w:p>
        </w:tc>
        <w:tc>
          <w:tcPr>
            <w:tcW w:w="886" w:type="dxa"/>
            <w:gridSpan w:val="2"/>
          </w:tcPr>
          <w:p w:rsidR="001544FD" w:rsidRPr="00C6336A" w:rsidRDefault="001544FD" w:rsidP="008813DE">
            <w:pPr>
              <w:tabs>
                <w:tab w:val="left" w:pos="1440"/>
              </w:tabs>
              <w:adjustRightInd w:val="0"/>
              <w:snapToGrid w:val="0"/>
              <w:jc w:val="center"/>
              <w:rPr>
                <w:rFonts w:ascii="Arial" w:hAnsi="Arial" w:cs="Arial"/>
                <w:b/>
                <w:szCs w:val="24"/>
                <w:lang w:val="en-GB"/>
              </w:rPr>
            </w:pPr>
          </w:p>
        </w:tc>
      </w:tr>
      <w:tr w:rsidR="001544FD" w:rsidRPr="0028108F" w:rsidTr="008813DE">
        <w:tc>
          <w:tcPr>
            <w:tcW w:w="7528" w:type="dxa"/>
          </w:tcPr>
          <w:p w:rsidR="001544FD" w:rsidRPr="00181CF2" w:rsidRDefault="001544FD" w:rsidP="00725B6F">
            <w:pPr>
              <w:tabs>
                <w:tab w:val="left" w:pos="1440"/>
              </w:tabs>
              <w:adjustRightInd w:val="0"/>
              <w:snapToGrid w:val="0"/>
              <w:ind w:left="1452" w:hanging="1452"/>
              <w:jc w:val="both"/>
              <w:rPr>
                <w:rFonts w:ascii="Arial" w:hAnsi="Arial" w:cs="Arial"/>
                <w:b/>
                <w:szCs w:val="24"/>
                <w:lang w:val="en-GB"/>
              </w:rPr>
            </w:pPr>
            <w:r w:rsidRPr="00181CF2">
              <w:rPr>
                <w:rFonts w:ascii="Arial" w:hAnsi="Arial" w:cs="Arial"/>
                <w:b/>
                <w:szCs w:val="24"/>
                <w:lang w:val="en-GB"/>
              </w:rPr>
              <w:t>Chapter 8</w:t>
            </w:r>
            <w:r w:rsidRPr="00181CF2">
              <w:rPr>
                <w:rFonts w:ascii="Arial" w:hAnsi="Arial" w:cs="Arial"/>
                <w:b/>
                <w:szCs w:val="24"/>
                <w:lang w:val="en-GB"/>
              </w:rPr>
              <w:tab/>
              <w:t>What are the options for a gender recognition scheme?</w:t>
            </w:r>
          </w:p>
        </w:tc>
        <w:tc>
          <w:tcPr>
            <w:tcW w:w="886" w:type="dxa"/>
            <w:gridSpan w:val="2"/>
          </w:tcPr>
          <w:p w:rsidR="001544FD" w:rsidRPr="008813DE" w:rsidRDefault="00A52E14" w:rsidP="008813DE">
            <w:pPr>
              <w:tabs>
                <w:tab w:val="left" w:pos="1440"/>
              </w:tabs>
              <w:adjustRightInd w:val="0"/>
              <w:snapToGrid w:val="0"/>
              <w:jc w:val="center"/>
              <w:rPr>
                <w:rFonts w:ascii="Arial" w:hAnsi="Arial" w:cs="Arial"/>
                <w:szCs w:val="24"/>
                <w:lang w:val="en-GB"/>
              </w:rPr>
            </w:pPr>
            <w:r w:rsidRPr="008813DE">
              <w:rPr>
                <w:rFonts w:ascii="Arial" w:hAnsi="Arial" w:cs="Arial"/>
                <w:szCs w:val="24"/>
                <w:lang w:val="en-GB"/>
              </w:rPr>
              <w:t>223</w:t>
            </w:r>
          </w:p>
        </w:tc>
      </w:tr>
      <w:tr w:rsidR="001544FD" w:rsidRPr="0028108F" w:rsidTr="008813DE">
        <w:tc>
          <w:tcPr>
            <w:tcW w:w="7528" w:type="dxa"/>
          </w:tcPr>
          <w:p w:rsidR="001544FD" w:rsidRPr="00181CF2" w:rsidRDefault="001544FD" w:rsidP="00725B6F">
            <w:pPr>
              <w:tabs>
                <w:tab w:val="left" w:pos="1440"/>
              </w:tabs>
              <w:adjustRightInd w:val="0"/>
              <w:snapToGrid w:val="0"/>
              <w:ind w:left="1452" w:hanging="1452"/>
              <w:jc w:val="both"/>
              <w:rPr>
                <w:rFonts w:ascii="Arial" w:hAnsi="Arial" w:cs="Arial"/>
                <w:b/>
                <w:szCs w:val="24"/>
                <w:lang w:val="en-GB"/>
              </w:rPr>
            </w:pPr>
          </w:p>
        </w:tc>
        <w:tc>
          <w:tcPr>
            <w:tcW w:w="886" w:type="dxa"/>
            <w:gridSpan w:val="2"/>
          </w:tcPr>
          <w:p w:rsidR="001544FD" w:rsidRPr="00C57CE1" w:rsidRDefault="001544FD" w:rsidP="008813DE">
            <w:pPr>
              <w:tabs>
                <w:tab w:val="left" w:pos="1440"/>
              </w:tabs>
              <w:adjustRightInd w:val="0"/>
              <w:snapToGrid w:val="0"/>
              <w:ind w:left="720" w:hanging="720"/>
              <w:jc w:val="center"/>
              <w:rPr>
                <w:rFonts w:ascii="Arial" w:hAnsi="Arial" w:cs="Arial"/>
                <w:szCs w:val="24"/>
                <w:lang w:val="en-GB"/>
              </w:rPr>
            </w:pPr>
          </w:p>
        </w:tc>
      </w:tr>
      <w:tr w:rsidR="001544FD" w:rsidRPr="0028108F" w:rsidTr="008813DE">
        <w:tc>
          <w:tcPr>
            <w:tcW w:w="7528" w:type="dxa"/>
          </w:tcPr>
          <w:p w:rsidR="001544FD" w:rsidRPr="00181CF2" w:rsidRDefault="001544FD" w:rsidP="00725B6F">
            <w:pPr>
              <w:tabs>
                <w:tab w:val="left" w:pos="1440"/>
              </w:tabs>
              <w:adjustRightInd w:val="0"/>
              <w:snapToGrid w:val="0"/>
              <w:ind w:left="1452" w:hanging="1452"/>
              <w:jc w:val="both"/>
              <w:rPr>
                <w:rFonts w:ascii="Arial" w:hAnsi="Arial" w:cs="Arial"/>
                <w:szCs w:val="24"/>
                <w:lang w:val="en-GB"/>
              </w:rPr>
            </w:pPr>
            <w:r w:rsidRPr="00181CF2">
              <w:rPr>
                <w:rFonts w:ascii="Arial" w:hAnsi="Arial" w:cs="Arial"/>
                <w:szCs w:val="24"/>
                <w:lang w:val="en-GB"/>
              </w:rPr>
              <w:t>Introduction</w:t>
            </w:r>
          </w:p>
        </w:tc>
        <w:tc>
          <w:tcPr>
            <w:tcW w:w="886" w:type="dxa"/>
            <w:gridSpan w:val="2"/>
          </w:tcPr>
          <w:p w:rsidR="001544FD" w:rsidRPr="00C57CE1"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223</w:t>
            </w:r>
          </w:p>
        </w:tc>
      </w:tr>
      <w:tr w:rsidR="001544FD" w:rsidRPr="0028108F" w:rsidTr="008813DE">
        <w:tc>
          <w:tcPr>
            <w:tcW w:w="7528" w:type="dxa"/>
          </w:tcPr>
          <w:p w:rsidR="001544FD" w:rsidRPr="00181CF2" w:rsidRDefault="001544FD">
            <w:pPr>
              <w:adjustRightInd w:val="0"/>
              <w:snapToGrid w:val="0"/>
              <w:jc w:val="both"/>
              <w:rPr>
                <w:rFonts w:ascii="Arial" w:hAnsi="Arial" w:cs="Arial"/>
                <w:szCs w:val="24"/>
                <w:lang w:val="en-GB"/>
              </w:rPr>
            </w:pPr>
            <w:r w:rsidRPr="00181CF2">
              <w:rPr>
                <w:rFonts w:ascii="Arial" w:hAnsi="Arial" w:cs="Arial"/>
                <w:szCs w:val="24"/>
                <w:lang w:val="en-GB"/>
              </w:rPr>
              <w:t>A legislative scheme vs an administrative scheme</w:t>
            </w:r>
          </w:p>
        </w:tc>
        <w:tc>
          <w:tcPr>
            <w:tcW w:w="886" w:type="dxa"/>
            <w:gridSpan w:val="2"/>
          </w:tcPr>
          <w:p w:rsidR="001544FD" w:rsidRPr="00C57CE1"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224</w:t>
            </w:r>
          </w:p>
        </w:tc>
      </w:tr>
      <w:tr w:rsidR="001544FD" w:rsidRPr="0028108F" w:rsidTr="008813DE">
        <w:tc>
          <w:tcPr>
            <w:tcW w:w="7528" w:type="dxa"/>
          </w:tcPr>
          <w:p w:rsidR="001544FD" w:rsidRPr="00181CF2" w:rsidRDefault="001544FD" w:rsidP="008813DE">
            <w:pPr>
              <w:adjustRightInd w:val="0"/>
              <w:snapToGrid w:val="0"/>
              <w:ind w:left="317" w:hangingChars="132" w:hanging="317"/>
              <w:jc w:val="both"/>
              <w:rPr>
                <w:rFonts w:ascii="Arial" w:hAnsi="Arial" w:cs="Arial"/>
                <w:szCs w:val="24"/>
                <w:lang w:val="en-GB"/>
              </w:rPr>
            </w:pPr>
            <w:r w:rsidRPr="00181CF2">
              <w:rPr>
                <w:rFonts w:ascii="Arial" w:hAnsi="Arial" w:cs="Arial"/>
                <w:szCs w:val="24"/>
                <w:lang w:val="en-GB"/>
              </w:rPr>
              <w:t>Considerations of adopting a scheme that is similar to the UK gender recognition scheme</w:t>
            </w:r>
          </w:p>
        </w:tc>
        <w:tc>
          <w:tcPr>
            <w:tcW w:w="886" w:type="dxa"/>
            <w:gridSpan w:val="2"/>
          </w:tcPr>
          <w:p w:rsidR="001544FD" w:rsidRPr="00C57CE1"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227</w:t>
            </w:r>
          </w:p>
        </w:tc>
      </w:tr>
      <w:tr w:rsidR="001544FD" w:rsidRPr="0028108F" w:rsidTr="008813DE">
        <w:tc>
          <w:tcPr>
            <w:tcW w:w="7528" w:type="dxa"/>
          </w:tcPr>
          <w:p w:rsidR="001544FD" w:rsidRPr="00C57CE1" w:rsidRDefault="001544FD" w:rsidP="008813DE">
            <w:pPr>
              <w:adjustRightInd w:val="0"/>
              <w:snapToGrid w:val="0"/>
              <w:ind w:left="317" w:hangingChars="132" w:hanging="317"/>
              <w:jc w:val="both"/>
              <w:rPr>
                <w:rFonts w:ascii="Arial" w:hAnsi="Arial" w:cs="Arial"/>
                <w:szCs w:val="24"/>
                <w:lang w:val="en-GB"/>
              </w:rPr>
            </w:pPr>
            <w:r w:rsidRPr="00181CF2">
              <w:rPr>
                <w:rFonts w:ascii="Arial" w:hAnsi="Arial" w:cs="Arial"/>
                <w:szCs w:val="24"/>
                <w:lang w:val="en-GB"/>
              </w:rPr>
              <w:t xml:space="preserve">Considerations of setting up a panel to perform quasi-judicial or judicial functions (similar to the UK’s GRP) to </w:t>
            </w:r>
            <w:r w:rsidRPr="00C57CE1">
              <w:rPr>
                <w:rFonts w:ascii="Arial" w:hAnsi="Arial" w:cs="Arial"/>
                <w:szCs w:val="24"/>
                <w:lang w:val="en-GB"/>
              </w:rPr>
              <w:t>determine applications for gender recognition</w:t>
            </w:r>
          </w:p>
        </w:tc>
        <w:tc>
          <w:tcPr>
            <w:tcW w:w="886" w:type="dxa"/>
            <w:gridSpan w:val="2"/>
          </w:tcPr>
          <w:p w:rsidR="001544FD" w:rsidRPr="0028108F"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229</w:t>
            </w:r>
          </w:p>
        </w:tc>
      </w:tr>
      <w:tr w:rsidR="001544FD" w:rsidRPr="0028108F" w:rsidTr="008813DE">
        <w:tc>
          <w:tcPr>
            <w:tcW w:w="7528" w:type="dxa"/>
          </w:tcPr>
          <w:p w:rsidR="001544FD" w:rsidRPr="00181CF2" w:rsidRDefault="001544FD" w:rsidP="008813DE">
            <w:pPr>
              <w:adjustRightInd w:val="0"/>
              <w:snapToGrid w:val="0"/>
              <w:ind w:leftChars="14" w:left="317" w:hangingChars="118" w:hanging="283"/>
              <w:jc w:val="both"/>
              <w:rPr>
                <w:rFonts w:ascii="Arial" w:hAnsi="Arial" w:cs="Arial"/>
                <w:szCs w:val="24"/>
                <w:lang w:val="en-GB"/>
              </w:rPr>
            </w:pPr>
            <w:r w:rsidRPr="00181CF2">
              <w:rPr>
                <w:rFonts w:ascii="Arial" w:hAnsi="Arial" w:cs="Arial"/>
                <w:szCs w:val="24"/>
                <w:lang w:val="en-GB"/>
              </w:rPr>
              <w:lastRenderedPageBreak/>
              <w:t>Considerations of establishing a dual-track gender recognition scheme for Hong Kong with different requirements for each track</w:t>
            </w:r>
          </w:p>
        </w:tc>
        <w:tc>
          <w:tcPr>
            <w:tcW w:w="886" w:type="dxa"/>
            <w:gridSpan w:val="2"/>
          </w:tcPr>
          <w:p w:rsidR="001544FD" w:rsidRPr="00C57CE1" w:rsidRDefault="00A52E14" w:rsidP="008813DE">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231</w:t>
            </w:r>
          </w:p>
        </w:tc>
      </w:tr>
      <w:tr w:rsidR="001544FD" w:rsidRPr="0028108F" w:rsidTr="008813DE">
        <w:tc>
          <w:tcPr>
            <w:tcW w:w="7528" w:type="dxa"/>
          </w:tcPr>
          <w:p w:rsidR="001544FD" w:rsidRDefault="001544FD" w:rsidP="00725B6F">
            <w:pPr>
              <w:tabs>
                <w:tab w:val="left" w:pos="1440"/>
              </w:tabs>
              <w:adjustRightInd w:val="0"/>
              <w:snapToGrid w:val="0"/>
              <w:ind w:left="1452" w:hanging="1452"/>
              <w:jc w:val="both"/>
              <w:rPr>
                <w:rFonts w:ascii="Arial" w:hAnsi="Arial" w:cs="Arial"/>
                <w:szCs w:val="24"/>
                <w:lang w:val="en-GB"/>
              </w:rPr>
            </w:pPr>
          </w:p>
          <w:p w:rsidR="0054620D" w:rsidRPr="00181CF2" w:rsidRDefault="0054620D" w:rsidP="00725B6F">
            <w:pPr>
              <w:tabs>
                <w:tab w:val="left" w:pos="1440"/>
              </w:tabs>
              <w:adjustRightInd w:val="0"/>
              <w:snapToGrid w:val="0"/>
              <w:ind w:left="1452" w:hanging="1452"/>
              <w:jc w:val="both"/>
              <w:rPr>
                <w:rFonts w:ascii="Arial" w:hAnsi="Arial" w:cs="Arial"/>
                <w:szCs w:val="24"/>
                <w:lang w:val="en-GB"/>
              </w:rPr>
            </w:pPr>
          </w:p>
        </w:tc>
        <w:tc>
          <w:tcPr>
            <w:tcW w:w="886" w:type="dxa"/>
            <w:gridSpan w:val="2"/>
          </w:tcPr>
          <w:p w:rsidR="001544FD" w:rsidRPr="00C57CE1" w:rsidRDefault="001544FD" w:rsidP="008813DE">
            <w:pPr>
              <w:tabs>
                <w:tab w:val="left" w:pos="1440"/>
              </w:tabs>
              <w:adjustRightInd w:val="0"/>
              <w:snapToGrid w:val="0"/>
              <w:jc w:val="center"/>
              <w:rPr>
                <w:rFonts w:ascii="Arial" w:hAnsi="Arial" w:cs="Arial"/>
                <w:b/>
                <w:szCs w:val="24"/>
                <w:lang w:val="en-GB"/>
              </w:rPr>
            </w:pPr>
          </w:p>
        </w:tc>
      </w:tr>
      <w:tr w:rsidR="001544FD" w:rsidRPr="0028108F" w:rsidTr="008813DE">
        <w:tc>
          <w:tcPr>
            <w:tcW w:w="7528" w:type="dxa"/>
          </w:tcPr>
          <w:p w:rsidR="001544FD" w:rsidRPr="00181CF2" w:rsidRDefault="001544FD" w:rsidP="00725B6F">
            <w:pPr>
              <w:tabs>
                <w:tab w:val="left" w:pos="1440"/>
              </w:tabs>
              <w:adjustRightInd w:val="0"/>
              <w:snapToGrid w:val="0"/>
              <w:ind w:left="1452" w:hanging="1452"/>
              <w:jc w:val="both"/>
              <w:rPr>
                <w:rFonts w:ascii="Arial" w:hAnsi="Arial" w:cs="Arial"/>
                <w:b/>
                <w:szCs w:val="24"/>
                <w:lang w:val="en-GB"/>
              </w:rPr>
            </w:pPr>
            <w:r w:rsidRPr="00181CF2">
              <w:rPr>
                <w:rFonts w:ascii="Arial" w:hAnsi="Arial" w:cs="Arial"/>
                <w:b/>
                <w:szCs w:val="24"/>
                <w:lang w:val="en-GB"/>
              </w:rPr>
              <w:t>Chapter 9</w:t>
            </w:r>
            <w:r w:rsidRPr="00181CF2">
              <w:rPr>
                <w:rFonts w:ascii="Arial" w:hAnsi="Arial" w:cs="Arial"/>
                <w:b/>
                <w:szCs w:val="24"/>
                <w:lang w:val="en-GB"/>
              </w:rPr>
              <w:tab/>
              <w:t>Other related matters</w:t>
            </w:r>
          </w:p>
        </w:tc>
        <w:tc>
          <w:tcPr>
            <w:tcW w:w="886" w:type="dxa"/>
            <w:gridSpan w:val="2"/>
          </w:tcPr>
          <w:p w:rsidR="001544FD" w:rsidRPr="008813DE" w:rsidRDefault="00A52E14" w:rsidP="00024A67">
            <w:pPr>
              <w:tabs>
                <w:tab w:val="left" w:pos="1440"/>
              </w:tabs>
              <w:adjustRightInd w:val="0"/>
              <w:snapToGrid w:val="0"/>
              <w:jc w:val="center"/>
              <w:rPr>
                <w:rFonts w:ascii="Arial" w:hAnsi="Arial" w:cs="Arial"/>
                <w:szCs w:val="24"/>
                <w:lang w:val="en-GB"/>
              </w:rPr>
            </w:pPr>
            <w:r>
              <w:rPr>
                <w:rFonts w:ascii="Arial" w:hAnsi="Arial" w:cs="Arial"/>
                <w:szCs w:val="24"/>
                <w:lang w:val="en-GB"/>
              </w:rPr>
              <w:t>23</w:t>
            </w:r>
            <w:r w:rsidR="00024A67">
              <w:rPr>
                <w:rFonts w:ascii="Arial" w:hAnsi="Arial" w:cs="Arial"/>
                <w:szCs w:val="24"/>
                <w:lang w:val="en-GB"/>
              </w:rPr>
              <w:t>8</w:t>
            </w:r>
          </w:p>
        </w:tc>
      </w:tr>
      <w:tr w:rsidR="001544FD" w:rsidRPr="0028108F" w:rsidTr="008813DE">
        <w:tc>
          <w:tcPr>
            <w:tcW w:w="7528" w:type="dxa"/>
          </w:tcPr>
          <w:p w:rsidR="001544FD" w:rsidRPr="00181CF2" w:rsidRDefault="001544FD" w:rsidP="00725B6F">
            <w:pPr>
              <w:tabs>
                <w:tab w:val="left" w:pos="1440"/>
              </w:tabs>
              <w:adjustRightInd w:val="0"/>
              <w:snapToGrid w:val="0"/>
              <w:ind w:left="1452" w:hanging="1452"/>
              <w:jc w:val="both"/>
              <w:rPr>
                <w:rFonts w:ascii="Arial" w:hAnsi="Arial" w:cs="Arial"/>
                <w:b/>
                <w:szCs w:val="24"/>
                <w:lang w:val="en-GB"/>
              </w:rPr>
            </w:pPr>
          </w:p>
        </w:tc>
        <w:tc>
          <w:tcPr>
            <w:tcW w:w="886" w:type="dxa"/>
            <w:gridSpan w:val="2"/>
          </w:tcPr>
          <w:p w:rsidR="001544FD" w:rsidRPr="00C57CE1" w:rsidRDefault="001544FD" w:rsidP="008813DE">
            <w:pPr>
              <w:tabs>
                <w:tab w:val="left" w:pos="1440"/>
              </w:tabs>
              <w:adjustRightInd w:val="0"/>
              <w:snapToGrid w:val="0"/>
              <w:ind w:left="720" w:hanging="720"/>
              <w:jc w:val="center"/>
              <w:rPr>
                <w:rFonts w:ascii="Arial" w:hAnsi="Arial" w:cs="Arial"/>
                <w:szCs w:val="24"/>
                <w:lang w:val="en-GB"/>
              </w:rPr>
            </w:pPr>
          </w:p>
        </w:tc>
      </w:tr>
      <w:tr w:rsidR="001544FD" w:rsidRPr="0028108F" w:rsidTr="008813DE">
        <w:tc>
          <w:tcPr>
            <w:tcW w:w="7528" w:type="dxa"/>
          </w:tcPr>
          <w:p w:rsidR="001544FD" w:rsidRPr="00181CF2" w:rsidRDefault="001544FD" w:rsidP="00725B6F">
            <w:pPr>
              <w:tabs>
                <w:tab w:val="left" w:pos="1440"/>
              </w:tabs>
              <w:adjustRightInd w:val="0"/>
              <w:snapToGrid w:val="0"/>
              <w:ind w:left="1452" w:hanging="1452"/>
              <w:jc w:val="both"/>
              <w:rPr>
                <w:rFonts w:ascii="Arial" w:hAnsi="Arial" w:cs="Arial"/>
                <w:szCs w:val="24"/>
                <w:lang w:val="en-GB"/>
              </w:rPr>
            </w:pPr>
            <w:r w:rsidRPr="00181CF2">
              <w:rPr>
                <w:rFonts w:ascii="Arial" w:hAnsi="Arial" w:cs="Arial"/>
                <w:szCs w:val="24"/>
                <w:lang w:val="en-GB"/>
              </w:rPr>
              <w:t>Introduction</w:t>
            </w:r>
          </w:p>
        </w:tc>
        <w:tc>
          <w:tcPr>
            <w:tcW w:w="886" w:type="dxa"/>
            <w:gridSpan w:val="2"/>
          </w:tcPr>
          <w:p w:rsidR="001544FD" w:rsidRPr="00C57CE1" w:rsidRDefault="00A52E14" w:rsidP="00024A67">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23</w:t>
            </w:r>
            <w:r w:rsidR="00024A67">
              <w:rPr>
                <w:rFonts w:ascii="Arial" w:hAnsi="Arial" w:cs="Arial"/>
                <w:szCs w:val="24"/>
                <w:lang w:val="en-GB"/>
              </w:rPr>
              <w:t>8</w:t>
            </w:r>
          </w:p>
        </w:tc>
      </w:tr>
      <w:tr w:rsidR="001544FD" w:rsidRPr="0028108F" w:rsidTr="008813DE">
        <w:tc>
          <w:tcPr>
            <w:tcW w:w="7528" w:type="dxa"/>
          </w:tcPr>
          <w:p w:rsidR="001544FD" w:rsidRPr="0028108F" w:rsidRDefault="00AA7C40">
            <w:pPr>
              <w:tabs>
                <w:tab w:val="left" w:pos="1440"/>
              </w:tabs>
              <w:adjustRightInd w:val="0"/>
              <w:snapToGrid w:val="0"/>
              <w:ind w:left="1452" w:hanging="1452"/>
              <w:jc w:val="both"/>
              <w:rPr>
                <w:rFonts w:ascii="Arial" w:hAnsi="Arial" w:cs="Arial"/>
                <w:szCs w:val="24"/>
                <w:lang w:val="en-GB"/>
              </w:rPr>
            </w:pPr>
            <w:r>
              <w:rPr>
                <w:rFonts w:ascii="Arial" w:hAnsi="Arial" w:cs="Arial"/>
                <w:szCs w:val="24"/>
                <w:lang w:val="en-GB"/>
              </w:rPr>
              <w:t>Allowing a</w:t>
            </w:r>
            <w:r w:rsidR="00780583" w:rsidRPr="00181CF2">
              <w:rPr>
                <w:rFonts w:ascii="Arial" w:hAnsi="Arial" w:cs="Arial"/>
                <w:szCs w:val="24"/>
                <w:lang w:val="en-GB"/>
              </w:rPr>
              <w:t xml:space="preserve">lteration of birth certificates </w:t>
            </w:r>
            <w:r w:rsidR="00780583" w:rsidRPr="00C57CE1">
              <w:rPr>
                <w:rFonts w:ascii="Arial" w:hAnsi="Arial" w:cs="Arial"/>
                <w:szCs w:val="24"/>
                <w:lang w:val="en-GB"/>
              </w:rPr>
              <w:t>following gender recognition</w:t>
            </w:r>
            <w:r w:rsidR="001544FD" w:rsidRPr="0028108F">
              <w:rPr>
                <w:rFonts w:ascii="Arial" w:hAnsi="Arial" w:cs="Arial"/>
                <w:szCs w:val="24"/>
                <w:lang w:val="en-GB"/>
              </w:rPr>
              <w:t xml:space="preserve"> </w:t>
            </w:r>
          </w:p>
        </w:tc>
        <w:tc>
          <w:tcPr>
            <w:tcW w:w="886" w:type="dxa"/>
            <w:gridSpan w:val="2"/>
          </w:tcPr>
          <w:p w:rsidR="001544FD" w:rsidRPr="0028108F" w:rsidRDefault="00A52E14" w:rsidP="00024A67">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w:t>
            </w:r>
            <w:r w:rsidR="00024A67">
              <w:rPr>
                <w:rFonts w:ascii="Arial" w:hAnsi="Arial" w:cs="Arial"/>
                <w:szCs w:val="24"/>
                <w:lang w:val="en-GB"/>
              </w:rPr>
              <w:t>39</w:t>
            </w:r>
          </w:p>
        </w:tc>
      </w:tr>
      <w:tr w:rsidR="001544FD" w:rsidRPr="0028108F" w:rsidTr="008813DE">
        <w:tc>
          <w:tcPr>
            <w:tcW w:w="7528" w:type="dxa"/>
          </w:tcPr>
          <w:p w:rsidR="001544FD" w:rsidRPr="0028108F" w:rsidRDefault="00AA7C40">
            <w:pPr>
              <w:tabs>
                <w:tab w:val="left" w:pos="1440"/>
              </w:tabs>
              <w:adjustRightInd w:val="0"/>
              <w:snapToGrid w:val="0"/>
              <w:ind w:left="1452" w:hanging="1452"/>
              <w:jc w:val="both"/>
              <w:rPr>
                <w:rFonts w:ascii="Arial" w:hAnsi="Arial" w:cs="Arial"/>
                <w:szCs w:val="24"/>
                <w:lang w:val="en-GB"/>
              </w:rPr>
            </w:pPr>
            <w:r>
              <w:rPr>
                <w:rFonts w:ascii="Arial" w:hAnsi="Arial" w:cs="Arial"/>
                <w:szCs w:val="24"/>
                <w:lang w:val="en-GB"/>
              </w:rPr>
              <w:t>Disclosing h</w:t>
            </w:r>
            <w:r w:rsidR="00780583" w:rsidRPr="0028108F">
              <w:rPr>
                <w:rFonts w:ascii="Arial" w:hAnsi="Arial" w:cs="Arial"/>
                <w:szCs w:val="24"/>
                <w:lang w:val="en-GB"/>
              </w:rPr>
              <w:t>istory of gender change</w:t>
            </w:r>
          </w:p>
        </w:tc>
        <w:tc>
          <w:tcPr>
            <w:tcW w:w="886" w:type="dxa"/>
            <w:gridSpan w:val="2"/>
          </w:tcPr>
          <w:p w:rsidR="001544FD" w:rsidRPr="0028108F" w:rsidRDefault="00A52E14" w:rsidP="00024A67">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24</w:t>
            </w:r>
            <w:r w:rsidR="00024A67">
              <w:rPr>
                <w:rFonts w:ascii="Arial" w:hAnsi="Arial" w:cs="Arial"/>
                <w:szCs w:val="24"/>
                <w:lang w:val="en-GB"/>
              </w:rPr>
              <w:t>2</w:t>
            </w:r>
          </w:p>
        </w:tc>
      </w:tr>
      <w:tr w:rsidR="00453260" w:rsidRPr="0028108F" w:rsidTr="008813DE">
        <w:tc>
          <w:tcPr>
            <w:tcW w:w="7528" w:type="dxa"/>
          </w:tcPr>
          <w:p w:rsidR="00453260" w:rsidRPr="00C57CE1" w:rsidDel="0006282B" w:rsidRDefault="00453260" w:rsidP="00725B6F">
            <w:pPr>
              <w:tabs>
                <w:tab w:val="left" w:pos="1440"/>
              </w:tabs>
              <w:adjustRightInd w:val="0"/>
              <w:snapToGrid w:val="0"/>
              <w:ind w:left="1452" w:hanging="1452"/>
              <w:jc w:val="both"/>
              <w:rPr>
                <w:rFonts w:ascii="Arial" w:hAnsi="Arial" w:cs="Arial"/>
                <w:szCs w:val="24"/>
                <w:lang w:val="en-GB"/>
              </w:rPr>
            </w:pPr>
            <w:r w:rsidRPr="00181CF2">
              <w:rPr>
                <w:rFonts w:ascii="Arial" w:hAnsi="Arial" w:cs="Arial"/>
                <w:szCs w:val="24"/>
                <w:lang w:val="en-GB"/>
              </w:rPr>
              <w:t>Concluding remarks</w:t>
            </w:r>
          </w:p>
        </w:tc>
        <w:tc>
          <w:tcPr>
            <w:tcW w:w="886" w:type="dxa"/>
            <w:gridSpan w:val="2"/>
          </w:tcPr>
          <w:p w:rsidR="00453260" w:rsidRPr="0028108F" w:rsidRDefault="00A52E14" w:rsidP="00024A67">
            <w:pPr>
              <w:tabs>
                <w:tab w:val="left" w:pos="1440"/>
              </w:tabs>
              <w:adjustRightInd w:val="0"/>
              <w:snapToGrid w:val="0"/>
              <w:ind w:left="720" w:hanging="720"/>
              <w:jc w:val="center"/>
              <w:rPr>
                <w:rFonts w:ascii="Arial" w:hAnsi="Arial" w:cs="Arial"/>
                <w:szCs w:val="24"/>
                <w:lang w:val="en-GB"/>
              </w:rPr>
            </w:pPr>
            <w:r>
              <w:rPr>
                <w:rFonts w:ascii="Arial" w:hAnsi="Arial" w:cs="Arial"/>
                <w:szCs w:val="24"/>
                <w:lang w:val="en-GB"/>
              </w:rPr>
              <w:t>24</w:t>
            </w:r>
            <w:r w:rsidR="00024A67">
              <w:rPr>
                <w:rFonts w:ascii="Arial" w:hAnsi="Arial" w:cs="Arial"/>
                <w:szCs w:val="24"/>
                <w:lang w:val="en-GB"/>
              </w:rPr>
              <w:t>4</w:t>
            </w:r>
          </w:p>
        </w:tc>
      </w:tr>
      <w:tr w:rsidR="001544FD" w:rsidRPr="0028108F" w:rsidTr="008813DE">
        <w:tc>
          <w:tcPr>
            <w:tcW w:w="7528" w:type="dxa"/>
          </w:tcPr>
          <w:p w:rsidR="001544FD" w:rsidRDefault="001544FD" w:rsidP="00725B6F">
            <w:pPr>
              <w:adjustRightInd w:val="0"/>
              <w:snapToGrid w:val="0"/>
              <w:jc w:val="both"/>
              <w:rPr>
                <w:rFonts w:ascii="Arial" w:hAnsi="Arial" w:cs="Arial"/>
                <w:b/>
                <w:szCs w:val="24"/>
                <w:lang w:val="en-GB"/>
              </w:rPr>
            </w:pPr>
          </w:p>
          <w:p w:rsidR="006C6E2A" w:rsidRPr="00C57CE1" w:rsidRDefault="006C6E2A" w:rsidP="00725B6F">
            <w:pPr>
              <w:adjustRightInd w:val="0"/>
              <w:snapToGrid w:val="0"/>
              <w:jc w:val="both"/>
              <w:rPr>
                <w:rFonts w:ascii="Arial" w:hAnsi="Arial" w:cs="Arial"/>
                <w:b/>
                <w:szCs w:val="24"/>
                <w:lang w:val="en-GB"/>
              </w:rPr>
            </w:pPr>
          </w:p>
        </w:tc>
        <w:tc>
          <w:tcPr>
            <w:tcW w:w="886" w:type="dxa"/>
            <w:gridSpan w:val="2"/>
          </w:tcPr>
          <w:p w:rsidR="001544FD" w:rsidRPr="0028108F" w:rsidRDefault="001544FD" w:rsidP="008813DE">
            <w:pPr>
              <w:tabs>
                <w:tab w:val="left" w:pos="1440"/>
              </w:tabs>
              <w:adjustRightInd w:val="0"/>
              <w:snapToGrid w:val="0"/>
              <w:ind w:left="1452" w:hanging="1452"/>
              <w:jc w:val="center"/>
              <w:rPr>
                <w:rFonts w:ascii="Arial" w:hAnsi="Arial" w:cs="Arial"/>
                <w:szCs w:val="24"/>
                <w:lang w:val="en-GB"/>
              </w:rPr>
            </w:pPr>
          </w:p>
        </w:tc>
      </w:tr>
      <w:tr w:rsidR="001544FD" w:rsidRPr="0028108F" w:rsidTr="008813DE">
        <w:tc>
          <w:tcPr>
            <w:tcW w:w="7528" w:type="dxa"/>
          </w:tcPr>
          <w:p w:rsidR="001544FD" w:rsidRPr="0028108F" w:rsidRDefault="001544FD" w:rsidP="00725B6F">
            <w:pPr>
              <w:tabs>
                <w:tab w:val="left" w:pos="1440"/>
              </w:tabs>
              <w:adjustRightInd w:val="0"/>
              <w:snapToGrid w:val="0"/>
              <w:ind w:left="720" w:hanging="720"/>
              <w:rPr>
                <w:rFonts w:ascii="Arial" w:hAnsi="Arial" w:cs="Arial"/>
                <w:b/>
                <w:szCs w:val="24"/>
                <w:lang w:val="en-GB"/>
              </w:rPr>
            </w:pPr>
            <w:r w:rsidRPr="00181CF2">
              <w:rPr>
                <w:rFonts w:ascii="Arial" w:hAnsi="Arial" w:cs="Arial"/>
                <w:b/>
                <w:szCs w:val="24"/>
                <w:lang w:val="en-GB"/>
              </w:rPr>
              <w:t>Chapter 10</w:t>
            </w:r>
            <w:r w:rsidRPr="00181CF2">
              <w:rPr>
                <w:rFonts w:ascii="Arial" w:hAnsi="Arial" w:cs="Arial"/>
                <w:b/>
                <w:szCs w:val="24"/>
                <w:lang w:val="en-GB"/>
              </w:rPr>
              <w:tab/>
            </w:r>
            <w:r w:rsidR="00FB5E39" w:rsidRPr="00C57CE1">
              <w:rPr>
                <w:rFonts w:ascii="Arial" w:hAnsi="Arial" w:cs="Arial"/>
                <w:b/>
                <w:szCs w:val="24"/>
                <w:lang w:val="en-GB"/>
              </w:rPr>
              <w:t>Summary of i</w:t>
            </w:r>
            <w:r w:rsidRPr="0028108F">
              <w:rPr>
                <w:rFonts w:ascii="Arial" w:hAnsi="Arial" w:cs="Arial"/>
                <w:b/>
                <w:szCs w:val="24"/>
                <w:lang w:val="en-GB"/>
              </w:rPr>
              <w:t>ssues for consultation</w:t>
            </w:r>
          </w:p>
        </w:tc>
        <w:tc>
          <w:tcPr>
            <w:tcW w:w="886" w:type="dxa"/>
            <w:gridSpan w:val="2"/>
          </w:tcPr>
          <w:p w:rsidR="001544FD" w:rsidRPr="008813DE" w:rsidRDefault="00A52E14" w:rsidP="00024A67">
            <w:pPr>
              <w:tabs>
                <w:tab w:val="left" w:pos="1440"/>
              </w:tabs>
              <w:adjustRightInd w:val="0"/>
              <w:snapToGrid w:val="0"/>
              <w:ind w:left="720" w:hanging="720"/>
              <w:jc w:val="center"/>
              <w:rPr>
                <w:rFonts w:ascii="Arial" w:hAnsi="Arial" w:cs="Arial"/>
                <w:szCs w:val="24"/>
                <w:lang w:val="en-GB"/>
              </w:rPr>
            </w:pPr>
            <w:r w:rsidRPr="008813DE">
              <w:rPr>
                <w:rFonts w:ascii="Arial" w:hAnsi="Arial" w:cs="Arial"/>
                <w:szCs w:val="24"/>
                <w:lang w:val="en-GB"/>
              </w:rPr>
              <w:t>24</w:t>
            </w:r>
            <w:r w:rsidR="00024A67">
              <w:rPr>
                <w:rFonts w:ascii="Arial" w:hAnsi="Arial" w:cs="Arial"/>
                <w:szCs w:val="24"/>
                <w:lang w:val="en-GB"/>
              </w:rPr>
              <w:t>5</w:t>
            </w:r>
          </w:p>
        </w:tc>
      </w:tr>
      <w:tr w:rsidR="001544FD" w:rsidRPr="0028108F" w:rsidTr="008813DE">
        <w:tc>
          <w:tcPr>
            <w:tcW w:w="7528" w:type="dxa"/>
          </w:tcPr>
          <w:p w:rsidR="001544FD" w:rsidRDefault="001544FD" w:rsidP="00725B6F">
            <w:pPr>
              <w:tabs>
                <w:tab w:val="left" w:pos="1440"/>
              </w:tabs>
              <w:adjustRightInd w:val="0"/>
              <w:snapToGrid w:val="0"/>
              <w:ind w:left="720" w:hanging="720"/>
              <w:rPr>
                <w:rFonts w:ascii="Arial" w:hAnsi="Arial" w:cs="Arial"/>
                <w:b/>
                <w:szCs w:val="24"/>
                <w:lang w:val="en-GB"/>
              </w:rPr>
            </w:pPr>
          </w:p>
          <w:p w:rsidR="006C6E2A" w:rsidRPr="00181CF2" w:rsidRDefault="006C6E2A" w:rsidP="00725B6F">
            <w:pPr>
              <w:tabs>
                <w:tab w:val="left" w:pos="1440"/>
              </w:tabs>
              <w:adjustRightInd w:val="0"/>
              <w:snapToGrid w:val="0"/>
              <w:ind w:left="720" w:hanging="720"/>
              <w:rPr>
                <w:rFonts w:ascii="Arial" w:hAnsi="Arial" w:cs="Arial"/>
                <w:b/>
                <w:szCs w:val="24"/>
                <w:lang w:val="en-GB"/>
              </w:rPr>
            </w:pPr>
          </w:p>
        </w:tc>
        <w:tc>
          <w:tcPr>
            <w:tcW w:w="886" w:type="dxa"/>
            <w:gridSpan w:val="2"/>
          </w:tcPr>
          <w:p w:rsidR="001544FD" w:rsidRPr="00C57CE1" w:rsidRDefault="001544FD" w:rsidP="008813DE">
            <w:pPr>
              <w:tabs>
                <w:tab w:val="left" w:pos="1440"/>
              </w:tabs>
              <w:adjustRightInd w:val="0"/>
              <w:snapToGrid w:val="0"/>
              <w:ind w:left="720" w:hanging="720"/>
              <w:jc w:val="center"/>
              <w:rPr>
                <w:rFonts w:ascii="Arial" w:hAnsi="Arial" w:cs="Arial"/>
                <w:b/>
                <w:szCs w:val="24"/>
                <w:lang w:val="en-GB"/>
              </w:rPr>
            </w:pPr>
          </w:p>
        </w:tc>
      </w:tr>
      <w:tr w:rsidR="0077227B" w:rsidRPr="0028108F" w:rsidTr="008813DE">
        <w:tc>
          <w:tcPr>
            <w:tcW w:w="7939" w:type="dxa"/>
            <w:gridSpan w:val="2"/>
          </w:tcPr>
          <w:p w:rsidR="0077227B" w:rsidRDefault="0077227B" w:rsidP="008813DE">
            <w:pPr>
              <w:tabs>
                <w:tab w:val="left" w:pos="1440"/>
              </w:tabs>
              <w:adjustRightInd w:val="0"/>
              <w:snapToGrid w:val="0"/>
              <w:ind w:left="1452" w:hanging="1452"/>
              <w:rPr>
                <w:rFonts w:ascii="Arial" w:hAnsi="Arial" w:cs="Arial"/>
                <w:b/>
                <w:szCs w:val="24"/>
                <w:lang w:val="en-GB"/>
              </w:rPr>
            </w:pPr>
            <w:r>
              <w:rPr>
                <w:rFonts w:ascii="Arial" w:hAnsi="Arial" w:cs="Arial" w:hint="eastAsia"/>
                <w:b/>
                <w:szCs w:val="24"/>
                <w:lang w:val="en-GB"/>
              </w:rPr>
              <w:t>Annex A</w:t>
            </w:r>
            <w:r>
              <w:rPr>
                <w:rFonts w:ascii="Arial" w:hAnsi="Arial" w:cs="Arial"/>
                <w:b/>
                <w:szCs w:val="24"/>
                <w:lang w:val="en-GB"/>
              </w:rPr>
              <w:tab/>
            </w:r>
            <w:r w:rsidR="00A914FA">
              <w:rPr>
                <w:rFonts w:ascii="Arial" w:hAnsi="Arial" w:cs="Arial"/>
                <w:b/>
                <w:szCs w:val="24"/>
                <w:lang w:val="en-GB"/>
              </w:rPr>
              <w:t>Comparative</w:t>
            </w:r>
            <w:r w:rsidR="00EE33F3">
              <w:rPr>
                <w:rFonts w:ascii="Arial" w:hAnsi="Arial" w:cs="Arial"/>
                <w:b/>
                <w:szCs w:val="24"/>
                <w:lang w:val="en-GB"/>
              </w:rPr>
              <w:t xml:space="preserve"> table of gender recognition schemes in other countries and territories</w:t>
            </w:r>
          </w:p>
          <w:p w:rsidR="008F5CF0" w:rsidRPr="008813DE" w:rsidRDefault="008F5CF0" w:rsidP="008813DE">
            <w:pPr>
              <w:tabs>
                <w:tab w:val="left" w:pos="1440"/>
              </w:tabs>
              <w:adjustRightInd w:val="0"/>
              <w:snapToGrid w:val="0"/>
              <w:ind w:left="1452" w:hanging="1452"/>
              <w:rPr>
                <w:rFonts w:ascii="Arial" w:hAnsi="Arial" w:cs="Arial"/>
                <w:i/>
                <w:sz w:val="20"/>
                <w:szCs w:val="20"/>
              </w:rPr>
            </w:pPr>
            <w:r>
              <w:rPr>
                <w:rFonts w:ascii="Arial" w:hAnsi="Arial" w:cs="Arial"/>
                <w:b/>
                <w:szCs w:val="24"/>
                <w:lang w:val="en-GB"/>
              </w:rPr>
              <w:tab/>
            </w:r>
            <w:r w:rsidRPr="008813DE">
              <w:rPr>
                <w:rFonts w:ascii="Arial" w:hAnsi="Arial" w:cs="Arial"/>
                <w:sz w:val="20"/>
                <w:szCs w:val="20"/>
                <w:lang w:val="en-GB"/>
              </w:rPr>
              <w:t>(</w:t>
            </w:r>
            <w:r w:rsidR="008664C1">
              <w:rPr>
                <w:rFonts w:ascii="Arial" w:hAnsi="Arial" w:cs="Arial" w:hint="eastAsia"/>
                <w:i/>
                <w:sz w:val="20"/>
                <w:szCs w:val="20"/>
                <w:lang w:val="en-GB"/>
              </w:rPr>
              <w:t xml:space="preserve">English version only </w:t>
            </w:r>
            <w:r w:rsidRPr="008813DE">
              <w:rPr>
                <w:rFonts w:ascii="Arial" w:hAnsi="Arial" w:cs="Arial"/>
                <w:i/>
                <w:sz w:val="20"/>
                <w:szCs w:val="20"/>
              </w:rPr>
              <w:t>uploaded onto the Internet at</w:t>
            </w:r>
            <w:r w:rsidR="007B650C">
              <w:rPr>
                <w:rFonts w:ascii="Arial" w:hAnsi="Arial" w:cs="Arial"/>
                <w:i/>
                <w:sz w:val="20"/>
                <w:szCs w:val="20"/>
              </w:rPr>
              <w:t xml:space="preserve"> </w:t>
            </w:r>
            <w:hyperlink r:id="rId14" w:history="1">
              <w:r w:rsidR="007B650C" w:rsidRPr="00750692">
                <w:rPr>
                  <w:rStyle w:val="Hyperlink"/>
                  <w:rFonts w:ascii="Arial" w:hAnsi="Arial" w:cs="Arial"/>
                  <w:i/>
                  <w:sz w:val="20"/>
                  <w:szCs w:val="20"/>
                </w:rPr>
                <w:t>http://www.iwggr.gov.hk</w:t>
              </w:r>
            </w:hyperlink>
            <w:r w:rsidRPr="008813DE">
              <w:rPr>
                <w:rFonts w:ascii="Arial" w:hAnsi="Arial" w:cs="Arial"/>
                <w:i/>
                <w:sz w:val="20"/>
                <w:szCs w:val="20"/>
              </w:rPr>
              <w:t>)</w:t>
            </w:r>
          </w:p>
        </w:tc>
        <w:tc>
          <w:tcPr>
            <w:tcW w:w="475" w:type="dxa"/>
          </w:tcPr>
          <w:p w:rsidR="0077227B" w:rsidRPr="00C57CE1" w:rsidRDefault="0077227B" w:rsidP="00725B6F">
            <w:pPr>
              <w:tabs>
                <w:tab w:val="left" w:pos="1440"/>
              </w:tabs>
              <w:adjustRightInd w:val="0"/>
              <w:snapToGrid w:val="0"/>
              <w:ind w:left="720" w:hanging="720"/>
              <w:rPr>
                <w:rFonts w:ascii="Arial" w:hAnsi="Arial" w:cs="Arial"/>
                <w:b/>
                <w:szCs w:val="24"/>
                <w:lang w:val="en-GB"/>
              </w:rPr>
            </w:pPr>
          </w:p>
        </w:tc>
      </w:tr>
      <w:tr w:rsidR="00EE33F3" w:rsidRPr="0028108F" w:rsidTr="008813DE">
        <w:tc>
          <w:tcPr>
            <w:tcW w:w="7939" w:type="dxa"/>
            <w:gridSpan w:val="2"/>
          </w:tcPr>
          <w:p w:rsidR="00EE33F3" w:rsidRDefault="00EE33F3" w:rsidP="00EE33F3">
            <w:pPr>
              <w:tabs>
                <w:tab w:val="left" w:pos="1440"/>
              </w:tabs>
              <w:adjustRightInd w:val="0"/>
              <w:snapToGrid w:val="0"/>
              <w:ind w:left="1452" w:hanging="1452"/>
              <w:rPr>
                <w:rFonts w:ascii="Arial" w:hAnsi="Arial" w:cs="Arial"/>
                <w:b/>
                <w:szCs w:val="24"/>
                <w:lang w:val="en-GB"/>
              </w:rPr>
            </w:pPr>
          </w:p>
          <w:p w:rsidR="006C6E2A" w:rsidRDefault="006C6E2A" w:rsidP="00EE33F3">
            <w:pPr>
              <w:tabs>
                <w:tab w:val="left" w:pos="1440"/>
              </w:tabs>
              <w:adjustRightInd w:val="0"/>
              <w:snapToGrid w:val="0"/>
              <w:ind w:left="1452" w:hanging="1452"/>
              <w:rPr>
                <w:rFonts w:ascii="Arial" w:hAnsi="Arial" w:cs="Arial"/>
                <w:b/>
                <w:szCs w:val="24"/>
                <w:lang w:val="en-GB"/>
              </w:rPr>
            </w:pPr>
          </w:p>
        </w:tc>
        <w:tc>
          <w:tcPr>
            <w:tcW w:w="475" w:type="dxa"/>
          </w:tcPr>
          <w:p w:rsidR="00EE33F3" w:rsidRPr="00C57CE1" w:rsidRDefault="00EE33F3" w:rsidP="00725B6F">
            <w:pPr>
              <w:tabs>
                <w:tab w:val="left" w:pos="1440"/>
              </w:tabs>
              <w:adjustRightInd w:val="0"/>
              <w:snapToGrid w:val="0"/>
              <w:ind w:left="720" w:hanging="720"/>
              <w:rPr>
                <w:rFonts w:ascii="Arial" w:hAnsi="Arial" w:cs="Arial"/>
                <w:b/>
                <w:szCs w:val="24"/>
                <w:lang w:val="en-GB"/>
              </w:rPr>
            </w:pPr>
          </w:p>
        </w:tc>
      </w:tr>
      <w:tr w:rsidR="0077227B" w:rsidRPr="0028108F" w:rsidTr="008813DE">
        <w:tc>
          <w:tcPr>
            <w:tcW w:w="7939" w:type="dxa"/>
            <w:gridSpan w:val="2"/>
          </w:tcPr>
          <w:p w:rsidR="0077227B" w:rsidRDefault="0077227B" w:rsidP="008813DE">
            <w:pPr>
              <w:tabs>
                <w:tab w:val="left" w:pos="1440"/>
              </w:tabs>
              <w:adjustRightInd w:val="0"/>
              <w:snapToGrid w:val="0"/>
              <w:ind w:left="1452" w:hanging="1452"/>
              <w:rPr>
                <w:rFonts w:ascii="Arial" w:hAnsi="Arial" w:cs="Arial"/>
                <w:b/>
                <w:szCs w:val="24"/>
                <w:lang w:val="en-GB"/>
              </w:rPr>
            </w:pPr>
            <w:r>
              <w:rPr>
                <w:rFonts w:ascii="Arial" w:hAnsi="Arial" w:cs="Arial" w:hint="eastAsia"/>
                <w:b/>
                <w:szCs w:val="24"/>
                <w:lang w:val="en-GB"/>
              </w:rPr>
              <w:t xml:space="preserve">Annex B </w:t>
            </w:r>
            <w:r>
              <w:rPr>
                <w:rFonts w:ascii="Arial" w:hAnsi="Arial" w:cs="Arial"/>
                <w:b/>
                <w:szCs w:val="24"/>
                <w:lang w:val="en-GB"/>
              </w:rPr>
              <w:tab/>
            </w:r>
            <w:r w:rsidR="00EE33F3">
              <w:rPr>
                <w:rFonts w:ascii="Arial" w:hAnsi="Arial" w:cs="Arial"/>
                <w:b/>
                <w:szCs w:val="24"/>
                <w:lang w:val="en-GB"/>
              </w:rPr>
              <w:t>Summary table of gender recognition schemes in other countries and territories</w:t>
            </w:r>
          </w:p>
          <w:p w:rsidR="008F5CF0" w:rsidRPr="008813DE" w:rsidRDefault="008F5CF0" w:rsidP="008813DE">
            <w:pPr>
              <w:tabs>
                <w:tab w:val="left" w:pos="1440"/>
              </w:tabs>
              <w:adjustRightInd w:val="0"/>
              <w:snapToGrid w:val="0"/>
              <w:ind w:left="1452" w:hanging="1452"/>
              <w:rPr>
                <w:rFonts w:ascii="Arial" w:hAnsi="Arial" w:cs="Arial"/>
                <w:i/>
                <w:sz w:val="20"/>
                <w:szCs w:val="20"/>
              </w:rPr>
            </w:pPr>
            <w:r>
              <w:rPr>
                <w:rFonts w:ascii="Arial" w:hAnsi="Arial" w:cs="Arial"/>
                <w:b/>
                <w:szCs w:val="24"/>
                <w:lang w:val="en-GB"/>
              </w:rPr>
              <w:tab/>
            </w:r>
            <w:r w:rsidR="008664C1" w:rsidRPr="008A52C7">
              <w:rPr>
                <w:rFonts w:ascii="Arial" w:hAnsi="Arial" w:cs="Arial"/>
                <w:sz w:val="20"/>
                <w:szCs w:val="20"/>
                <w:lang w:val="en-GB"/>
              </w:rPr>
              <w:t>(</w:t>
            </w:r>
            <w:r w:rsidR="008664C1">
              <w:rPr>
                <w:rFonts w:ascii="Arial" w:hAnsi="Arial" w:cs="Arial" w:hint="eastAsia"/>
                <w:i/>
                <w:sz w:val="20"/>
                <w:szCs w:val="20"/>
                <w:lang w:val="en-GB"/>
              </w:rPr>
              <w:t xml:space="preserve">English version only </w:t>
            </w:r>
            <w:r w:rsidR="008664C1" w:rsidRPr="008A52C7">
              <w:rPr>
                <w:rFonts w:ascii="Arial" w:hAnsi="Arial" w:cs="Arial"/>
                <w:i/>
                <w:sz w:val="20"/>
                <w:szCs w:val="20"/>
              </w:rPr>
              <w:t>uploaded onto the Internet at</w:t>
            </w:r>
            <w:r w:rsidR="007B650C">
              <w:rPr>
                <w:rFonts w:ascii="Arial" w:hAnsi="Arial" w:cs="Arial"/>
                <w:i/>
                <w:sz w:val="20"/>
                <w:szCs w:val="20"/>
              </w:rPr>
              <w:t xml:space="preserve"> </w:t>
            </w:r>
            <w:hyperlink r:id="rId15" w:history="1">
              <w:r w:rsidR="007B650C" w:rsidRPr="00750692">
                <w:rPr>
                  <w:rStyle w:val="Hyperlink"/>
                  <w:rFonts w:ascii="Arial" w:hAnsi="Arial" w:cs="Arial"/>
                  <w:i/>
                  <w:sz w:val="20"/>
                  <w:szCs w:val="20"/>
                </w:rPr>
                <w:t>http://www.iwggr.gov.hk</w:t>
              </w:r>
            </w:hyperlink>
            <w:r w:rsidR="008664C1" w:rsidRPr="008A52C7">
              <w:rPr>
                <w:rFonts w:ascii="Arial" w:hAnsi="Arial" w:cs="Arial"/>
                <w:i/>
                <w:sz w:val="20"/>
                <w:szCs w:val="20"/>
              </w:rPr>
              <w:t>)</w:t>
            </w:r>
          </w:p>
        </w:tc>
        <w:tc>
          <w:tcPr>
            <w:tcW w:w="475" w:type="dxa"/>
          </w:tcPr>
          <w:p w:rsidR="0077227B" w:rsidRPr="00C57CE1" w:rsidRDefault="0077227B" w:rsidP="00725B6F">
            <w:pPr>
              <w:tabs>
                <w:tab w:val="left" w:pos="1440"/>
              </w:tabs>
              <w:adjustRightInd w:val="0"/>
              <w:snapToGrid w:val="0"/>
              <w:ind w:left="720" w:hanging="720"/>
              <w:rPr>
                <w:rFonts w:ascii="Arial" w:hAnsi="Arial" w:cs="Arial"/>
                <w:b/>
                <w:szCs w:val="24"/>
                <w:lang w:val="en-GB"/>
              </w:rPr>
            </w:pPr>
          </w:p>
        </w:tc>
      </w:tr>
      <w:tr w:rsidR="00EE33F3" w:rsidRPr="0028108F" w:rsidTr="008813DE">
        <w:tc>
          <w:tcPr>
            <w:tcW w:w="7939" w:type="dxa"/>
            <w:gridSpan w:val="2"/>
          </w:tcPr>
          <w:p w:rsidR="00EE33F3" w:rsidRDefault="00EE33F3" w:rsidP="00EE33F3">
            <w:pPr>
              <w:tabs>
                <w:tab w:val="left" w:pos="1440"/>
              </w:tabs>
              <w:adjustRightInd w:val="0"/>
              <w:snapToGrid w:val="0"/>
              <w:ind w:left="1452" w:hanging="1452"/>
              <w:rPr>
                <w:rFonts w:ascii="Arial" w:hAnsi="Arial" w:cs="Arial"/>
                <w:b/>
                <w:szCs w:val="24"/>
                <w:lang w:val="en-GB"/>
              </w:rPr>
            </w:pPr>
          </w:p>
          <w:p w:rsidR="006C6E2A" w:rsidRDefault="006C6E2A" w:rsidP="00EE33F3">
            <w:pPr>
              <w:tabs>
                <w:tab w:val="left" w:pos="1440"/>
              </w:tabs>
              <w:adjustRightInd w:val="0"/>
              <w:snapToGrid w:val="0"/>
              <w:ind w:left="1452" w:hanging="1452"/>
              <w:rPr>
                <w:rFonts w:ascii="Arial" w:hAnsi="Arial" w:cs="Arial"/>
                <w:b/>
                <w:szCs w:val="24"/>
                <w:lang w:val="en-GB"/>
              </w:rPr>
            </w:pPr>
          </w:p>
        </w:tc>
        <w:tc>
          <w:tcPr>
            <w:tcW w:w="475" w:type="dxa"/>
          </w:tcPr>
          <w:p w:rsidR="00EE33F3" w:rsidRPr="00C57CE1" w:rsidRDefault="00EE33F3" w:rsidP="00725B6F">
            <w:pPr>
              <w:tabs>
                <w:tab w:val="left" w:pos="1440"/>
              </w:tabs>
              <w:adjustRightInd w:val="0"/>
              <w:snapToGrid w:val="0"/>
              <w:ind w:left="720" w:hanging="720"/>
              <w:rPr>
                <w:rFonts w:ascii="Arial" w:hAnsi="Arial" w:cs="Arial"/>
                <w:b/>
                <w:szCs w:val="24"/>
                <w:lang w:val="en-GB"/>
              </w:rPr>
            </w:pPr>
          </w:p>
        </w:tc>
      </w:tr>
      <w:tr w:rsidR="0077227B" w:rsidRPr="0028108F" w:rsidTr="008813DE">
        <w:tc>
          <w:tcPr>
            <w:tcW w:w="7939" w:type="dxa"/>
            <w:gridSpan w:val="2"/>
          </w:tcPr>
          <w:p w:rsidR="008F5CF0" w:rsidRDefault="0077227B">
            <w:pPr>
              <w:tabs>
                <w:tab w:val="left" w:pos="1440"/>
              </w:tabs>
              <w:adjustRightInd w:val="0"/>
              <w:snapToGrid w:val="0"/>
              <w:ind w:left="720" w:hanging="720"/>
              <w:rPr>
                <w:rFonts w:ascii="Arial" w:hAnsi="Arial" w:cs="Arial"/>
                <w:b/>
                <w:szCs w:val="24"/>
                <w:lang w:val="en-GB"/>
              </w:rPr>
            </w:pPr>
            <w:r>
              <w:rPr>
                <w:rFonts w:ascii="Arial" w:hAnsi="Arial" w:cs="Arial" w:hint="eastAsia"/>
                <w:b/>
                <w:szCs w:val="24"/>
                <w:lang w:val="en-GB"/>
              </w:rPr>
              <w:t>Annex C</w:t>
            </w:r>
            <w:r>
              <w:rPr>
                <w:rFonts w:ascii="Arial" w:hAnsi="Arial" w:cs="Arial"/>
                <w:b/>
                <w:szCs w:val="24"/>
                <w:lang w:val="en-GB"/>
              </w:rPr>
              <w:tab/>
            </w:r>
            <w:r w:rsidR="00EE33F3">
              <w:rPr>
                <w:rFonts w:ascii="Arial" w:hAnsi="Arial" w:cs="Arial"/>
                <w:b/>
                <w:szCs w:val="24"/>
                <w:lang w:val="en-GB"/>
              </w:rPr>
              <w:t xml:space="preserve">Case-law on the SRS requirement </w:t>
            </w:r>
          </w:p>
          <w:p w:rsidR="0077227B" w:rsidRPr="008813DE" w:rsidRDefault="008F5CF0" w:rsidP="008813DE">
            <w:pPr>
              <w:tabs>
                <w:tab w:val="left" w:pos="1440"/>
              </w:tabs>
              <w:adjustRightInd w:val="0"/>
              <w:snapToGrid w:val="0"/>
              <w:ind w:left="1452" w:hanging="1452"/>
              <w:rPr>
                <w:rFonts w:ascii="Arial" w:hAnsi="Arial" w:cs="Arial"/>
                <w:i/>
                <w:sz w:val="20"/>
                <w:szCs w:val="20"/>
              </w:rPr>
            </w:pPr>
            <w:r>
              <w:rPr>
                <w:rFonts w:ascii="Arial" w:hAnsi="Arial" w:cs="Arial"/>
                <w:b/>
                <w:szCs w:val="24"/>
                <w:lang w:val="en-GB"/>
              </w:rPr>
              <w:tab/>
            </w:r>
            <w:r>
              <w:rPr>
                <w:rFonts w:ascii="Arial" w:hAnsi="Arial" w:cs="Arial" w:hint="eastAsia"/>
                <w:b/>
                <w:szCs w:val="24"/>
                <w:lang w:val="en-GB"/>
              </w:rPr>
              <w:tab/>
            </w:r>
            <w:r w:rsidR="008664C1" w:rsidRPr="008A52C7">
              <w:rPr>
                <w:rFonts w:ascii="Arial" w:hAnsi="Arial" w:cs="Arial"/>
                <w:sz w:val="20"/>
                <w:szCs w:val="20"/>
                <w:lang w:val="en-GB"/>
              </w:rPr>
              <w:t>(</w:t>
            </w:r>
            <w:r w:rsidR="008664C1">
              <w:rPr>
                <w:rFonts w:ascii="Arial" w:hAnsi="Arial" w:cs="Arial" w:hint="eastAsia"/>
                <w:i/>
                <w:sz w:val="20"/>
                <w:szCs w:val="20"/>
                <w:lang w:val="en-GB"/>
              </w:rPr>
              <w:t xml:space="preserve">English version only </w:t>
            </w:r>
            <w:r w:rsidR="008664C1" w:rsidRPr="008A52C7">
              <w:rPr>
                <w:rFonts w:ascii="Arial" w:hAnsi="Arial" w:cs="Arial"/>
                <w:i/>
                <w:sz w:val="20"/>
                <w:szCs w:val="20"/>
              </w:rPr>
              <w:t>uploaded onto the Internet at</w:t>
            </w:r>
            <w:r w:rsidR="007B650C">
              <w:rPr>
                <w:rFonts w:ascii="Arial" w:hAnsi="Arial" w:cs="Arial"/>
                <w:i/>
                <w:sz w:val="20"/>
                <w:szCs w:val="20"/>
              </w:rPr>
              <w:t xml:space="preserve"> </w:t>
            </w:r>
            <w:hyperlink r:id="rId16" w:history="1">
              <w:r w:rsidR="007B650C" w:rsidRPr="00750692">
                <w:rPr>
                  <w:rStyle w:val="Hyperlink"/>
                  <w:rFonts w:ascii="Arial" w:hAnsi="Arial" w:cs="Arial"/>
                  <w:i/>
                  <w:sz w:val="20"/>
                  <w:szCs w:val="20"/>
                </w:rPr>
                <w:t>http://www.iwggr.gov.hk</w:t>
              </w:r>
            </w:hyperlink>
            <w:r w:rsidR="008664C1" w:rsidRPr="008A52C7">
              <w:rPr>
                <w:rFonts w:ascii="Arial" w:hAnsi="Arial" w:cs="Arial"/>
                <w:i/>
                <w:sz w:val="20"/>
                <w:szCs w:val="20"/>
              </w:rPr>
              <w:t>)</w:t>
            </w:r>
            <w:r w:rsidDel="00EE33F3">
              <w:rPr>
                <w:rFonts w:ascii="Arial" w:hAnsi="Arial" w:cs="Arial" w:hint="eastAsia"/>
                <w:b/>
                <w:szCs w:val="24"/>
                <w:lang w:val="en-GB"/>
              </w:rPr>
              <w:t xml:space="preserve"> </w:t>
            </w:r>
          </w:p>
        </w:tc>
        <w:tc>
          <w:tcPr>
            <w:tcW w:w="475" w:type="dxa"/>
          </w:tcPr>
          <w:p w:rsidR="0077227B" w:rsidRPr="00C57CE1" w:rsidRDefault="0077227B" w:rsidP="00725B6F">
            <w:pPr>
              <w:tabs>
                <w:tab w:val="left" w:pos="1440"/>
              </w:tabs>
              <w:adjustRightInd w:val="0"/>
              <w:snapToGrid w:val="0"/>
              <w:ind w:left="720" w:hanging="720"/>
              <w:rPr>
                <w:rFonts w:ascii="Arial" w:hAnsi="Arial" w:cs="Arial"/>
                <w:b/>
                <w:szCs w:val="24"/>
                <w:lang w:val="en-GB"/>
              </w:rPr>
            </w:pPr>
          </w:p>
        </w:tc>
      </w:tr>
      <w:tr w:rsidR="00EE33F3" w:rsidRPr="0028108F" w:rsidTr="008813DE">
        <w:tc>
          <w:tcPr>
            <w:tcW w:w="7528" w:type="dxa"/>
          </w:tcPr>
          <w:p w:rsidR="00EE33F3" w:rsidRDefault="00EE33F3" w:rsidP="00EE33F3">
            <w:pPr>
              <w:tabs>
                <w:tab w:val="left" w:pos="1440"/>
              </w:tabs>
              <w:adjustRightInd w:val="0"/>
              <w:snapToGrid w:val="0"/>
              <w:ind w:left="720" w:hanging="720"/>
              <w:rPr>
                <w:rFonts w:ascii="Arial" w:hAnsi="Arial" w:cs="Arial"/>
                <w:b/>
                <w:szCs w:val="24"/>
                <w:lang w:val="en-GB"/>
              </w:rPr>
            </w:pPr>
          </w:p>
        </w:tc>
        <w:tc>
          <w:tcPr>
            <w:tcW w:w="886" w:type="dxa"/>
            <w:gridSpan w:val="2"/>
          </w:tcPr>
          <w:p w:rsidR="00EE33F3" w:rsidRPr="00C57CE1" w:rsidRDefault="00EE33F3" w:rsidP="00725B6F">
            <w:pPr>
              <w:tabs>
                <w:tab w:val="left" w:pos="1440"/>
              </w:tabs>
              <w:adjustRightInd w:val="0"/>
              <w:snapToGrid w:val="0"/>
              <w:ind w:left="720" w:hanging="720"/>
              <w:rPr>
                <w:rFonts w:ascii="Arial" w:hAnsi="Arial" w:cs="Arial"/>
                <w:b/>
                <w:szCs w:val="24"/>
                <w:lang w:val="en-GB"/>
              </w:rPr>
            </w:pPr>
          </w:p>
        </w:tc>
      </w:tr>
    </w:tbl>
    <w:p w:rsidR="008664C1" w:rsidRDefault="008664C1" w:rsidP="00915161">
      <w:pPr>
        <w:adjustRightInd w:val="0"/>
        <w:snapToGrid w:val="0"/>
        <w:spacing w:afterLines="50" w:after="180"/>
        <w:jc w:val="center"/>
        <w:rPr>
          <w:rFonts w:ascii="Arial" w:hAnsi="Arial" w:cs="Arial"/>
          <w:b/>
          <w:szCs w:val="24"/>
          <w:lang w:val="en-GB"/>
        </w:rPr>
      </w:pPr>
    </w:p>
    <w:p w:rsidR="007E6069" w:rsidRDefault="008664C1">
      <w:pPr>
        <w:widowControl/>
        <w:rPr>
          <w:rFonts w:ascii="Arial" w:hAnsi="Arial" w:cs="Arial"/>
          <w:b/>
          <w:szCs w:val="24"/>
          <w:lang w:val="en-GB"/>
        </w:rPr>
        <w:sectPr w:rsidR="007E6069" w:rsidSect="005850D5">
          <w:footerReference w:type="default" r:id="rId17"/>
          <w:footerReference w:type="first" r:id="rId18"/>
          <w:pgSz w:w="11906" w:h="16838"/>
          <w:pgMar w:top="1440" w:right="1800" w:bottom="1440" w:left="1800" w:header="851" w:footer="992" w:gutter="0"/>
          <w:pgNumType w:fmt="lowerRoman" w:start="1"/>
          <w:cols w:space="425"/>
          <w:titlePg/>
          <w:docGrid w:type="lines" w:linePitch="360"/>
        </w:sectPr>
      </w:pPr>
      <w:r>
        <w:rPr>
          <w:rFonts w:ascii="Arial" w:hAnsi="Arial" w:cs="Arial"/>
          <w:b/>
          <w:szCs w:val="24"/>
          <w:lang w:val="en-GB"/>
        </w:rPr>
        <w:br w:type="page"/>
      </w:r>
    </w:p>
    <w:p w:rsidR="008664C1" w:rsidRPr="008813DE" w:rsidRDefault="008664C1">
      <w:pPr>
        <w:widowControl/>
        <w:rPr>
          <w:rFonts w:ascii="Arial" w:hAnsi="Arial" w:cs="Arial"/>
          <w:b/>
          <w:sz w:val="32"/>
          <w:szCs w:val="32"/>
          <w:lang w:val="en-GB"/>
        </w:rPr>
      </w:pPr>
      <w:r w:rsidRPr="008813DE">
        <w:rPr>
          <w:rFonts w:ascii="Arial" w:hAnsi="Arial" w:cs="Arial"/>
          <w:b/>
          <w:sz w:val="32"/>
          <w:szCs w:val="32"/>
          <w:lang w:val="en-GB"/>
        </w:rPr>
        <w:lastRenderedPageBreak/>
        <w:t>List of abbreviations</w:t>
      </w:r>
    </w:p>
    <w:p w:rsidR="008664C1" w:rsidRPr="008813DE" w:rsidRDefault="008664C1">
      <w:pPr>
        <w:widowControl/>
        <w:rPr>
          <w:rFonts w:ascii="Arial" w:hAnsi="Arial" w:cs="Arial"/>
          <w:b/>
          <w:sz w:val="28"/>
          <w:szCs w:val="28"/>
          <w:u w:val="single"/>
          <w:lang w:val="en-GB"/>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gridCol w:w="231"/>
      </w:tblGrid>
      <w:tr w:rsidR="008664C1" w:rsidRPr="008664C1" w:rsidTr="008813DE">
        <w:tc>
          <w:tcPr>
            <w:tcW w:w="8467" w:type="dxa"/>
          </w:tcPr>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527"/>
              <w:gridCol w:w="5245"/>
            </w:tblGrid>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CA</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The Court of Appeal</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CFA</w:t>
                  </w:r>
                </w:p>
              </w:tc>
              <w:tc>
                <w:tcPr>
                  <w:tcW w:w="527" w:type="dxa"/>
                </w:tcPr>
                <w:p w:rsidR="00FC0D2C" w:rsidRPr="00027169"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76F09">
                    <w:rPr>
                      <w:rFonts w:ascii="Arial" w:hAnsi="Arial" w:cs="Arial"/>
                      <w:szCs w:val="24"/>
                      <w:lang w:val="en-GB"/>
                    </w:rPr>
                    <w:t>The Court of Final Appeal</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CFI</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The Court of First Instance</w:t>
                  </w:r>
                </w:p>
              </w:tc>
            </w:tr>
            <w:tr w:rsidR="000B2634" w:rsidRPr="00FC0D2C" w:rsidTr="008813DE">
              <w:tc>
                <w:tcPr>
                  <w:tcW w:w="2303" w:type="dxa"/>
                </w:tcPr>
                <w:p w:rsidR="000B2634" w:rsidRPr="00FC0D2C" w:rsidRDefault="000B2634">
                  <w:pPr>
                    <w:spacing w:afterLines="50" w:after="180"/>
                    <w:jc w:val="both"/>
                    <w:rPr>
                      <w:rFonts w:ascii="Arial" w:hAnsi="Arial" w:cs="Arial"/>
                      <w:szCs w:val="24"/>
                    </w:rPr>
                  </w:pPr>
                  <w:r>
                    <w:rPr>
                      <w:rFonts w:ascii="Arial" w:hAnsi="Arial" w:cs="Arial"/>
                      <w:szCs w:val="24"/>
                    </w:rPr>
                    <w:t>CRC</w:t>
                  </w:r>
                </w:p>
              </w:tc>
              <w:tc>
                <w:tcPr>
                  <w:tcW w:w="527" w:type="dxa"/>
                </w:tcPr>
                <w:p w:rsidR="000B2634" w:rsidRPr="00FC0D2C" w:rsidRDefault="000B2634">
                  <w:pPr>
                    <w:spacing w:afterLines="50" w:after="180"/>
                    <w:jc w:val="both"/>
                    <w:rPr>
                      <w:rFonts w:ascii="Arial" w:hAnsi="Arial" w:cs="Arial"/>
                      <w:szCs w:val="24"/>
                      <w:lang w:val="en-GB"/>
                    </w:rPr>
                  </w:pPr>
                </w:p>
              </w:tc>
              <w:tc>
                <w:tcPr>
                  <w:tcW w:w="5245" w:type="dxa"/>
                </w:tcPr>
                <w:p w:rsidR="000B2634" w:rsidRPr="00FC0D2C" w:rsidRDefault="000B2634">
                  <w:pPr>
                    <w:spacing w:afterLines="50" w:after="180"/>
                    <w:jc w:val="both"/>
                    <w:rPr>
                      <w:rFonts w:ascii="Arial" w:hAnsi="Arial" w:cs="Arial"/>
                      <w:szCs w:val="24"/>
                      <w:lang w:val="en-GB"/>
                    </w:rPr>
                  </w:pPr>
                  <w:r w:rsidRPr="0028108F">
                    <w:rPr>
                      <w:rFonts w:ascii="Arial" w:hAnsi="Arial" w:cs="Arial"/>
                      <w:szCs w:val="24"/>
                      <w:lang w:val="en-GB"/>
                    </w:rPr>
                    <w:t>Convention on the Rights of the Child</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DSM-5</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Diagnostic and Statistical Manual of Mental Disorders</w:t>
                  </w:r>
                  <w:r w:rsidR="009C3B8F">
                    <w:rPr>
                      <w:rFonts w:ascii="Arial" w:hAnsi="Arial" w:cs="Arial"/>
                      <w:szCs w:val="24"/>
                      <w:lang w:val="en-GB"/>
                    </w:rPr>
                    <w:t>, Fifth Edition</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ECHR</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European Convention on Human Rights</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ECtHR</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European Court of Human Rights</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GI Act</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11B86" w:rsidP="00C65C78">
                  <w:pPr>
                    <w:spacing w:afterLines="50" w:after="180"/>
                    <w:jc w:val="both"/>
                    <w:rPr>
                      <w:rFonts w:ascii="Arial" w:hAnsi="Arial" w:cs="Arial"/>
                      <w:szCs w:val="24"/>
                    </w:rPr>
                  </w:pPr>
                  <w:r w:rsidRPr="0028108F">
                    <w:rPr>
                      <w:rFonts w:ascii="Arial" w:hAnsi="Arial" w:cs="Arial"/>
                      <w:szCs w:val="24"/>
                      <w:lang w:val="en-GB"/>
                    </w:rPr>
                    <w:t>Births, Deaths and Marriages Registration</w:t>
                  </w:r>
                  <w:r w:rsidRPr="00FC0D2C">
                    <w:rPr>
                      <w:rFonts w:ascii="Arial" w:hAnsi="Arial" w:cs="Arial"/>
                      <w:szCs w:val="24"/>
                      <w:lang w:val="en-GB"/>
                    </w:rPr>
                    <w:t xml:space="preserve"> </w:t>
                  </w:r>
                  <w:r w:rsidR="00FC0D2C" w:rsidRPr="00FC0D2C">
                    <w:rPr>
                      <w:rFonts w:ascii="Arial" w:hAnsi="Arial" w:cs="Arial"/>
                      <w:szCs w:val="24"/>
                      <w:lang w:val="en-GB"/>
                    </w:rPr>
                    <w:t>Act</w:t>
                  </w:r>
                  <w:r>
                    <w:rPr>
                      <w:rFonts w:ascii="Arial" w:hAnsi="Arial" w:cs="Arial" w:hint="eastAsia"/>
                      <w:szCs w:val="24"/>
                      <w:lang w:val="en-GB"/>
                    </w:rPr>
                    <w:t xml:space="preserve"> </w:t>
                  </w:r>
                  <w:r w:rsidR="00C65C78">
                    <w:rPr>
                      <w:rFonts w:ascii="Arial" w:hAnsi="Arial" w:cs="Arial" w:hint="eastAsia"/>
                      <w:szCs w:val="24"/>
                      <w:lang w:val="en-GB"/>
                    </w:rPr>
                    <w:t xml:space="preserve">2017 </w:t>
                  </w:r>
                  <w:r>
                    <w:rPr>
                      <w:rFonts w:ascii="Arial" w:hAnsi="Arial" w:cs="Arial" w:hint="eastAsia"/>
                      <w:szCs w:val="24"/>
                      <w:lang w:val="en-GB"/>
                    </w:rPr>
                    <w:t>(</w:t>
                  </w:r>
                  <w:r w:rsidRPr="0028108F">
                    <w:rPr>
                      <w:rFonts w:ascii="Arial" w:hAnsi="Arial" w:cs="Arial"/>
                      <w:szCs w:val="24"/>
                      <w:lang w:val="en-GB"/>
                    </w:rPr>
                    <w:t>South Australia</w:t>
                  </w:r>
                  <w:r>
                    <w:rPr>
                      <w:rFonts w:ascii="Arial" w:hAnsi="Arial" w:cs="Arial" w:hint="eastAsia"/>
                      <w:szCs w:val="24"/>
                      <w:lang w:val="en-GB"/>
                    </w:rPr>
                    <w:t>)</w:t>
                  </w:r>
                </w:p>
              </w:tc>
            </w:tr>
            <w:tr w:rsidR="007E329F" w:rsidRPr="00FC0D2C" w:rsidTr="008813DE">
              <w:tc>
                <w:tcPr>
                  <w:tcW w:w="2303" w:type="dxa"/>
                </w:tcPr>
                <w:p w:rsidR="007E329F" w:rsidRPr="00FC0D2C" w:rsidRDefault="007E329F" w:rsidP="008813DE">
                  <w:pPr>
                    <w:spacing w:afterLines="50" w:after="180"/>
                    <w:jc w:val="both"/>
                    <w:rPr>
                      <w:rFonts w:ascii="Arial" w:hAnsi="Arial" w:cs="Arial"/>
                      <w:szCs w:val="24"/>
                    </w:rPr>
                  </w:pPr>
                  <w:r>
                    <w:rPr>
                      <w:rFonts w:ascii="Arial" w:hAnsi="Arial" w:cs="Arial" w:hint="eastAsia"/>
                      <w:szCs w:val="24"/>
                    </w:rPr>
                    <w:t>GIL</w:t>
                  </w:r>
                </w:p>
              </w:tc>
              <w:tc>
                <w:tcPr>
                  <w:tcW w:w="527" w:type="dxa"/>
                </w:tcPr>
                <w:p w:rsidR="007E329F" w:rsidRPr="00FC0D2C" w:rsidRDefault="007E329F" w:rsidP="008813DE">
                  <w:pPr>
                    <w:spacing w:afterLines="50" w:after="180"/>
                    <w:jc w:val="both"/>
                    <w:rPr>
                      <w:rFonts w:ascii="Arial" w:hAnsi="Arial" w:cs="Arial"/>
                      <w:szCs w:val="24"/>
                      <w:lang w:val="en-GB"/>
                    </w:rPr>
                  </w:pPr>
                </w:p>
              </w:tc>
              <w:tc>
                <w:tcPr>
                  <w:tcW w:w="5245" w:type="dxa"/>
                </w:tcPr>
                <w:p w:rsidR="007E329F" w:rsidRPr="0028108F" w:rsidRDefault="007E329F" w:rsidP="008813DE">
                  <w:pPr>
                    <w:spacing w:afterLines="50" w:after="180"/>
                    <w:jc w:val="both"/>
                    <w:rPr>
                      <w:rFonts w:ascii="Arial" w:hAnsi="Arial" w:cs="Arial"/>
                      <w:szCs w:val="24"/>
                      <w:lang w:val="en-GB"/>
                    </w:rPr>
                  </w:pPr>
                  <w:r w:rsidRPr="0028108F">
                    <w:rPr>
                      <w:rFonts w:ascii="Arial" w:hAnsi="Arial" w:cs="Arial"/>
                      <w:i/>
                      <w:kern w:val="0"/>
                      <w:szCs w:val="24"/>
                      <w:lang w:val="en-GB"/>
                    </w:rPr>
                    <w:t>Ley de Identitdad de Género</w:t>
                  </w:r>
                  <w:r w:rsidRPr="0028108F">
                    <w:rPr>
                      <w:rFonts w:ascii="Arial" w:hAnsi="Arial" w:cs="Arial"/>
                      <w:kern w:val="0"/>
                      <w:szCs w:val="24"/>
                      <w:lang w:val="en-GB"/>
                    </w:rPr>
                    <w:t xml:space="preserve"> (Gender Identity Law) (</w:t>
                  </w:r>
                  <w:r>
                    <w:rPr>
                      <w:rFonts w:ascii="Arial" w:hAnsi="Arial" w:cs="Arial" w:hint="eastAsia"/>
                      <w:kern w:val="0"/>
                      <w:szCs w:val="24"/>
                      <w:lang w:val="en-GB"/>
                    </w:rPr>
                    <w:t>Argentina</w:t>
                  </w:r>
                  <w:r w:rsidRPr="0028108F">
                    <w:rPr>
                      <w:rFonts w:ascii="Arial" w:hAnsi="Arial" w:cs="Arial"/>
                      <w:kern w:val="0"/>
                      <w:szCs w:val="24"/>
                      <w:lang w:val="en-GB"/>
                    </w:rPr>
                    <w:t>)</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GRA</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Gender Recognition Act</w:t>
                  </w:r>
                  <w:r w:rsidR="00F11B86">
                    <w:rPr>
                      <w:rFonts w:ascii="Arial" w:hAnsi="Arial" w:cs="Arial" w:hint="eastAsia"/>
                      <w:szCs w:val="24"/>
                      <w:lang w:val="en-GB"/>
                    </w:rPr>
                    <w:t xml:space="preserve"> 2004 (United Kingdom)</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GRC</w:t>
                  </w:r>
                </w:p>
              </w:tc>
              <w:tc>
                <w:tcPr>
                  <w:tcW w:w="527" w:type="dxa"/>
                </w:tcPr>
                <w:p w:rsidR="00FC0D2C" w:rsidRPr="00FC0D2C" w:rsidRDefault="00FC0D2C" w:rsidP="008813DE">
                  <w:pPr>
                    <w:spacing w:afterLines="50" w:after="180"/>
                    <w:jc w:val="both"/>
                    <w:rPr>
                      <w:rFonts w:ascii="Arial" w:hAnsi="Arial" w:cs="Arial"/>
                      <w:color w:val="000000"/>
                      <w:kern w:val="0"/>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color w:val="000000"/>
                      <w:kern w:val="0"/>
                      <w:szCs w:val="24"/>
                      <w:lang w:val="en-GB"/>
                    </w:rPr>
                    <w:t>Gender Recognition Certificate</w:t>
                  </w:r>
                  <w:r w:rsidR="007E329F">
                    <w:rPr>
                      <w:rFonts w:ascii="Arial" w:hAnsi="Arial" w:cs="Arial" w:hint="eastAsia"/>
                      <w:color w:val="000000"/>
                      <w:kern w:val="0"/>
                      <w:szCs w:val="24"/>
                      <w:lang w:val="en-GB"/>
                    </w:rPr>
                    <w:t xml:space="preserve"> (United Kingdom)</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GRP</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Gender Recognition Panel</w:t>
                  </w:r>
                  <w:r w:rsidR="007E329F">
                    <w:rPr>
                      <w:rFonts w:ascii="Arial" w:hAnsi="Arial" w:cs="Arial" w:hint="eastAsia"/>
                      <w:szCs w:val="24"/>
                      <w:lang w:val="en-GB"/>
                    </w:rPr>
                    <w:t xml:space="preserve"> (United Kingdom)</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GRR</w:t>
                  </w:r>
                </w:p>
              </w:tc>
              <w:tc>
                <w:tcPr>
                  <w:tcW w:w="527" w:type="dxa"/>
                </w:tcPr>
                <w:p w:rsidR="00FC0D2C" w:rsidRPr="00FC0D2C" w:rsidRDefault="00FC0D2C" w:rsidP="008813DE">
                  <w:pPr>
                    <w:spacing w:afterLines="50" w:after="180"/>
                    <w:jc w:val="both"/>
                    <w:rPr>
                      <w:rFonts w:ascii="Arial" w:hAnsi="Arial" w:cs="Arial"/>
                      <w:color w:val="000000"/>
                      <w:kern w:val="0"/>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color w:val="000000"/>
                      <w:kern w:val="0"/>
                      <w:szCs w:val="24"/>
                      <w:lang w:val="en-GB"/>
                    </w:rPr>
                    <w:t>Gender Recognition Register</w:t>
                  </w:r>
                  <w:r w:rsidR="007E329F">
                    <w:rPr>
                      <w:rFonts w:ascii="Arial" w:hAnsi="Arial" w:cs="Arial" w:hint="eastAsia"/>
                      <w:color w:val="000000"/>
                      <w:kern w:val="0"/>
                      <w:szCs w:val="24"/>
                      <w:lang w:val="en-GB"/>
                    </w:rPr>
                    <w:t xml:space="preserve"> (United Kingdom)</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HA</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Hospital Authority</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HKBOR</w:t>
                  </w:r>
                </w:p>
              </w:tc>
              <w:tc>
                <w:tcPr>
                  <w:tcW w:w="527" w:type="dxa"/>
                </w:tcPr>
                <w:p w:rsidR="00FC0D2C" w:rsidRPr="00FC0D2C" w:rsidRDefault="00FC0D2C" w:rsidP="008813DE">
                  <w:pPr>
                    <w:spacing w:afterLines="50" w:after="180"/>
                    <w:jc w:val="both"/>
                    <w:rPr>
                      <w:rFonts w:ascii="Arial" w:hAnsi="Arial" w:cs="Arial"/>
                      <w:kern w:val="0"/>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kern w:val="0"/>
                      <w:szCs w:val="24"/>
                      <w:lang w:val="en-GB"/>
                    </w:rPr>
                    <w:t>Hong Kong Bill of Rights</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HKIC</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Hong Kong Identity Card</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 xml:space="preserve">ICCPR </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International Covenant on Civil and Political Rights</w:t>
                  </w:r>
                </w:p>
              </w:tc>
            </w:tr>
            <w:tr w:rsidR="00020C2E" w:rsidRPr="00FC0D2C" w:rsidTr="008813DE">
              <w:tc>
                <w:tcPr>
                  <w:tcW w:w="2303" w:type="dxa"/>
                </w:tcPr>
                <w:p w:rsidR="00020C2E" w:rsidRPr="00FC0D2C" w:rsidRDefault="00020C2E" w:rsidP="008813DE">
                  <w:pPr>
                    <w:spacing w:afterLines="50" w:after="180"/>
                    <w:jc w:val="both"/>
                    <w:rPr>
                      <w:rFonts w:ascii="Arial" w:hAnsi="Arial" w:cs="Arial"/>
                      <w:szCs w:val="24"/>
                    </w:rPr>
                  </w:pPr>
                  <w:r>
                    <w:rPr>
                      <w:rFonts w:ascii="Arial" w:hAnsi="Arial" w:cs="Arial" w:hint="eastAsia"/>
                      <w:szCs w:val="24"/>
                    </w:rPr>
                    <w:t>ICD-10</w:t>
                  </w:r>
                </w:p>
              </w:tc>
              <w:tc>
                <w:tcPr>
                  <w:tcW w:w="527" w:type="dxa"/>
                </w:tcPr>
                <w:p w:rsidR="00020C2E" w:rsidRPr="00FC0D2C" w:rsidRDefault="00020C2E" w:rsidP="008813DE">
                  <w:pPr>
                    <w:spacing w:afterLines="50" w:after="180"/>
                    <w:jc w:val="both"/>
                    <w:rPr>
                      <w:rFonts w:ascii="Arial" w:hAnsi="Arial" w:cs="Arial"/>
                      <w:szCs w:val="24"/>
                      <w:lang w:val="en-GB"/>
                    </w:rPr>
                  </w:pPr>
                </w:p>
              </w:tc>
              <w:tc>
                <w:tcPr>
                  <w:tcW w:w="5245" w:type="dxa"/>
                </w:tcPr>
                <w:p w:rsidR="00020C2E" w:rsidRPr="00FC0D2C" w:rsidRDefault="00D70227" w:rsidP="008813DE">
                  <w:pPr>
                    <w:spacing w:afterLines="50" w:after="180"/>
                    <w:jc w:val="both"/>
                    <w:rPr>
                      <w:rFonts w:ascii="Arial" w:hAnsi="Arial" w:cs="Arial"/>
                      <w:szCs w:val="24"/>
                      <w:lang w:val="en-GB"/>
                    </w:rPr>
                  </w:pPr>
                  <w:r>
                    <w:rPr>
                      <w:rFonts w:ascii="Arial" w:hAnsi="Arial" w:cs="Arial"/>
                      <w:szCs w:val="24"/>
                      <w:lang w:val="en-GB"/>
                    </w:rPr>
                    <w:t xml:space="preserve">International Statistical </w:t>
                  </w:r>
                  <w:r w:rsidR="00020C2E" w:rsidRPr="008813DE">
                    <w:rPr>
                      <w:rFonts w:ascii="Arial" w:hAnsi="Arial" w:cs="Arial"/>
                      <w:szCs w:val="24"/>
                      <w:lang w:val="en-GB"/>
                    </w:rPr>
                    <w:t xml:space="preserve">Classification of </w:t>
                  </w:r>
                  <w:r>
                    <w:rPr>
                      <w:rFonts w:ascii="Arial" w:hAnsi="Arial" w:cs="Arial"/>
                      <w:szCs w:val="24"/>
                      <w:lang w:val="en-GB"/>
                    </w:rPr>
                    <w:t>Diseases and Related Health Problems (10</w:t>
                  </w:r>
                  <w:r w:rsidR="00F63566">
                    <w:rPr>
                      <w:rFonts w:ascii="Arial" w:hAnsi="Arial" w:cs="Arial"/>
                      <w:szCs w:val="24"/>
                      <w:lang w:val="en-GB"/>
                    </w:rPr>
                    <w:t>th Revision</w:t>
                  </w:r>
                  <w:r>
                    <w:rPr>
                      <w:rFonts w:ascii="Arial" w:hAnsi="Arial" w:cs="Arial"/>
                      <w:szCs w:val="24"/>
                      <w:lang w:val="en-GB"/>
                    </w:rPr>
                    <w:t>)</w:t>
                  </w:r>
                </w:p>
              </w:tc>
            </w:tr>
            <w:tr w:rsidR="007E329F" w:rsidRPr="00FC0D2C" w:rsidTr="008813DE">
              <w:tc>
                <w:tcPr>
                  <w:tcW w:w="2303" w:type="dxa"/>
                </w:tcPr>
                <w:p w:rsidR="007E329F" w:rsidRPr="00FC0D2C" w:rsidRDefault="007E329F" w:rsidP="008813DE">
                  <w:pPr>
                    <w:spacing w:afterLines="50" w:after="180"/>
                    <w:jc w:val="both"/>
                    <w:rPr>
                      <w:rFonts w:ascii="Arial" w:hAnsi="Arial" w:cs="Arial"/>
                      <w:szCs w:val="24"/>
                    </w:rPr>
                  </w:pPr>
                  <w:r w:rsidRPr="007E329F">
                    <w:rPr>
                      <w:rFonts w:ascii="Arial" w:hAnsi="Arial" w:cs="Arial"/>
                      <w:szCs w:val="24"/>
                    </w:rPr>
                    <w:lastRenderedPageBreak/>
                    <w:t>Icelandic GID Act</w:t>
                  </w:r>
                </w:p>
              </w:tc>
              <w:tc>
                <w:tcPr>
                  <w:tcW w:w="527" w:type="dxa"/>
                </w:tcPr>
                <w:p w:rsidR="007E329F" w:rsidRPr="00FC0D2C" w:rsidRDefault="007E329F" w:rsidP="008813DE">
                  <w:pPr>
                    <w:spacing w:afterLines="50" w:after="180"/>
                    <w:jc w:val="both"/>
                    <w:rPr>
                      <w:rFonts w:ascii="Arial" w:hAnsi="Arial" w:cs="Arial"/>
                      <w:szCs w:val="24"/>
                      <w:lang w:val="en-GB"/>
                    </w:rPr>
                  </w:pPr>
                </w:p>
              </w:tc>
              <w:tc>
                <w:tcPr>
                  <w:tcW w:w="5245" w:type="dxa"/>
                </w:tcPr>
                <w:p w:rsidR="007E329F" w:rsidRPr="00FC0D2C" w:rsidRDefault="00D70227" w:rsidP="008813DE">
                  <w:pPr>
                    <w:spacing w:afterLines="50" w:after="180"/>
                    <w:jc w:val="both"/>
                    <w:rPr>
                      <w:rFonts w:ascii="Arial" w:hAnsi="Arial" w:cs="Arial"/>
                      <w:szCs w:val="24"/>
                      <w:lang w:val="en-GB"/>
                    </w:rPr>
                  </w:pPr>
                  <w:r>
                    <w:rPr>
                      <w:rFonts w:ascii="Arial" w:hAnsi="Arial" w:cs="Arial"/>
                      <w:szCs w:val="24"/>
                      <w:lang w:val="en-GB"/>
                    </w:rPr>
                    <w:t>T</w:t>
                  </w:r>
                  <w:r w:rsidR="007E329F" w:rsidRPr="0028108F">
                    <w:rPr>
                      <w:rFonts w:ascii="Arial" w:hAnsi="Arial" w:cs="Arial"/>
                      <w:szCs w:val="24"/>
                      <w:lang w:val="en-GB"/>
                    </w:rPr>
                    <w:t>he Act on the legal status of individuals with gender identity disorder No. 57/2012 (</w:t>
                  </w:r>
                  <w:r w:rsidR="007E329F">
                    <w:rPr>
                      <w:rFonts w:ascii="Arial" w:hAnsi="Arial" w:cs="Arial" w:hint="eastAsia"/>
                      <w:szCs w:val="24"/>
                      <w:lang w:val="en-GB"/>
                    </w:rPr>
                    <w:t>Iceland</w:t>
                  </w:r>
                  <w:r w:rsidR="007E329F" w:rsidRPr="0028108F">
                    <w:rPr>
                      <w:rFonts w:ascii="Arial" w:hAnsi="Arial" w:cs="Arial"/>
                      <w:szCs w:val="24"/>
                      <w:lang w:val="en-GB"/>
                    </w:rPr>
                    <w:t>)</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ICESCR</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International Covenant on Economic, Social and Cultural Rights</w:t>
                  </w:r>
                </w:p>
              </w:tc>
            </w:tr>
            <w:tr w:rsidR="00F11B86" w:rsidRPr="00FC0D2C" w:rsidTr="008813DE">
              <w:tc>
                <w:tcPr>
                  <w:tcW w:w="2303" w:type="dxa"/>
                </w:tcPr>
                <w:p w:rsidR="00FC0D2C" w:rsidRPr="008813DE" w:rsidRDefault="00FC0D2C" w:rsidP="008813DE">
                  <w:pPr>
                    <w:spacing w:afterLines="50" w:after="180"/>
                    <w:ind w:left="67" w:hangingChars="28" w:hanging="67"/>
                    <w:jc w:val="both"/>
                    <w:rPr>
                      <w:rFonts w:ascii="Arial" w:hAnsi="Arial" w:cs="Arial"/>
                      <w:szCs w:val="24"/>
                    </w:rPr>
                  </w:pPr>
                  <w:r w:rsidRPr="008813DE">
                    <w:rPr>
                      <w:rFonts w:ascii="Arial" w:hAnsi="Arial" w:cs="Arial"/>
                      <w:szCs w:val="24"/>
                    </w:rPr>
                    <w:t>IWG</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The Inter-departmental Working Group on Gender Recognition</w:t>
                  </w:r>
                </w:p>
              </w:tc>
            </w:tr>
            <w:tr w:rsidR="007E329F" w:rsidRPr="00FC0D2C" w:rsidTr="008813DE">
              <w:tc>
                <w:tcPr>
                  <w:tcW w:w="2303" w:type="dxa"/>
                </w:tcPr>
                <w:p w:rsidR="007E329F" w:rsidRPr="00FC0D2C" w:rsidRDefault="007E329F" w:rsidP="008813DE">
                  <w:pPr>
                    <w:spacing w:afterLines="50" w:after="180"/>
                    <w:ind w:left="67" w:hangingChars="28" w:hanging="67"/>
                    <w:jc w:val="both"/>
                    <w:rPr>
                      <w:rFonts w:ascii="Arial" w:hAnsi="Arial" w:cs="Arial"/>
                      <w:szCs w:val="24"/>
                    </w:rPr>
                  </w:pPr>
                  <w:r w:rsidRPr="007E329F">
                    <w:rPr>
                      <w:rFonts w:ascii="Arial" w:hAnsi="Arial" w:cs="Arial"/>
                      <w:szCs w:val="24"/>
                    </w:rPr>
                    <w:t>Japanese GID Act</w:t>
                  </w:r>
                </w:p>
              </w:tc>
              <w:tc>
                <w:tcPr>
                  <w:tcW w:w="527" w:type="dxa"/>
                </w:tcPr>
                <w:p w:rsidR="007E329F" w:rsidRPr="00FC0D2C" w:rsidRDefault="007E329F" w:rsidP="008813DE">
                  <w:pPr>
                    <w:spacing w:afterLines="50" w:after="180"/>
                    <w:jc w:val="both"/>
                    <w:rPr>
                      <w:rFonts w:ascii="Arial" w:hAnsi="Arial" w:cs="Arial"/>
                      <w:szCs w:val="24"/>
                      <w:lang w:val="en-GB"/>
                    </w:rPr>
                  </w:pPr>
                </w:p>
              </w:tc>
              <w:tc>
                <w:tcPr>
                  <w:tcW w:w="5245" w:type="dxa"/>
                </w:tcPr>
                <w:p w:rsidR="007E329F" w:rsidRPr="00FC0D2C" w:rsidRDefault="00D70227" w:rsidP="008813DE">
                  <w:pPr>
                    <w:spacing w:afterLines="50" w:after="180"/>
                    <w:jc w:val="both"/>
                    <w:rPr>
                      <w:rFonts w:ascii="Arial" w:hAnsi="Arial" w:cs="Arial"/>
                      <w:szCs w:val="24"/>
                      <w:lang w:val="en-GB"/>
                    </w:rPr>
                  </w:pPr>
                  <w:r>
                    <w:rPr>
                      <w:rFonts w:ascii="Arial" w:hAnsi="Arial" w:cs="Arial"/>
                      <w:szCs w:val="24"/>
                      <w:lang w:val="en-GB"/>
                    </w:rPr>
                    <w:t xml:space="preserve">The </w:t>
                  </w:r>
                  <w:r w:rsidR="007E329F" w:rsidRPr="0028108F">
                    <w:rPr>
                      <w:rFonts w:ascii="Arial" w:hAnsi="Arial" w:cs="Arial"/>
                      <w:szCs w:val="24"/>
                      <w:lang w:val="en-GB"/>
                    </w:rPr>
                    <w:t>Act on Special Cases in Handling Gender for People with Gender Identity Disorder</w:t>
                  </w:r>
                  <w:r w:rsidR="007E329F">
                    <w:rPr>
                      <w:rFonts w:ascii="Arial" w:hAnsi="Arial" w:cs="Arial" w:hint="eastAsia"/>
                      <w:i/>
                      <w:szCs w:val="24"/>
                      <w:lang w:val="en-GB"/>
                    </w:rPr>
                    <w:t xml:space="preserve"> </w:t>
                  </w:r>
                  <w:r w:rsidR="007E329F" w:rsidRPr="008813DE">
                    <w:rPr>
                      <w:rFonts w:ascii="Arial" w:hAnsi="Arial" w:cs="Arial"/>
                      <w:szCs w:val="24"/>
                      <w:lang w:val="en-GB"/>
                    </w:rPr>
                    <w:t>(Japan)</w:t>
                  </w:r>
                </w:p>
              </w:tc>
            </w:tr>
            <w:tr w:rsidR="00D3262B" w:rsidRPr="00FC0D2C" w:rsidTr="008813DE">
              <w:tc>
                <w:tcPr>
                  <w:tcW w:w="2303" w:type="dxa"/>
                </w:tcPr>
                <w:p w:rsidR="00D3262B" w:rsidRPr="007E329F" w:rsidRDefault="00D3262B" w:rsidP="00020C2E">
                  <w:pPr>
                    <w:spacing w:afterLines="50" w:after="180"/>
                    <w:ind w:left="67" w:hangingChars="28" w:hanging="67"/>
                    <w:jc w:val="both"/>
                    <w:rPr>
                      <w:rFonts w:ascii="Arial" w:hAnsi="Arial" w:cs="Arial"/>
                      <w:szCs w:val="24"/>
                    </w:rPr>
                  </w:pPr>
                  <w:r>
                    <w:rPr>
                      <w:rFonts w:ascii="Arial" w:hAnsi="Arial" w:cs="Arial" w:hint="eastAsia"/>
                      <w:szCs w:val="24"/>
                    </w:rPr>
                    <w:t>LGBTI</w:t>
                  </w:r>
                </w:p>
              </w:tc>
              <w:tc>
                <w:tcPr>
                  <w:tcW w:w="527" w:type="dxa"/>
                </w:tcPr>
                <w:p w:rsidR="00D3262B" w:rsidRPr="00FC0D2C" w:rsidRDefault="00D3262B" w:rsidP="00020C2E">
                  <w:pPr>
                    <w:spacing w:afterLines="50" w:after="180"/>
                    <w:jc w:val="both"/>
                    <w:rPr>
                      <w:rFonts w:ascii="Arial" w:hAnsi="Arial" w:cs="Arial"/>
                      <w:szCs w:val="24"/>
                      <w:lang w:val="en-GB"/>
                    </w:rPr>
                  </w:pPr>
                </w:p>
              </w:tc>
              <w:tc>
                <w:tcPr>
                  <w:tcW w:w="5245" w:type="dxa"/>
                </w:tcPr>
                <w:p w:rsidR="00D3262B" w:rsidRPr="0028108F" w:rsidRDefault="00D70227">
                  <w:pPr>
                    <w:spacing w:afterLines="50" w:after="180"/>
                    <w:jc w:val="both"/>
                    <w:rPr>
                      <w:rFonts w:ascii="Arial" w:hAnsi="Arial" w:cs="Arial"/>
                      <w:szCs w:val="24"/>
                      <w:lang w:val="en-GB"/>
                    </w:rPr>
                  </w:pPr>
                  <w:r>
                    <w:rPr>
                      <w:rFonts w:ascii="Arial" w:hAnsi="Arial" w:cs="Arial"/>
                      <w:szCs w:val="24"/>
                      <w:lang w:val="en-GB"/>
                    </w:rPr>
                    <w:t>L</w:t>
                  </w:r>
                  <w:r w:rsidR="00D3262B" w:rsidRPr="0028108F">
                    <w:rPr>
                      <w:rFonts w:ascii="Arial" w:hAnsi="Arial" w:cs="Arial"/>
                      <w:szCs w:val="24"/>
                      <w:lang w:val="en-GB"/>
                    </w:rPr>
                    <w:t>esbian, gay, bisexual, transgender and intersex</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MCO</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Matrimonial Causes Ordinance</w:t>
                  </w:r>
                  <w:r w:rsidR="00F11B86">
                    <w:rPr>
                      <w:rFonts w:ascii="Arial" w:hAnsi="Arial" w:cs="Arial" w:hint="eastAsia"/>
                      <w:szCs w:val="24"/>
                      <w:lang w:val="en-GB"/>
                    </w:rPr>
                    <w:t xml:space="preserve"> (Cap 179)</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MO</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Marriage Ordinance</w:t>
                  </w:r>
                  <w:r w:rsidR="00F11B86">
                    <w:rPr>
                      <w:rFonts w:ascii="Arial" w:hAnsi="Arial" w:cs="Arial" w:hint="eastAsia"/>
                      <w:szCs w:val="24"/>
                      <w:lang w:val="en-GB"/>
                    </w:rPr>
                    <w:t xml:space="preserve"> (Cap 181)</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NRIC</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National Registration Identity Card</w:t>
                  </w:r>
                  <w:r w:rsidR="007E329F">
                    <w:rPr>
                      <w:rFonts w:ascii="Arial" w:hAnsi="Arial" w:cs="Arial" w:hint="eastAsia"/>
                      <w:szCs w:val="24"/>
                      <w:lang w:val="en-GB"/>
                    </w:rPr>
                    <w:t xml:space="preserve"> (Singapore)</w:t>
                  </w:r>
                </w:p>
              </w:tc>
            </w:tr>
            <w:tr w:rsidR="006F091F" w:rsidRPr="00FC0D2C" w:rsidTr="008813DE">
              <w:tc>
                <w:tcPr>
                  <w:tcW w:w="2303" w:type="dxa"/>
                </w:tcPr>
                <w:p w:rsidR="006F091F" w:rsidRPr="00FC0D2C" w:rsidRDefault="006F091F">
                  <w:pPr>
                    <w:spacing w:afterLines="50" w:after="180"/>
                    <w:jc w:val="both"/>
                    <w:rPr>
                      <w:rFonts w:ascii="Arial" w:hAnsi="Arial" w:cs="Arial"/>
                      <w:szCs w:val="24"/>
                    </w:rPr>
                  </w:pPr>
                  <w:r>
                    <w:rPr>
                      <w:rFonts w:ascii="Arial" w:hAnsi="Arial" w:cs="Arial"/>
                      <w:szCs w:val="24"/>
                    </w:rPr>
                    <w:t>SOPCs</w:t>
                  </w:r>
                </w:p>
              </w:tc>
              <w:tc>
                <w:tcPr>
                  <w:tcW w:w="527" w:type="dxa"/>
                </w:tcPr>
                <w:p w:rsidR="006F091F" w:rsidRPr="00FC0D2C" w:rsidRDefault="006F091F">
                  <w:pPr>
                    <w:spacing w:afterLines="50" w:after="180"/>
                    <w:jc w:val="both"/>
                    <w:rPr>
                      <w:rFonts w:ascii="Arial" w:hAnsi="Arial" w:cs="Arial"/>
                      <w:szCs w:val="24"/>
                      <w:lang w:val="en-GB"/>
                    </w:rPr>
                  </w:pPr>
                </w:p>
              </w:tc>
              <w:tc>
                <w:tcPr>
                  <w:tcW w:w="5245" w:type="dxa"/>
                </w:tcPr>
                <w:p w:rsidR="006F091F" w:rsidRPr="00FC0D2C" w:rsidRDefault="006F091F">
                  <w:pPr>
                    <w:spacing w:afterLines="50" w:after="180"/>
                    <w:jc w:val="both"/>
                    <w:rPr>
                      <w:rFonts w:ascii="Arial" w:hAnsi="Arial" w:cs="Arial"/>
                      <w:szCs w:val="24"/>
                      <w:lang w:val="en-GB"/>
                    </w:rPr>
                  </w:pPr>
                  <w:r w:rsidRPr="0028108F">
                    <w:rPr>
                      <w:rFonts w:ascii="Arial" w:hAnsi="Arial" w:cs="Arial"/>
                      <w:szCs w:val="24"/>
                      <w:lang w:val="en-GB"/>
                    </w:rPr>
                    <w:t>Specialist Outpatient Clinics</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SRS</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Sex Reassignment Surgery</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The Team</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National University Hospital Gender Identity Disorder Team</w:t>
                  </w:r>
                  <w:r w:rsidR="00D3262B">
                    <w:rPr>
                      <w:rFonts w:ascii="Arial" w:hAnsi="Arial" w:cs="Arial" w:hint="eastAsia"/>
                      <w:szCs w:val="24"/>
                      <w:lang w:val="en-GB"/>
                    </w:rPr>
                    <w:t xml:space="preserve"> (Iceland)</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US</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United States</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i/>
                      <w:szCs w:val="24"/>
                    </w:rPr>
                    <w:t>W</w:t>
                  </w:r>
                  <w:r w:rsidRPr="008813DE">
                    <w:rPr>
                      <w:rFonts w:ascii="Arial" w:hAnsi="Arial" w:cs="Arial"/>
                      <w:szCs w:val="24"/>
                    </w:rPr>
                    <w:t>’s case</w:t>
                  </w:r>
                </w:p>
              </w:tc>
              <w:tc>
                <w:tcPr>
                  <w:tcW w:w="527" w:type="dxa"/>
                </w:tcPr>
                <w:p w:rsidR="00FC0D2C" w:rsidRPr="00027169"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8813DE">
                    <w:rPr>
                      <w:rFonts w:ascii="Arial" w:hAnsi="Arial" w:cs="Arial"/>
                      <w:i/>
                      <w:szCs w:val="24"/>
                      <w:lang w:val="en-GB"/>
                    </w:rPr>
                    <w:t>W v Registrar of Marriages</w:t>
                  </w:r>
                  <w:r w:rsidR="00D70227">
                    <w:rPr>
                      <w:rFonts w:ascii="Arial" w:hAnsi="Arial" w:cs="Arial"/>
                      <w:szCs w:val="24"/>
                      <w:lang w:val="en-GB"/>
                    </w:rPr>
                    <w:t xml:space="preserve"> (FACV 4/2012)</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WHO</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World Health Organisation</w:t>
                  </w:r>
                </w:p>
              </w:tc>
            </w:tr>
            <w:tr w:rsidR="00F11B86" w:rsidRPr="00FC0D2C" w:rsidTr="008813DE">
              <w:tc>
                <w:tcPr>
                  <w:tcW w:w="2303" w:type="dxa"/>
                </w:tcPr>
                <w:p w:rsidR="00FC0D2C" w:rsidRPr="008813DE" w:rsidRDefault="00FC0D2C" w:rsidP="008813DE">
                  <w:pPr>
                    <w:spacing w:afterLines="50" w:after="180"/>
                    <w:jc w:val="both"/>
                    <w:rPr>
                      <w:rFonts w:ascii="Arial" w:hAnsi="Arial" w:cs="Arial"/>
                      <w:szCs w:val="24"/>
                    </w:rPr>
                  </w:pPr>
                  <w:r w:rsidRPr="008813DE">
                    <w:rPr>
                      <w:rFonts w:ascii="Arial" w:hAnsi="Arial" w:cs="Arial"/>
                      <w:szCs w:val="24"/>
                    </w:rPr>
                    <w:t>WPATH</w:t>
                  </w:r>
                </w:p>
              </w:tc>
              <w:tc>
                <w:tcPr>
                  <w:tcW w:w="527" w:type="dxa"/>
                </w:tcPr>
                <w:p w:rsidR="00FC0D2C" w:rsidRPr="00FC0D2C" w:rsidRDefault="00FC0D2C" w:rsidP="008813DE">
                  <w:pPr>
                    <w:spacing w:afterLines="50" w:after="180"/>
                    <w:jc w:val="both"/>
                    <w:rPr>
                      <w:rFonts w:ascii="Arial" w:hAnsi="Arial" w:cs="Arial"/>
                      <w:szCs w:val="24"/>
                      <w:lang w:val="en-GB"/>
                    </w:rPr>
                  </w:pPr>
                </w:p>
              </w:tc>
              <w:tc>
                <w:tcPr>
                  <w:tcW w:w="5245" w:type="dxa"/>
                </w:tcPr>
                <w:p w:rsidR="00FC0D2C" w:rsidRPr="008813DE" w:rsidRDefault="00FC0D2C" w:rsidP="008813DE">
                  <w:pPr>
                    <w:spacing w:afterLines="50" w:after="180"/>
                    <w:jc w:val="both"/>
                    <w:rPr>
                      <w:rFonts w:ascii="Arial" w:hAnsi="Arial" w:cs="Arial"/>
                      <w:szCs w:val="24"/>
                    </w:rPr>
                  </w:pPr>
                  <w:r w:rsidRPr="00FC0D2C">
                    <w:rPr>
                      <w:rFonts w:ascii="Arial" w:hAnsi="Arial" w:cs="Arial"/>
                      <w:szCs w:val="24"/>
                      <w:lang w:val="en-GB"/>
                    </w:rPr>
                    <w:t>World Professional Association for Transgender Health</w:t>
                  </w:r>
                </w:p>
              </w:tc>
            </w:tr>
            <w:tr w:rsidR="00020C2E" w:rsidRPr="00FC0D2C" w:rsidTr="008813DE">
              <w:tc>
                <w:tcPr>
                  <w:tcW w:w="2303" w:type="dxa"/>
                </w:tcPr>
                <w:p w:rsidR="00020C2E" w:rsidRPr="00FC0D2C" w:rsidRDefault="00020C2E" w:rsidP="008813DE">
                  <w:pPr>
                    <w:spacing w:afterLines="50" w:after="180"/>
                    <w:jc w:val="both"/>
                    <w:rPr>
                      <w:rFonts w:ascii="Arial" w:hAnsi="Arial" w:cs="Arial"/>
                      <w:szCs w:val="24"/>
                    </w:rPr>
                  </w:pPr>
                  <w:r w:rsidRPr="00020C2E">
                    <w:rPr>
                      <w:rFonts w:ascii="Arial" w:hAnsi="Arial" w:cs="Arial"/>
                      <w:szCs w:val="24"/>
                      <w:lang w:val="en-GB"/>
                    </w:rPr>
                    <w:t>Yogyakarta Principles</w:t>
                  </w:r>
                </w:p>
              </w:tc>
              <w:tc>
                <w:tcPr>
                  <w:tcW w:w="527" w:type="dxa"/>
                </w:tcPr>
                <w:p w:rsidR="00020C2E" w:rsidRPr="00FC0D2C" w:rsidRDefault="00020C2E" w:rsidP="008813DE">
                  <w:pPr>
                    <w:spacing w:afterLines="50" w:after="180"/>
                    <w:jc w:val="both"/>
                    <w:rPr>
                      <w:rFonts w:ascii="Arial" w:hAnsi="Arial" w:cs="Arial"/>
                      <w:szCs w:val="24"/>
                      <w:lang w:val="en-GB"/>
                    </w:rPr>
                  </w:pPr>
                </w:p>
              </w:tc>
              <w:tc>
                <w:tcPr>
                  <w:tcW w:w="5245" w:type="dxa"/>
                </w:tcPr>
                <w:p w:rsidR="00020C2E" w:rsidRPr="00FC0D2C" w:rsidRDefault="00020C2E" w:rsidP="008813DE">
                  <w:pPr>
                    <w:spacing w:afterLines="50" w:after="180"/>
                    <w:jc w:val="both"/>
                    <w:rPr>
                      <w:rFonts w:ascii="Arial" w:hAnsi="Arial" w:cs="Arial"/>
                      <w:szCs w:val="24"/>
                      <w:lang w:val="en-GB"/>
                    </w:rPr>
                  </w:pPr>
                  <w:r w:rsidRPr="00020C2E">
                    <w:rPr>
                      <w:rFonts w:ascii="Arial" w:hAnsi="Arial" w:cs="Arial"/>
                      <w:szCs w:val="24"/>
                      <w:lang w:val="en-GB"/>
                    </w:rPr>
                    <w:t>Yogyakarta Principles on the Application of International Human Rights Law in relation to Sexual Orientation and Gender Identity</w:t>
                  </w:r>
                </w:p>
              </w:tc>
            </w:tr>
          </w:tbl>
          <w:p w:rsidR="008664C1" w:rsidRPr="008813DE" w:rsidRDefault="008664C1">
            <w:pPr>
              <w:widowControl/>
              <w:rPr>
                <w:rFonts w:ascii="Arial" w:hAnsi="Arial" w:cs="Arial"/>
                <w:szCs w:val="24"/>
                <w:lang w:val="en-GB"/>
              </w:rPr>
            </w:pPr>
          </w:p>
        </w:tc>
        <w:tc>
          <w:tcPr>
            <w:tcW w:w="231" w:type="dxa"/>
          </w:tcPr>
          <w:p w:rsidR="008664C1" w:rsidRPr="008813DE" w:rsidRDefault="008664C1">
            <w:pPr>
              <w:widowControl/>
              <w:rPr>
                <w:rFonts w:ascii="Arial" w:hAnsi="Arial" w:cs="Arial"/>
                <w:b/>
                <w:szCs w:val="24"/>
                <w:lang w:val="en-GB"/>
              </w:rPr>
            </w:pPr>
          </w:p>
        </w:tc>
      </w:tr>
    </w:tbl>
    <w:p w:rsidR="000E2B6B" w:rsidRDefault="000E2B6B" w:rsidP="00DE5BD5">
      <w:pPr>
        <w:adjustRightInd w:val="0"/>
        <w:snapToGrid w:val="0"/>
        <w:jc w:val="both"/>
        <w:rPr>
          <w:rFonts w:ascii="Arial" w:hAnsi="Arial" w:cs="Arial"/>
          <w:b/>
          <w:sz w:val="32"/>
          <w:szCs w:val="32"/>
          <w:lang w:val="en-GB"/>
        </w:rPr>
      </w:pPr>
    </w:p>
    <w:p w:rsidR="000E2B6B" w:rsidRDefault="000E2B6B">
      <w:pPr>
        <w:widowControl/>
        <w:rPr>
          <w:rFonts w:ascii="Arial" w:hAnsi="Arial" w:cs="Arial"/>
          <w:b/>
          <w:sz w:val="32"/>
          <w:szCs w:val="32"/>
          <w:lang w:val="en-GB"/>
        </w:rPr>
      </w:pPr>
      <w:r>
        <w:rPr>
          <w:rFonts w:ascii="Arial" w:hAnsi="Arial" w:cs="Arial"/>
          <w:b/>
          <w:sz w:val="32"/>
          <w:szCs w:val="32"/>
          <w:lang w:val="en-GB"/>
        </w:rPr>
        <w:br w:type="page"/>
      </w:r>
    </w:p>
    <w:p w:rsidR="005850D5" w:rsidRDefault="005850D5" w:rsidP="00B25672">
      <w:pPr>
        <w:widowControl/>
        <w:rPr>
          <w:rFonts w:ascii="Arial" w:hAnsi="Arial" w:cs="Arial"/>
          <w:b/>
          <w:sz w:val="32"/>
          <w:szCs w:val="32"/>
          <w:lang w:val="en-GB"/>
        </w:rPr>
        <w:sectPr w:rsidR="005850D5" w:rsidSect="00B25672">
          <w:footerReference w:type="default" r:id="rId19"/>
          <w:footerReference w:type="first" r:id="rId20"/>
          <w:pgSz w:w="11906" w:h="16838"/>
          <w:pgMar w:top="1440" w:right="1800" w:bottom="1440" w:left="1800" w:header="851" w:footer="992" w:gutter="0"/>
          <w:pgNumType w:fmt="lowerRoman" w:start="8"/>
          <w:cols w:space="425"/>
          <w:docGrid w:type="lines" w:linePitch="360"/>
        </w:sectPr>
      </w:pPr>
    </w:p>
    <w:p w:rsidR="000E2B6B" w:rsidRDefault="000E2B6B">
      <w:pPr>
        <w:widowControl/>
        <w:rPr>
          <w:rFonts w:ascii="Arial" w:hAnsi="Arial" w:cs="Arial"/>
          <w:b/>
          <w:sz w:val="32"/>
          <w:szCs w:val="32"/>
          <w:lang w:val="en-GB"/>
        </w:rPr>
      </w:pPr>
      <w:r>
        <w:rPr>
          <w:rFonts w:ascii="Arial" w:hAnsi="Arial" w:cs="Arial"/>
          <w:b/>
          <w:sz w:val="32"/>
          <w:szCs w:val="32"/>
          <w:lang w:val="en-GB"/>
        </w:rPr>
        <w:lastRenderedPageBreak/>
        <w:br w:type="page"/>
      </w:r>
    </w:p>
    <w:p w:rsidR="00915161" w:rsidRPr="0028108F" w:rsidRDefault="00915161"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lastRenderedPageBreak/>
        <w:t>PREFACE</w:t>
      </w:r>
    </w:p>
    <w:p w:rsidR="00915161" w:rsidRPr="0028108F" w:rsidRDefault="00915161"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w:t>
      </w:r>
    </w:p>
    <w:p w:rsidR="00915161" w:rsidRPr="0028108F" w:rsidRDefault="00915161" w:rsidP="00DE5BD5">
      <w:pPr>
        <w:adjustRightInd w:val="0"/>
        <w:snapToGrid w:val="0"/>
        <w:jc w:val="both"/>
        <w:rPr>
          <w:rFonts w:ascii="Arial" w:hAnsi="Arial" w:cs="Arial"/>
          <w:b/>
          <w:szCs w:val="24"/>
          <w:lang w:val="en-GB"/>
        </w:rPr>
      </w:pPr>
    </w:p>
    <w:p w:rsidR="003F7914" w:rsidRPr="0028108F" w:rsidRDefault="003F7914" w:rsidP="00DE5BD5">
      <w:pPr>
        <w:adjustRightInd w:val="0"/>
        <w:snapToGrid w:val="0"/>
        <w:jc w:val="both"/>
        <w:rPr>
          <w:rFonts w:ascii="Arial" w:hAnsi="Arial" w:cs="Arial"/>
          <w:b/>
          <w:szCs w:val="24"/>
          <w:lang w:val="en-GB"/>
        </w:rPr>
      </w:pPr>
    </w:p>
    <w:p w:rsidR="00915161" w:rsidRPr="0028108F" w:rsidRDefault="00915161" w:rsidP="00DE5BD5">
      <w:pPr>
        <w:adjustRightInd w:val="0"/>
        <w:snapToGrid w:val="0"/>
        <w:jc w:val="both"/>
        <w:rPr>
          <w:rFonts w:ascii="Arial" w:hAnsi="Arial" w:cs="Arial"/>
          <w:b/>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Inter-departmental Working Group on Gender Recognition (</w:t>
      </w:r>
      <w:r w:rsidR="00F47842" w:rsidRPr="0028108F">
        <w:rPr>
          <w:rFonts w:ascii="Arial" w:hAnsi="Arial" w:cs="Arial"/>
          <w:szCs w:val="24"/>
          <w:lang w:val="en-GB"/>
        </w:rPr>
        <w:t>“</w:t>
      </w:r>
      <w:r w:rsidRPr="0028108F">
        <w:rPr>
          <w:rFonts w:ascii="Arial" w:hAnsi="Arial" w:cs="Arial"/>
          <w:i/>
          <w:szCs w:val="24"/>
          <w:lang w:val="en-GB"/>
        </w:rPr>
        <w:t>IWG</w:t>
      </w:r>
      <w:r w:rsidR="00F47842" w:rsidRPr="00181CF2">
        <w:rPr>
          <w:rFonts w:ascii="Arial" w:hAnsi="Arial" w:cs="Arial"/>
          <w:szCs w:val="24"/>
          <w:lang w:val="en-GB"/>
        </w:rPr>
        <w:t>”</w:t>
      </w:r>
      <w:r w:rsidRPr="00C57CE1">
        <w:rPr>
          <w:rFonts w:ascii="Arial" w:hAnsi="Arial" w:cs="Arial"/>
          <w:szCs w:val="24"/>
          <w:lang w:val="en-GB"/>
        </w:rPr>
        <w:t>) was establishe</w:t>
      </w:r>
      <w:r w:rsidRPr="0028108F">
        <w:rPr>
          <w:rFonts w:ascii="Arial" w:hAnsi="Arial" w:cs="Arial"/>
          <w:szCs w:val="24"/>
          <w:lang w:val="en-GB"/>
        </w:rPr>
        <w:t xml:space="preserve">d in January 2014 to consider legislation and incidental administrative measures that may be required to protect the rights of transsexual persons in Hong Kong in all legal contexts.  This paper sets out the IWG’s </w:t>
      </w:r>
      <w:r w:rsidR="00AF7651" w:rsidRPr="0028108F">
        <w:rPr>
          <w:rFonts w:ascii="Arial" w:hAnsi="Arial" w:cs="Arial"/>
          <w:szCs w:val="24"/>
          <w:lang w:val="en-GB"/>
        </w:rPr>
        <w:t xml:space="preserve">observations </w:t>
      </w:r>
      <w:r w:rsidRPr="0028108F">
        <w:rPr>
          <w:rFonts w:ascii="Arial" w:hAnsi="Arial" w:cs="Arial"/>
          <w:szCs w:val="24"/>
          <w:lang w:val="en-GB"/>
        </w:rPr>
        <w:t>on the first part of its study</w:t>
      </w:r>
      <w:r w:rsidR="00C55F44">
        <w:rPr>
          <w:rFonts w:ascii="Arial" w:hAnsi="Arial" w:cs="Arial" w:hint="eastAsia"/>
          <w:szCs w:val="24"/>
          <w:lang w:val="en-GB"/>
        </w:rPr>
        <w:t xml:space="preserve"> up to</w:t>
      </w:r>
      <w:r w:rsidR="006C2764">
        <w:rPr>
          <w:rFonts w:ascii="Arial" w:hAnsi="Arial" w:cs="Arial"/>
          <w:szCs w:val="24"/>
          <w:lang w:val="en-GB"/>
        </w:rPr>
        <w:t xml:space="preserve"> May 2017</w:t>
      </w:r>
      <w:r w:rsidRPr="0028108F">
        <w:rPr>
          <w:rFonts w:ascii="Arial" w:hAnsi="Arial" w:cs="Arial"/>
          <w:szCs w:val="24"/>
          <w:lang w:val="en-GB"/>
        </w:rPr>
        <w:t>.</w:t>
      </w:r>
      <w:r w:rsidR="00513E4A">
        <w:rPr>
          <w:rFonts w:ascii="Arial" w:hAnsi="Arial" w:cs="Arial" w:hint="eastAsia"/>
          <w:szCs w:val="24"/>
          <w:lang w:val="en-GB"/>
        </w:rPr>
        <w:t xml:space="preserve">  Given the controversial nature of the issues involved, the IWG </w:t>
      </w:r>
      <w:r w:rsidR="003057A1">
        <w:rPr>
          <w:rFonts w:ascii="Arial" w:hAnsi="Arial" w:cs="Arial"/>
          <w:szCs w:val="24"/>
          <w:lang w:val="en-GB"/>
        </w:rPr>
        <w:t xml:space="preserve">maintains an open mind and </w:t>
      </w:r>
      <w:r w:rsidR="00513E4A">
        <w:rPr>
          <w:rFonts w:ascii="Arial" w:hAnsi="Arial" w:cs="Arial" w:hint="eastAsia"/>
          <w:szCs w:val="24"/>
          <w:lang w:val="en-GB"/>
        </w:rPr>
        <w:t xml:space="preserve">does not have any preferred </w:t>
      </w:r>
      <w:r w:rsidR="003057A1">
        <w:rPr>
          <w:rFonts w:ascii="Arial" w:hAnsi="Arial" w:cs="Arial"/>
          <w:szCs w:val="24"/>
          <w:lang w:val="en-GB"/>
        </w:rPr>
        <w:t>position</w:t>
      </w:r>
      <w:r w:rsidR="00513E4A">
        <w:rPr>
          <w:rFonts w:ascii="Arial" w:hAnsi="Arial" w:cs="Arial" w:hint="eastAsia"/>
          <w:szCs w:val="24"/>
          <w:lang w:val="en-GB"/>
        </w:rPr>
        <w:t xml:space="preserve"> at this moment.  </w:t>
      </w:r>
      <w:r w:rsidR="003057A1">
        <w:rPr>
          <w:rFonts w:ascii="Arial" w:hAnsi="Arial" w:cs="Arial"/>
          <w:szCs w:val="24"/>
          <w:lang w:val="en-GB"/>
        </w:rPr>
        <w:t>Accordingly</w:t>
      </w:r>
      <w:r w:rsidR="00513E4A">
        <w:rPr>
          <w:rFonts w:ascii="Arial" w:hAnsi="Arial" w:cs="Arial" w:hint="eastAsia"/>
          <w:szCs w:val="24"/>
          <w:lang w:val="en-GB"/>
        </w:rPr>
        <w:t xml:space="preserve">, this paper </w:t>
      </w:r>
      <w:r w:rsidR="003057A1">
        <w:rPr>
          <w:rFonts w:ascii="Arial" w:hAnsi="Arial" w:cs="Arial"/>
          <w:szCs w:val="24"/>
          <w:lang w:val="en-GB"/>
        </w:rPr>
        <w:t xml:space="preserve">seeks </w:t>
      </w:r>
      <w:r w:rsidR="00513E4A">
        <w:rPr>
          <w:rFonts w:ascii="Arial" w:hAnsi="Arial" w:cs="Arial" w:hint="eastAsia"/>
          <w:szCs w:val="24"/>
          <w:lang w:val="en-GB"/>
        </w:rPr>
        <w:t xml:space="preserve">to discuss the </w:t>
      </w:r>
      <w:r w:rsidR="003057A1">
        <w:rPr>
          <w:rFonts w:ascii="Arial" w:hAnsi="Arial" w:cs="Arial"/>
          <w:szCs w:val="24"/>
          <w:lang w:val="en-GB"/>
        </w:rPr>
        <w:t xml:space="preserve">relevant </w:t>
      </w:r>
      <w:r w:rsidR="00513E4A">
        <w:rPr>
          <w:rFonts w:ascii="Arial" w:hAnsi="Arial" w:cs="Arial" w:hint="eastAsia"/>
          <w:szCs w:val="24"/>
          <w:lang w:val="en-GB"/>
        </w:rPr>
        <w:t>issues as objectively as possible so as to solicit views from the community.</w:t>
      </w:r>
    </w:p>
    <w:p w:rsidR="00915161" w:rsidRPr="0028108F" w:rsidRDefault="00915161" w:rsidP="00915161">
      <w:pPr>
        <w:tabs>
          <w:tab w:val="left" w:pos="993"/>
        </w:tabs>
        <w:adjustRightInd w:val="0"/>
        <w:snapToGrid w:val="0"/>
        <w:ind w:left="144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At the outset, the IWG wishes to acknowledge that the terminology used in this area is evolving, with different authors, organisations and jurisdictions adopting different terms, such as </w:t>
      </w:r>
      <w:r w:rsidRPr="0028108F">
        <w:rPr>
          <w:rFonts w:ascii="Arial" w:hAnsi="Arial" w:cs="Arial"/>
          <w:i/>
          <w:szCs w:val="24"/>
          <w:lang w:val="en-GB"/>
        </w:rPr>
        <w:t>“transsexual”</w:t>
      </w:r>
      <w:r w:rsidRPr="0028108F">
        <w:rPr>
          <w:rFonts w:ascii="Arial" w:hAnsi="Arial" w:cs="Arial"/>
          <w:szCs w:val="24"/>
          <w:lang w:val="en-GB"/>
        </w:rPr>
        <w:t xml:space="preserve">, </w:t>
      </w:r>
      <w:r w:rsidRPr="0028108F">
        <w:rPr>
          <w:rFonts w:ascii="Arial" w:hAnsi="Arial" w:cs="Arial"/>
          <w:i/>
          <w:szCs w:val="24"/>
          <w:lang w:val="en-GB"/>
        </w:rPr>
        <w:t>“transgender”</w:t>
      </w:r>
      <w:r w:rsidRPr="0028108F">
        <w:rPr>
          <w:rFonts w:ascii="Arial" w:hAnsi="Arial" w:cs="Arial"/>
          <w:szCs w:val="24"/>
          <w:lang w:val="en-GB"/>
        </w:rPr>
        <w:t xml:space="preserve"> and </w:t>
      </w:r>
      <w:r w:rsidRPr="0028108F">
        <w:rPr>
          <w:rFonts w:ascii="Arial" w:hAnsi="Arial" w:cs="Arial"/>
          <w:i/>
          <w:szCs w:val="24"/>
          <w:lang w:val="en-GB"/>
        </w:rPr>
        <w:t>“trans”</w:t>
      </w:r>
      <w:r w:rsidRPr="0028108F">
        <w:rPr>
          <w:rFonts w:ascii="Arial" w:hAnsi="Arial" w:cs="Arial"/>
          <w:szCs w:val="24"/>
          <w:lang w:val="en-GB"/>
        </w:rPr>
        <w:t xml:space="preserve">, to describe groups of persons including transsexual persons.  While a detailed discussion of the terminology used in this area is set out in Chapter 1, it should be noted that the terms </w:t>
      </w:r>
      <w:r w:rsidRPr="0028108F">
        <w:rPr>
          <w:rFonts w:ascii="Arial" w:hAnsi="Arial" w:cs="Arial"/>
          <w:i/>
          <w:szCs w:val="24"/>
          <w:lang w:val="en-GB"/>
        </w:rPr>
        <w:t>“transsexual”</w:t>
      </w:r>
      <w:r w:rsidRPr="0028108F">
        <w:rPr>
          <w:rFonts w:ascii="Arial" w:hAnsi="Arial" w:cs="Arial"/>
          <w:szCs w:val="24"/>
          <w:lang w:val="en-GB"/>
        </w:rPr>
        <w:t xml:space="preserve"> and </w:t>
      </w:r>
      <w:r w:rsidRPr="0028108F">
        <w:rPr>
          <w:rFonts w:ascii="Arial" w:hAnsi="Arial" w:cs="Arial"/>
          <w:i/>
          <w:szCs w:val="24"/>
          <w:lang w:val="en-GB"/>
        </w:rPr>
        <w:t>“transsexual person”</w:t>
      </w:r>
      <w:r w:rsidRPr="0028108F">
        <w:rPr>
          <w:rFonts w:ascii="Arial" w:hAnsi="Arial" w:cs="Arial"/>
          <w:szCs w:val="24"/>
          <w:lang w:val="en-GB"/>
        </w:rPr>
        <w:t xml:space="preserve"> are the generic terms used in this paper (unless the specific context indicates otherwise) to describe a person</w:t>
      </w:r>
      <w:r w:rsidR="00513E4A">
        <w:rPr>
          <w:rFonts w:ascii="Arial" w:hAnsi="Arial" w:cs="Arial" w:hint="eastAsia"/>
          <w:szCs w:val="24"/>
          <w:lang w:val="en-GB"/>
        </w:rPr>
        <w:t xml:space="preserve"> having</w:t>
      </w:r>
      <w:r w:rsidRPr="0028108F">
        <w:rPr>
          <w:rFonts w:ascii="Arial" w:hAnsi="Arial" w:cs="Arial"/>
          <w:szCs w:val="24"/>
          <w:lang w:val="en-GB"/>
        </w:rPr>
        <w:t xml:space="preserve"> </w:t>
      </w:r>
      <w:r w:rsidRPr="0028108F">
        <w:rPr>
          <w:rFonts w:ascii="Arial" w:hAnsi="Arial" w:cs="Arial"/>
          <w:i/>
          <w:szCs w:val="24"/>
          <w:lang w:val="en-GB"/>
        </w:rPr>
        <w:t>“transsexualism”</w:t>
      </w:r>
      <w:r w:rsidRPr="0028108F">
        <w:rPr>
          <w:rFonts w:ascii="Arial" w:hAnsi="Arial" w:cs="Arial"/>
          <w:szCs w:val="24"/>
          <w:lang w:val="en-GB"/>
        </w:rPr>
        <w:t xml:space="preserve"> </w:t>
      </w:r>
      <w:r w:rsidR="00626EBA">
        <w:rPr>
          <w:rFonts w:ascii="Arial" w:hAnsi="Arial" w:cs="Arial" w:hint="eastAsia"/>
          <w:szCs w:val="24"/>
          <w:lang w:val="en-GB"/>
        </w:rPr>
        <w:t xml:space="preserve">issues </w:t>
      </w:r>
      <w:r w:rsidRPr="0028108F">
        <w:rPr>
          <w:rFonts w:ascii="Arial" w:hAnsi="Arial" w:cs="Arial"/>
          <w:szCs w:val="24"/>
          <w:lang w:val="en-GB"/>
        </w:rPr>
        <w:t>as defined by the World Health Organisation (“</w:t>
      </w:r>
      <w:r w:rsidRPr="0028108F">
        <w:rPr>
          <w:rFonts w:ascii="Arial" w:hAnsi="Arial" w:cs="Arial"/>
          <w:i/>
          <w:szCs w:val="24"/>
          <w:lang w:val="en-GB"/>
        </w:rPr>
        <w:t>WHO</w:t>
      </w:r>
      <w:r w:rsidRPr="0028108F">
        <w:rPr>
          <w:rFonts w:ascii="Arial" w:hAnsi="Arial" w:cs="Arial"/>
          <w:szCs w:val="24"/>
          <w:lang w:val="en-GB"/>
        </w:rPr>
        <w:t xml:space="preserve">”), and as applied in the </w:t>
      </w:r>
      <w:r w:rsidRPr="0028108F">
        <w:rPr>
          <w:rFonts w:ascii="Arial" w:hAnsi="Arial" w:cs="Arial"/>
          <w:lang w:val="en-GB"/>
        </w:rPr>
        <w:t>Court of Final Appeal (“</w:t>
      </w:r>
      <w:r w:rsidRPr="0028108F">
        <w:rPr>
          <w:rFonts w:ascii="Arial" w:hAnsi="Arial" w:cs="Arial"/>
          <w:i/>
          <w:lang w:val="en-GB"/>
        </w:rPr>
        <w:t>CFA</w:t>
      </w:r>
      <w:r w:rsidRPr="0028108F">
        <w:rPr>
          <w:rFonts w:ascii="Arial" w:hAnsi="Arial" w:cs="Arial"/>
          <w:lang w:val="en-GB"/>
        </w:rPr>
        <w:t xml:space="preserve">”) decision in </w:t>
      </w:r>
      <w:r w:rsidRPr="0028108F">
        <w:rPr>
          <w:rFonts w:ascii="Arial" w:hAnsi="Arial" w:cs="Arial"/>
          <w:i/>
          <w:lang w:val="en-GB"/>
        </w:rPr>
        <w:t>W v Registrar of Marriages</w:t>
      </w:r>
      <w:r w:rsidRPr="0028108F">
        <w:rPr>
          <w:rFonts w:ascii="Arial" w:hAnsi="Arial" w:cs="Arial"/>
          <w:lang w:val="en-GB"/>
        </w:rPr>
        <w:t xml:space="preserve"> (“</w:t>
      </w:r>
      <w:r w:rsidRPr="0028108F">
        <w:rPr>
          <w:rFonts w:ascii="Arial" w:hAnsi="Arial" w:cs="Arial"/>
          <w:i/>
          <w:lang w:val="en-GB"/>
        </w:rPr>
        <w:t>W’s case</w:t>
      </w:r>
      <w:r w:rsidRPr="0028108F">
        <w:rPr>
          <w:rFonts w:ascii="Arial" w:hAnsi="Arial" w:cs="Arial"/>
          <w:lang w:val="en-GB"/>
        </w:rPr>
        <w:t>”).</w:t>
      </w:r>
      <w:r w:rsidRPr="00181CF2">
        <w:rPr>
          <w:rStyle w:val="FootnoteReference"/>
          <w:rFonts w:ascii="Arial" w:hAnsi="Arial" w:cs="Arial"/>
          <w:szCs w:val="24"/>
          <w:lang w:val="en-GB"/>
        </w:rPr>
        <w:footnoteReference w:id="1"/>
      </w:r>
      <w:r w:rsidRPr="00181CF2">
        <w:rPr>
          <w:rFonts w:ascii="Arial" w:hAnsi="Arial" w:cs="Arial"/>
          <w:lang w:val="en-GB"/>
        </w:rPr>
        <w:t xml:space="preserve">  The WHO </w:t>
      </w:r>
      <w:r w:rsidRPr="00C57CE1">
        <w:rPr>
          <w:rFonts w:ascii="Arial" w:hAnsi="Arial" w:cs="Arial"/>
          <w:szCs w:val="24"/>
          <w:lang w:val="en-GB"/>
        </w:rPr>
        <w:t xml:space="preserve">classifies </w:t>
      </w:r>
      <w:r w:rsidRPr="0028108F">
        <w:rPr>
          <w:rFonts w:ascii="Arial" w:hAnsi="Arial" w:cs="Arial"/>
          <w:i/>
          <w:szCs w:val="24"/>
          <w:lang w:val="en-GB"/>
        </w:rPr>
        <w:t>“transsexualism”</w:t>
      </w:r>
      <w:r w:rsidRPr="0028108F">
        <w:rPr>
          <w:rFonts w:ascii="Arial" w:hAnsi="Arial" w:cs="Arial"/>
          <w:szCs w:val="24"/>
          <w:lang w:val="en-GB"/>
        </w:rPr>
        <w:t xml:space="preserve"> as:</w:t>
      </w:r>
    </w:p>
    <w:p w:rsidR="00915161" w:rsidRPr="0028108F" w:rsidRDefault="00915161" w:rsidP="00DE5BD5">
      <w:pPr>
        <w:adjustRightInd w:val="0"/>
        <w:snapToGrid w:val="0"/>
        <w:jc w:val="both"/>
        <w:rPr>
          <w:rFonts w:ascii="Arial" w:hAnsi="Arial" w:cs="Arial"/>
          <w:szCs w:val="24"/>
          <w:lang w:val="en-GB"/>
        </w:rPr>
      </w:pPr>
    </w:p>
    <w:p w:rsidR="00915161" w:rsidRPr="00181CF2" w:rsidRDefault="00915161" w:rsidP="00DE5BD5">
      <w:pPr>
        <w:tabs>
          <w:tab w:val="left" w:pos="851"/>
        </w:tabs>
        <w:adjustRightInd w:val="0"/>
        <w:snapToGrid w:val="0"/>
        <w:ind w:left="850" w:rightChars="330" w:right="792" w:hangingChars="354" w:hanging="850"/>
        <w:jc w:val="both"/>
        <w:rPr>
          <w:rFonts w:ascii="Arial" w:hAnsi="Arial" w:cs="Arial"/>
          <w:szCs w:val="24"/>
          <w:lang w:val="en-GB"/>
        </w:rPr>
      </w:pPr>
      <w:r w:rsidRPr="0028108F">
        <w:rPr>
          <w:rFonts w:ascii="Arial" w:hAnsi="Arial" w:cs="Arial"/>
          <w:i/>
          <w:szCs w:val="24"/>
          <w:lang w:val="en-GB"/>
        </w:rPr>
        <w:tab/>
        <w:t>“[A] species of gender identity disorder involving: ‘a desire to live and be accepted as a member of the opposite sex, usually accompanied by a sense of discomfort with, or inappropriateness of, one’s anatomical sex, and a wish to have surgery and hormonal treatment to make one’s body as congruent as possible with one’s preferred sex.’</w:t>
      </w:r>
      <w:r w:rsidR="00467590">
        <w:rPr>
          <w:rFonts w:ascii="Arial" w:hAnsi="Arial" w:cs="Arial" w:hint="eastAsia"/>
          <w:i/>
          <w:szCs w:val="24"/>
          <w:lang w:val="en-GB"/>
        </w:rPr>
        <w:t xml:space="preserve"> </w:t>
      </w:r>
      <w:r w:rsidRPr="0028108F">
        <w:rPr>
          <w:rFonts w:ascii="Arial" w:hAnsi="Arial" w:cs="Arial"/>
          <w:i/>
          <w:szCs w:val="24"/>
          <w:lang w:val="en-GB"/>
        </w:rPr>
        <w:t>”</w:t>
      </w:r>
      <w:r w:rsidRPr="0028108F">
        <w:rPr>
          <w:rStyle w:val="FootnoteReference"/>
          <w:rFonts w:ascii="Arial" w:hAnsi="Arial" w:cs="Arial"/>
          <w:szCs w:val="24"/>
          <w:lang w:val="en-GB"/>
        </w:rPr>
        <w:footnoteReference w:id="2"/>
      </w:r>
    </w:p>
    <w:p w:rsidR="00915161" w:rsidRPr="00C57CE1" w:rsidRDefault="00915161" w:rsidP="00915161">
      <w:pPr>
        <w:tabs>
          <w:tab w:val="left" w:pos="993"/>
        </w:tabs>
        <w:adjustRightInd w:val="0"/>
        <w:snapToGrid w:val="0"/>
        <w:ind w:left="144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In contrast, and unless the specific context </w:t>
      </w:r>
      <w:r w:rsidR="00735470">
        <w:rPr>
          <w:rFonts w:ascii="Arial" w:hAnsi="Arial" w:cs="Arial" w:hint="eastAsia"/>
          <w:szCs w:val="24"/>
          <w:lang w:val="en-GB"/>
        </w:rPr>
        <w:t>indicates</w:t>
      </w:r>
      <w:r w:rsidR="00735470" w:rsidRPr="0028108F">
        <w:rPr>
          <w:rFonts w:ascii="Arial" w:hAnsi="Arial" w:cs="Arial"/>
          <w:szCs w:val="24"/>
          <w:lang w:val="en-GB"/>
        </w:rPr>
        <w:t xml:space="preserve"> </w:t>
      </w:r>
      <w:r w:rsidRPr="0028108F">
        <w:rPr>
          <w:rFonts w:ascii="Arial" w:hAnsi="Arial" w:cs="Arial"/>
          <w:szCs w:val="24"/>
          <w:lang w:val="en-GB"/>
        </w:rPr>
        <w:t xml:space="preserve">otherwise, the terms </w:t>
      </w:r>
      <w:r w:rsidRPr="0028108F">
        <w:rPr>
          <w:rFonts w:ascii="Arial" w:hAnsi="Arial" w:cs="Arial"/>
          <w:i/>
          <w:szCs w:val="24"/>
          <w:lang w:val="en-GB"/>
        </w:rPr>
        <w:t>“transgender”</w:t>
      </w:r>
      <w:r w:rsidRPr="0028108F">
        <w:rPr>
          <w:rFonts w:ascii="Arial" w:hAnsi="Arial" w:cs="Arial"/>
          <w:szCs w:val="24"/>
          <w:lang w:val="en-GB"/>
        </w:rPr>
        <w:t xml:space="preserve"> and </w:t>
      </w:r>
      <w:r w:rsidRPr="0028108F">
        <w:rPr>
          <w:rFonts w:ascii="Arial" w:hAnsi="Arial" w:cs="Arial"/>
          <w:i/>
          <w:szCs w:val="24"/>
          <w:lang w:val="en-GB"/>
        </w:rPr>
        <w:t>“transgender person”</w:t>
      </w:r>
      <w:r w:rsidRPr="0028108F">
        <w:rPr>
          <w:rFonts w:ascii="Arial" w:hAnsi="Arial" w:cs="Arial"/>
          <w:szCs w:val="24"/>
          <w:lang w:val="en-GB"/>
        </w:rPr>
        <w:t xml:space="preserve"> are used in this paper in a generic sense to refer to a broader range of people who live, or desire to live, in the role of a gender which is not the one assigned to that person at birth, with or without the intention to undergo any medical interventions to bring their </w:t>
      </w:r>
      <w:r w:rsidRPr="0028108F">
        <w:rPr>
          <w:rFonts w:ascii="Arial" w:hAnsi="Arial" w:cs="Arial"/>
          <w:szCs w:val="24"/>
          <w:lang w:val="en-GB"/>
        </w:rPr>
        <w:lastRenderedPageBreak/>
        <w:t>physical selves into alignment with their gender identity</w:t>
      </w:r>
      <w:r w:rsidR="000A6241">
        <w:rPr>
          <w:rFonts w:ascii="Arial" w:hAnsi="Arial" w:cs="Arial"/>
          <w:szCs w:val="24"/>
          <w:lang w:val="en-GB"/>
        </w:rPr>
        <w:t xml:space="preserve"> (self-</w:t>
      </w:r>
      <w:r w:rsidR="004E7803">
        <w:rPr>
          <w:rFonts w:ascii="Arial" w:hAnsi="Arial" w:cs="Arial"/>
          <w:szCs w:val="24"/>
          <w:lang w:val="en-GB"/>
        </w:rPr>
        <w:t xml:space="preserve">perception of </w:t>
      </w:r>
      <w:r w:rsidR="00DA1228">
        <w:rPr>
          <w:rFonts w:ascii="Arial" w:hAnsi="Arial" w:cs="Arial"/>
          <w:szCs w:val="24"/>
          <w:lang w:val="en-GB"/>
        </w:rPr>
        <w:t>being male or female</w:t>
      </w:r>
      <w:r w:rsidR="004E7803">
        <w:rPr>
          <w:rFonts w:ascii="Arial" w:hAnsi="Arial" w:cs="Arial"/>
          <w:szCs w:val="24"/>
          <w:lang w:val="en-GB"/>
        </w:rPr>
        <w:t>)</w:t>
      </w:r>
      <w:r w:rsidRPr="0028108F">
        <w:rPr>
          <w:rFonts w:ascii="Arial" w:hAnsi="Arial" w:cs="Arial"/>
          <w:szCs w:val="24"/>
          <w:lang w:val="en-GB"/>
        </w:rPr>
        <w:t>.</w:t>
      </w:r>
    </w:p>
    <w:p w:rsidR="000B4F6C" w:rsidRDefault="000B4F6C" w:rsidP="00DE5BD5">
      <w:pPr>
        <w:tabs>
          <w:tab w:val="left" w:pos="993"/>
        </w:tabs>
        <w:adjustRightInd w:val="0"/>
        <w:snapToGrid w:val="0"/>
        <w:jc w:val="both"/>
        <w:rPr>
          <w:rFonts w:ascii="Arial" w:hAnsi="Arial" w:cs="Arial"/>
          <w:szCs w:val="24"/>
          <w:lang w:val="en-GB"/>
        </w:rPr>
      </w:pPr>
    </w:p>
    <w:p w:rsidR="000B4F6C" w:rsidRPr="000B4F6C" w:rsidRDefault="000B4F6C" w:rsidP="00DE5BD5">
      <w:pPr>
        <w:tabs>
          <w:tab w:val="left" w:pos="993"/>
        </w:tabs>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Background to the establishment of the IWG</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In </w:t>
      </w:r>
      <w:r w:rsidRPr="0028108F">
        <w:rPr>
          <w:rFonts w:ascii="Arial" w:hAnsi="Arial" w:cs="Arial"/>
          <w:i/>
          <w:szCs w:val="24"/>
          <w:lang w:val="en-GB"/>
        </w:rPr>
        <w:t>W</w:t>
      </w:r>
      <w:r w:rsidRPr="0028108F">
        <w:rPr>
          <w:rFonts w:ascii="Arial" w:hAnsi="Arial" w:cs="Arial"/>
          <w:szCs w:val="24"/>
          <w:lang w:val="en-GB"/>
        </w:rPr>
        <w:t>’s case, the CFA ruled that a transsexual person who had undergone full sex reassignment surgery (</w:t>
      </w:r>
      <w:r w:rsidR="002B782C" w:rsidRPr="0028108F">
        <w:rPr>
          <w:rFonts w:ascii="Arial" w:hAnsi="Arial" w:cs="Arial"/>
          <w:szCs w:val="24"/>
          <w:lang w:val="en-GB"/>
        </w:rPr>
        <w:t>“</w:t>
      </w:r>
      <w:r w:rsidRPr="0028108F">
        <w:rPr>
          <w:rFonts w:ascii="Arial" w:hAnsi="Arial" w:cs="Arial"/>
          <w:i/>
          <w:szCs w:val="24"/>
          <w:lang w:val="en-GB"/>
        </w:rPr>
        <w:t>SRS</w:t>
      </w:r>
      <w:r w:rsidR="002B782C" w:rsidRPr="00181CF2">
        <w:rPr>
          <w:rFonts w:ascii="Arial" w:hAnsi="Arial" w:cs="Arial"/>
          <w:szCs w:val="24"/>
          <w:lang w:val="en-GB"/>
        </w:rPr>
        <w:t>”</w:t>
      </w:r>
      <w:r w:rsidRPr="00C57CE1">
        <w:rPr>
          <w:rFonts w:ascii="Arial" w:hAnsi="Arial" w:cs="Arial"/>
          <w:szCs w:val="24"/>
          <w:lang w:val="en-GB"/>
        </w:rPr>
        <w:t>) should be enti</w:t>
      </w:r>
      <w:r w:rsidRPr="0028108F">
        <w:rPr>
          <w:rFonts w:ascii="Arial" w:hAnsi="Arial" w:cs="Arial"/>
          <w:szCs w:val="24"/>
          <w:lang w:val="en-GB"/>
        </w:rPr>
        <w:t xml:space="preserve">tled to marry a person of the sex </w:t>
      </w:r>
      <w:r w:rsidR="008F5CF0">
        <w:rPr>
          <w:rFonts w:ascii="Arial" w:hAnsi="Arial" w:cs="Arial" w:hint="eastAsia"/>
          <w:szCs w:val="24"/>
          <w:lang w:val="en-GB"/>
        </w:rPr>
        <w:t xml:space="preserve">opposite </w:t>
      </w:r>
      <w:r w:rsidRPr="0028108F">
        <w:rPr>
          <w:rFonts w:ascii="Arial" w:hAnsi="Arial" w:cs="Arial"/>
          <w:szCs w:val="24"/>
          <w:lang w:val="en-GB"/>
        </w:rPr>
        <w:t>to his or her reassigned sex.</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 xml:space="preserve">While the focus of </w:t>
      </w:r>
      <w:r w:rsidRPr="0028108F">
        <w:rPr>
          <w:rFonts w:ascii="Arial" w:hAnsi="Arial" w:cs="Arial"/>
          <w:i/>
          <w:kern w:val="0"/>
          <w:szCs w:val="24"/>
          <w:lang w:val="en-GB"/>
        </w:rPr>
        <w:t>W’s</w:t>
      </w:r>
      <w:r w:rsidRPr="0028108F">
        <w:rPr>
          <w:rFonts w:ascii="Arial" w:hAnsi="Arial" w:cs="Arial"/>
          <w:kern w:val="0"/>
          <w:szCs w:val="24"/>
          <w:lang w:val="en-GB"/>
        </w:rPr>
        <w:t xml:space="preserve"> case was on the law of marriage, in the course of its judgment given on 13 May 2013, the CFA also made comments on </w:t>
      </w:r>
      <w:r w:rsidR="008F5CF0">
        <w:rPr>
          <w:rFonts w:ascii="Arial" w:hAnsi="Arial" w:cs="Arial" w:hint="eastAsia"/>
          <w:kern w:val="0"/>
          <w:szCs w:val="24"/>
          <w:lang w:val="en-GB"/>
        </w:rPr>
        <w:t xml:space="preserve">the </w:t>
      </w:r>
      <w:r w:rsidRPr="0028108F">
        <w:rPr>
          <w:rFonts w:ascii="Arial" w:hAnsi="Arial" w:cs="Arial"/>
          <w:kern w:val="0"/>
          <w:szCs w:val="24"/>
          <w:lang w:val="en-GB"/>
        </w:rPr>
        <w:t xml:space="preserve">problems </w:t>
      </w:r>
      <w:r w:rsidRPr="0028108F">
        <w:rPr>
          <w:rFonts w:ascii="Arial" w:hAnsi="Arial" w:cs="Arial"/>
          <w:szCs w:val="24"/>
          <w:lang w:val="en-GB"/>
        </w:rPr>
        <w:t>facing</w:t>
      </w:r>
      <w:r w:rsidRPr="0028108F">
        <w:rPr>
          <w:rFonts w:ascii="Arial" w:hAnsi="Arial" w:cs="Arial"/>
          <w:kern w:val="0"/>
          <w:szCs w:val="24"/>
          <w:lang w:val="en-GB"/>
        </w:rPr>
        <w:t xml:space="preserve"> transsexual persons in other areas of law, as well as the treatment of persons who have not undertaken any SRS or have not fully completed SRS.  The CFA observed that the Government should consider how to address problems facing transsexual persons in all areas of law by drawing reference to overseas </w:t>
      </w:r>
      <w:r w:rsidR="008F5CF0">
        <w:rPr>
          <w:rFonts w:ascii="Arial" w:hAnsi="Arial" w:cs="Arial" w:hint="eastAsia"/>
          <w:kern w:val="0"/>
          <w:szCs w:val="24"/>
          <w:lang w:val="en-GB"/>
        </w:rPr>
        <w:t xml:space="preserve">law and </w:t>
      </w:r>
      <w:r w:rsidRPr="0028108F">
        <w:rPr>
          <w:rFonts w:ascii="Arial" w:hAnsi="Arial" w:cs="Arial"/>
          <w:kern w:val="0"/>
          <w:szCs w:val="24"/>
          <w:lang w:val="en-GB"/>
        </w:rPr>
        <w:t>practice, such as the United Kingdom’s Gender Recognition Act 2004.</w:t>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8813DE">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kern w:val="0"/>
          <w:szCs w:val="24"/>
          <w:lang w:val="en-GB"/>
        </w:rPr>
        <w:t>In response, the Government established the</w:t>
      </w:r>
      <w:r w:rsidRPr="0028108F">
        <w:rPr>
          <w:rFonts w:ascii="Arial" w:hAnsi="Arial" w:cs="Arial"/>
          <w:szCs w:val="24"/>
          <w:lang w:val="en-GB"/>
        </w:rPr>
        <w:t xml:space="preserve"> IWG on 13 January 2014 to follow up on the</w:t>
      </w:r>
      <w:r w:rsidR="00735470">
        <w:rPr>
          <w:rFonts w:ascii="Arial" w:hAnsi="Arial" w:cs="Arial" w:hint="eastAsia"/>
          <w:szCs w:val="24"/>
          <w:lang w:val="en-GB"/>
        </w:rPr>
        <w:t xml:space="preserve"> </w:t>
      </w:r>
      <w:r w:rsidR="00282791">
        <w:rPr>
          <w:rFonts w:ascii="Arial" w:hAnsi="Arial" w:cs="Arial"/>
          <w:szCs w:val="24"/>
          <w:lang w:val="en-GB"/>
        </w:rPr>
        <w:t xml:space="preserve">said </w:t>
      </w:r>
      <w:r w:rsidRPr="0028108F">
        <w:rPr>
          <w:rFonts w:ascii="Arial" w:hAnsi="Arial" w:cs="Arial"/>
          <w:szCs w:val="24"/>
          <w:lang w:val="en-GB"/>
        </w:rPr>
        <w:t>observations of the CFA.</w:t>
      </w:r>
      <w:r w:rsidR="00735470">
        <w:rPr>
          <w:rFonts w:ascii="Arial" w:hAnsi="Arial" w:cs="Arial" w:hint="eastAsia"/>
          <w:szCs w:val="24"/>
          <w:lang w:val="en-GB"/>
        </w:rPr>
        <w:t xml:space="preserve">  </w:t>
      </w:r>
      <w:r w:rsidR="00735470">
        <w:rPr>
          <w:rFonts w:ascii="Arial" w:hAnsi="Arial" w:cs="Arial" w:hint="eastAsia"/>
          <w:color w:val="000000"/>
          <w:szCs w:val="24"/>
          <w:lang w:val="en-GB"/>
        </w:rPr>
        <w:t>F</w:t>
      </w:r>
      <w:r w:rsidR="00735470" w:rsidRPr="0028108F">
        <w:rPr>
          <w:rFonts w:ascii="Arial" w:hAnsi="Arial" w:cs="Arial"/>
          <w:color w:val="000000"/>
          <w:szCs w:val="24"/>
          <w:lang w:val="en-GB"/>
        </w:rPr>
        <w:t>or the avoidance of doubt</w:t>
      </w:r>
      <w:r w:rsidR="00735470">
        <w:rPr>
          <w:rFonts w:ascii="Arial" w:hAnsi="Arial" w:cs="Arial" w:hint="eastAsia"/>
          <w:szCs w:val="24"/>
          <w:lang w:val="en-GB"/>
        </w:rPr>
        <w:t xml:space="preserve">, it should be noted from the outset that same-sex marriage or civil partnership is outside the scope of </w:t>
      </w:r>
      <w:r w:rsidR="002A2F3E">
        <w:rPr>
          <w:rFonts w:ascii="Arial" w:hAnsi="Arial" w:cs="Arial"/>
          <w:szCs w:val="24"/>
          <w:lang w:val="en-GB"/>
        </w:rPr>
        <w:t>the IWG’s</w:t>
      </w:r>
      <w:r w:rsidR="00735470">
        <w:rPr>
          <w:rFonts w:ascii="Arial" w:hAnsi="Arial" w:cs="Arial" w:hint="eastAsia"/>
          <w:szCs w:val="24"/>
          <w:lang w:val="en-GB"/>
        </w:rPr>
        <w:t xml:space="preserve"> study.</w:t>
      </w:r>
    </w:p>
    <w:p w:rsidR="00915161" w:rsidRPr="0028108F" w:rsidRDefault="00915161" w:rsidP="008813DE">
      <w:pPr>
        <w:adjustRightInd w:val="0"/>
        <w:snapToGrid w:val="0"/>
        <w:jc w:val="both"/>
        <w:rPr>
          <w:rFonts w:ascii="Arial" w:hAnsi="Arial" w:cs="Arial"/>
          <w:szCs w:val="24"/>
          <w:lang w:val="en-GB"/>
        </w:rPr>
      </w:pPr>
    </w:p>
    <w:p w:rsidR="00915161" w:rsidRPr="0028108F" w:rsidRDefault="00915161">
      <w:pPr>
        <w:adjustRightInd w:val="0"/>
        <w:snapToGrid w:val="0"/>
        <w:jc w:val="both"/>
        <w:rPr>
          <w:rFonts w:ascii="Arial" w:hAnsi="Arial" w:cs="Arial"/>
          <w:b/>
          <w:i/>
          <w:szCs w:val="24"/>
          <w:lang w:val="en-GB"/>
        </w:rPr>
      </w:pPr>
      <w:r w:rsidRPr="0028108F">
        <w:rPr>
          <w:rFonts w:ascii="Arial" w:hAnsi="Arial" w:cs="Arial"/>
          <w:b/>
          <w:i/>
          <w:szCs w:val="24"/>
          <w:lang w:val="en-GB"/>
        </w:rPr>
        <w:t>Terms of Reference</w:t>
      </w:r>
    </w:p>
    <w:p w:rsidR="00915161" w:rsidRPr="0028108F" w:rsidRDefault="00915161">
      <w:pPr>
        <w:adjustRightInd w:val="0"/>
        <w:snapToGrid w:val="0"/>
        <w:jc w:val="both"/>
        <w:rPr>
          <w:rFonts w:ascii="Arial" w:hAnsi="Arial" w:cs="Arial"/>
          <w:szCs w:val="24"/>
          <w:lang w:val="en-GB"/>
        </w:rPr>
      </w:pPr>
    </w:p>
    <w:p w:rsidR="00915161" w:rsidRPr="0028108F" w:rsidRDefault="00915161" w:rsidP="008813DE">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Terms of Reference of the IWG are:</w:t>
      </w:r>
    </w:p>
    <w:p w:rsidR="00915161" w:rsidRPr="0028108F" w:rsidRDefault="00915161">
      <w:pPr>
        <w:tabs>
          <w:tab w:val="left" w:pos="993"/>
        </w:tabs>
        <w:adjustRightInd w:val="0"/>
        <w:snapToGrid w:val="0"/>
        <w:jc w:val="both"/>
        <w:rPr>
          <w:rFonts w:ascii="Arial" w:hAnsi="Arial" w:cs="Arial"/>
          <w:szCs w:val="24"/>
          <w:lang w:val="en-GB"/>
        </w:rPr>
      </w:pPr>
    </w:p>
    <w:p w:rsidR="00915161" w:rsidRPr="00181CF2" w:rsidRDefault="00915161">
      <w:pPr>
        <w:tabs>
          <w:tab w:val="left" w:pos="1440"/>
        </w:tabs>
        <w:adjustRightInd w:val="0"/>
        <w:snapToGrid w:val="0"/>
        <w:ind w:left="1440" w:hanging="720"/>
        <w:jc w:val="both"/>
        <w:rPr>
          <w:rFonts w:ascii="Arial" w:hAnsi="Arial" w:cs="Arial"/>
          <w:i/>
          <w:szCs w:val="24"/>
          <w:lang w:val="en-GB"/>
        </w:rPr>
      </w:pPr>
      <w:r w:rsidRPr="0028108F">
        <w:rPr>
          <w:rFonts w:ascii="Arial" w:hAnsi="Arial" w:cs="Arial"/>
          <w:i/>
          <w:szCs w:val="24"/>
          <w:lang w:val="en-GB"/>
        </w:rPr>
        <w:t>“1.</w:t>
      </w:r>
      <w:r w:rsidRPr="0028108F">
        <w:rPr>
          <w:rFonts w:ascii="Arial" w:hAnsi="Arial" w:cs="Arial"/>
          <w:i/>
          <w:szCs w:val="24"/>
          <w:lang w:val="en-GB"/>
        </w:rPr>
        <w:tab/>
        <w:t>To consider legislation and incidental administrative measures that may be required to protect the rights of transsexual persons</w:t>
      </w:r>
      <w:r w:rsidRPr="00181CF2">
        <w:rPr>
          <w:rFonts w:ascii="Arial" w:hAnsi="Arial" w:cs="Arial"/>
          <w:i/>
          <w:szCs w:val="24"/>
          <w:lang w:val="en-GB"/>
        </w:rPr>
        <w:t xml:space="preserve"> in all legal contexts, and to make such recommendations for reform as may be appropriate.</w:t>
      </w:r>
    </w:p>
    <w:p w:rsidR="00915161" w:rsidRPr="00C57CE1" w:rsidRDefault="00915161">
      <w:pPr>
        <w:tabs>
          <w:tab w:val="left" w:pos="993"/>
        </w:tabs>
        <w:adjustRightInd w:val="0"/>
        <w:snapToGrid w:val="0"/>
        <w:jc w:val="both"/>
        <w:rPr>
          <w:rFonts w:ascii="Arial" w:hAnsi="Arial" w:cs="Arial"/>
          <w:i/>
          <w:szCs w:val="24"/>
          <w:lang w:val="en-GB"/>
        </w:rPr>
      </w:pPr>
    </w:p>
    <w:p w:rsidR="00915161" w:rsidRPr="0028108F" w:rsidRDefault="00915161">
      <w:pPr>
        <w:tabs>
          <w:tab w:val="left" w:pos="1440"/>
        </w:tabs>
        <w:adjustRightInd w:val="0"/>
        <w:snapToGrid w:val="0"/>
        <w:ind w:left="1440" w:hanging="720"/>
        <w:jc w:val="both"/>
        <w:rPr>
          <w:rFonts w:ascii="Arial" w:hAnsi="Arial" w:cs="Arial"/>
          <w:i/>
          <w:szCs w:val="24"/>
          <w:lang w:val="en-GB"/>
        </w:rPr>
      </w:pPr>
      <w:r w:rsidRPr="0028108F">
        <w:rPr>
          <w:rFonts w:ascii="Arial" w:hAnsi="Arial" w:cs="Arial"/>
          <w:i/>
          <w:szCs w:val="24"/>
          <w:lang w:val="en-GB"/>
        </w:rPr>
        <w:t>2.</w:t>
      </w:r>
      <w:r w:rsidRPr="0028108F">
        <w:rPr>
          <w:rFonts w:ascii="Arial" w:hAnsi="Arial" w:cs="Arial"/>
          <w:i/>
          <w:szCs w:val="24"/>
          <w:lang w:val="en-GB"/>
        </w:rPr>
        <w:tab/>
        <w:t>For the aforesaid purpose, to conduct consultations and to engage the assistance of such experts or professionals as may be appropriate.”</w:t>
      </w:r>
    </w:p>
    <w:p w:rsidR="001A11D5" w:rsidRPr="0028108F" w:rsidRDefault="001A11D5" w:rsidP="008813DE">
      <w:pPr>
        <w:adjustRightInd w:val="0"/>
        <w:snapToGrid w:val="0"/>
        <w:jc w:val="both"/>
        <w:rPr>
          <w:rFonts w:ascii="Arial" w:hAnsi="Arial" w:cs="Arial"/>
          <w:szCs w:val="24"/>
          <w:lang w:val="en-GB"/>
        </w:rPr>
      </w:pPr>
    </w:p>
    <w:p w:rsidR="00915161" w:rsidRPr="0028108F" w:rsidRDefault="00915161">
      <w:pPr>
        <w:adjustRightInd w:val="0"/>
        <w:snapToGrid w:val="0"/>
        <w:jc w:val="both"/>
        <w:rPr>
          <w:rFonts w:ascii="Arial" w:hAnsi="Arial" w:cs="Arial"/>
          <w:b/>
          <w:i/>
          <w:szCs w:val="24"/>
          <w:lang w:val="en-GB"/>
        </w:rPr>
      </w:pPr>
      <w:r w:rsidRPr="0028108F">
        <w:rPr>
          <w:rFonts w:ascii="Arial" w:hAnsi="Arial" w:cs="Arial"/>
          <w:b/>
          <w:i/>
          <w:szCs w:val="24"/>
          <w:lang w:val="en-GB"/>
        </w:rPr>
        <w:t>Membership</w:t>
      </w:r>
    </w:p>
    <w:p w:rsidR="00915161" w:rsidRPr="0028108F" w:rsidRDefault="00915161">
      <w:pPr>
        <w:adjustRightInd w:val="0"/>
        <w:snapToGrid w:val="0"/>
        <w:jc w:val="both"/>
        <w:rPr>
          <w:rFonts w:ascii="Arial" w:hAnsi="Arial" w:cs="Arial"/>
          <w:szCs w:val="24"/>
          <w:lang w:val="en-GB"/>
        </w:rPr>
      </w:pPr>
    </w:p>
    <w:p w:rsidR="00915161" w:rsidRPr="0028108F" w:rsidRDefault="00915161" w:rsidP="008813DE">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IWG is chaired by the Secretary for Justice, with members </w:t>
      </w:r>
      <w:r w:rsidR="00735470">
        <w:rPr>
          <w:rFonts w:ascii="Arial" w:hAnsi="Arial" w:cs="Arial" w:hint="eastAsia"/>
          <w:szCs w:val="24"/>
          <w:lang w:val="en-GB"/>
        </w:rPr>
        <w:t>from the legal community</w:t>
      </w:r>
      <w:r w:rsidRPr="0028108F">
        <w:rPr>
          <w:rFonts w:ascii="Arial" w:hAnsi="Arial" w:cs="Arial"/>
          <w:szCs w:val="24"/>
          <w:lang w:val="en-GB"/>
        </w:rPr>
        <w:t xml:space="preserve"> and representatives of relevant bureau</w:t>
      </w:r>
      <w:r w:rsidR="00FA014C" w:rsidRPr="0028108F">
        <w:rPr>
          <w:rFonts w:ascii="Arial" w:hAnsi="Arial" w:cs="Arial"/>
          <w:szCs w:val="24"/>
          <w:lang w:val="en-GB"/>
        </w:rPr>
        <w:t>x</w:t>
      </w:r>
      <w:r w:rsidRPr="0028108F">
        <w:rPr>
          <w:rFonts w:ascii="Arial" w:hAnsi="Arial" w:cs="Arial"/>
          <w:szCs w:val="24"/>
          <w:lang w:val="en-GB"/>
        </w:rPr>
        <w:t>.  The members are:</w:t>
      </w:r>
    </w:p>
    <w:p w:rsidR="00915161" w:rsidRPr="0028108F" w:rsidRDefault="00915161" w:rsidP="00DE5BD5">
      <w:pPr>
        <w:adjustRightInd w:val="0"/>
        <w:snapToGrid w:val="0"/>
        <w:ind w:left="720"/>
        <w:jc w:val="both"/>
        <w:rPr>
          <w:rFonts w:ascii="Arial" w:hAnsi="Arial" w:cs="Arial"/>
          <w:szCs w:val="24"/>
          <w:lang w:val="en-GB"/>
        </w:rPr>
      </w:pPr>
    </w:p>
    <w:p w:rsidR="00915161" w:rsidRPr="0028108F" w:rsidRDefault="00915161" w:rsidP="00DE5BD5">
      <w:pPr>
        <w:tabs>
          <w:tab w:val="left" w:pos="993"/>
        </w:tabs>
        <w:adjustRightInd w:val="0"/>
        <w:snapToGrid w:val="0"/>
        <w:spacing w:afterLines="50" w:after="180"/>
        <w:ind w:left="993" w:hanging="22"/>
        <w:jc w:val="both"/>
        <w:rPr>
          <w:rFonts w:ascii="Arial" w:hAnsi="Arial" w:cs="Arial"/>
          <w:szCs w:val="24"/>
          <w:lang w:val="en-GB"/>
        </w:rPr>
      </w:pPr>
      <w:r w:rsidRPr="0028108F">
        <w:rPr>
          <w:rFonts w:ascii="Arial" w:hAnsi="Arial" w:cs="Arial"/>
          <w:szCs w:val="24"/>
          <w:lang w:val="en-GB"/>
        </w:rPr>
        <w:t>Mr Rimsky Yuen, SC, Secretary for Justice (Chairman)</w:t>
      </w:r>
    </w:p>
    <w:p w:rsidR="00915161" w:rsidRPr="0028108F" w:rsidRDefault="00915161" w:rsidP="00DE5BD5">
      <w:pPr>
        <w:tabs>
          <w:tab w:val="left" w:pos="993"/>
        </w:tabs>
        <w:adjustRightInd w:val="0"/>
        <w:snapToGrid w:val="0"/>
        <w:spacing w:afterLines="50" w:after="180"/>
        <w:ind w:left="993" w:hanging="22"/>
        <w:jc w:val="both"/>
        <w:rPr>
          <w:rFonts w:ascii="Arial" w:hAnsi="Arial" w:cs="Arial"/>
          <w:szCs w:val="24"/>
          <w:lang w:val="en-GB"/>
        </w:rPr>
      </w:pPr>
      <w:r w:rsidRPr="0028108F">
        <w:rPr>
          <w:rFonts w:ascii="Arial" w:hAnsi="Arial" w:cs="Arial"/>
          <w:szCs w:val="24"/>
          <w:lang w:val="en-GB"/>
        </w:rPr>
        <w:t>Mr Stewart Wong, SC</w:t>
      </w:r>
    </w:p>
    <w:p w:rsidR="00915161" w:rsidRPr="0028108F" w:rsidRDefault="00915161" w:rsidP="00DE5BD5">
      <w:pPr>
        <w:tabs>
          <w:tab w:val="left" w:pos="993"/>
        </w:tabs>
        <w:adjustRightInd w:val="0"/>
        <w:snapToGrid w:val="0"/>
        <w:spacing w:afterLines="50" w:after="180"/>
        <w:ind w:left="993" w:hanging="22"/>
        <w:jc w:val="both"/>
        <w:rPr>
          <w:rFonts w:ascii="Arial" w:hAnsi="Arial" w:cs="Arial"/>
          <w:szCs w:val="24"/>
          <w:lang w:val="en-GB"/>
        </w:rPr>
      </w:pPr>
      <w:r w:rsidRPr="0028108F">
        <w:rPr>
          <w:rFonts w:ascii="Arial" w:hAnsi="Arial" w:cs="Arial"/>
          <w:szCs w:val="24"/>
          <w:lang w:val="en-GB"/>
        </w:rPr>
        <w:t>Mr Eric Cheung, Principal Lecturer, University of Hong Kong</w:t>
      </w:r>
    </w:p>
    <w:p w:rsidR="00915161" w:rsidRPr="00181CF2" w:rsidRDefault="00C110DE" w:rsidP="00DE5BD5">
      <w:pPr>
        <w:tabs>
          <w:tab w:val="left" w:pos="993"/>
        </w:tabs>
        <w:adjustRightInd w:val="0"/>
        <w:snapToGrid w:val="0"/>
        <w:spacing w:afterLines="50" w:after="180"/>
        <w:ind w:left="993" w:hanging="22"/>
        <w:jc w:val="both"/>
        <w:rPr>
          <w:rFonts w:ascii="Arial" w:hAnsi="Arial" w:cs="Arial"/>
          <w:szCs w:val="24"/>
          <w:lang w:val="en-GB"/>
        </w:rPr>
      </w:pPr>
      <w:r w:rsidRPr="0028108F">
        <w:rPr>
          <w:rFonts w:ascii="Arial" w:hAnsi="Arial" w:cs="Arial"/>
          <w:szCs w:val="24"/>
          <w:lang w:val="en-GB"/>
        </w:rPr>
        <w:t xml:space="preserve">Miss Rosanna Law, JP, Deputy Secretary for Constitutional and </w:t>
      </w:r>
      <w:r w:rsidRPr="0028108F">
        <w:rPr>
          <w:rFonts w:ascii="Arial" w:hAnsi="Arial" w:cs="Arial"/>
          <w:szCs w:val="24"/>
          <w:lang w:val="en-GB"/>
        </w:rPr>
        <w:lastRenderedPageBreak/>
        <w:t>Mainland Affairs</w:t>
      </w:r>
      <w:r w:rsidRPr="00181CF2">
        <w:rPr>
          <w:rStyle w:val="FootnoteReference"/>
          <w:rFonts w:ascii="Arial" w:hAnsi="Arial" w:cs="Arial"/>
          <w:szCs w:val="24"/>
          <w:lang w:val="en-GB"/>
        </w:rPr>
        <w:footnoteReference w:id="3"/>
      </w:r>
    </w:p>
    <w:p w:rsidR="00915161" w:rsidRPr="00181CF2" w:rsidRDefault="00C110DE" w:rsidP="00DE5BD5">
      <w:pPr>
        <w:tabs>
          <w:tab w:val="left" w:pos="993"/>
        </w:tabs>
        <w:adjustRightInd w:val="0"/>
        <w:snapToGrid w:val="0"/>
        <w:spacing w:afterLines="50" w:after="180"/>
        <w:ind w:left="993" w:hanging="22"/>
        <w:jc w:val="both"/>
        <w:rPr>
          <w:rFonts w:ascii="Arial" w:hAnsi="Arial" w:cs="Arial"/>
          <w:szCs w:val="24"/>
          <w:lang w:val="en-GB"/>
        </w:rPr>
      </w:pPr>
      <w:r w:rsidRPr="0028108F">
        <w:rPr>
          <w:rFonts w:ascii="Arial" w:hAnsi="Arial" w:cs="Arial"/>
          <w:szCs w:val="24"/>
          <w:lang w:val="en-GB"/>
        </w:rPr>
        <w:t>Miss Amy Yuen, Deputy Secretary for Food and Health (Health)</w:t>
      </w:r>
      <w:r w:rsidRPr="00181CF2">
        <w:rPr>
          <w:rStyle w:val="FootnoteReference"/>
          <w:rFonts w:ascii="Arial" w:hAnsi="Arial" w:cs="Arial"/>
          <w:szCs w:val="24"/>
          <w:lang w:val="en-GB"/>
        </w:rPr>
        <w:footnoteReference w:id="4"/>
      </w:r>
    </w:p>
    <w:p w:rsidR="00915161" w:rsidRPr="00C57CE1" w:rsidRDefault="00915161" w:rsidP="00DE5BD5">
      <w:pPr>
        <w:tabs>
          <w:tab w:val="left" w:pos="993"/>
        </w:tabs>
        <w:adjustRightInd w:val="0"/>
        <w:snapToGrid w:val="0"/>
        <w:ind w:left="993" w:hanging="22"/>
        <w:jc w:val="both"/>
        <w:rPr>
          <w:rFonts w:ascii="Arial" w:hAnsi="Arial" w:cs="Arial"/>
          <w:szCs w:val="24"/>
          <w:lang w:val="en-GB"/>
        </w:rPr>
      </w:pPr>
      <w:r w:rsidRPr="00C57CE1">
        <w:rPr>
          <w:rFonts w:ascii="Arial" w:hAnsi="Arial" w:cs="Arial"/>
          <w:szCs w:val="24"/>
          <w:lang w:val="en-GB"/>
        </w:rPr>
        <w:t>Ms Maggie Wong, JP, Deputy Secretary for Security.</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Such a composition is needed because the scope of the IWG's work involves broad-ranging legal, health and social issues cutting across the portfolios of different bureaux and departments of Government, as well as detailed international legal and social research.</w:t>
      </w:r>
      <w:r w:rsidR="00B84878">
        <w:rPr>
          <w:rStyle w:val="FootnoteReference"/>
          <w:rFonts w:ascii="Arial" w:hAnsi="Arial" w:cs="Arial"/>
          <w:szCs w:val="24"/>
        </w:rPr>
        <w:footnoteReference w:id="5"/>
      </w:r>
    </w:p>
    <w:p w:rsidR="00E81C50" w:rsidRDefault="00E81C50" w:rsidP="00E81C50">
      <w:pPr>
        <w:tabs>
          <w:tab w:val="left" w:pos="993"/>
        </w:tabs>
        <w:adjustRightInd w:val="0"/>
        <w:snapToGrid w:val="0"/>
        <w:jc w:val="both"/>
        <w:rPr>
          <w:rFonts w:ascii="Arial" w:hAnsi="Arial" w:cs="Arial"/>
          <w:szCs w:val="24"/>
          <w:lang w:val="en-GB"/>
        </w:rPr>
      </w:pPr>
    </w:p>
    <w:p w:rsidR="00E81C50" w:rsidRPr="000B4F6C" w:rsidRDefault="00E81C50" w:rsidP="00E81C50">
      <w:pPr>
        <w:tabs>
          <w:tab w:val="left" w:pos="993"/>
        </w:tabs>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 xml:space="preserve">Methodology adopted for </w:t>
      </w:r>
      <w:r w:rsidR="00005627">
        <w:rPr>
          <w:rFonts w:ascii="Arial" w:hAnsi="Arial" w:cs="Arial" w:hint="eastAsia"/>
          <w:b/>
          <w:sz w:val="28"/>
          <w:szCs w:val="28"/>
          <w:lang w:val="en-GB"/>
        </w:rPr>
        <w:t xml:space="preserve">the </w:t>
      </w:r>
      <w:r w:rsidRPr="0028108F">
        <w:rPr>
          <w:rFonts w:ascii="Arial" w:hAnsi="Arial" w:cs="Arial"/>
          <w:b/>
          <w:sz w:val="28"/>
          <w:szCs w:val="28"/>
          <w:lang w:val="en-GB"/>
        </w:rPr>
        <w:t>IWG’s study</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IWG commenced its work at the end of January 2014 and has held </w:t>
      </w:r>
      <w:r w:rsidR="000F3A71" w:rsidRPr="008813DE">
        <w:rPr>
          <w:rFonts w:ascii="Arial" w:hAnsi="Arial" w:cs="Arial"/>
          <w:szCs w:val="24"/>
          <w:lang w:val="en-GB"/>
        </w:rPr>
        <w:t>27</w:t>
      </w:r>
      <w:r w:rsidRPr="0028108F">
        <w:rPr>
          <w:rFonts w:ascii="Arial" w:hAnsi="Arial" w:cs="Arial"/>
          <w:szCs w:val="24"/>
          <w:lang w:val="en-GB"/>
        </w:rPr>
        <w:t xml:space="preserve"> meetings to-date, including </w:t>
      </w:r>
      <w:r w:rsidRPr="008813DE">
        <w:rPr>
          <w:rFonts w:ascii="Arial" w:hAnsi="Arial" w:cs="Arial"/>
          <w:szCs w:val="24"/>
          <w:lang w:val="en-GB"/>
        </w:rPr>
        <w:t>9</w:t>
      </w:r>
      <w:r w:rsidRPr="0028108F">
        <w:rPr>
          <w:rFonts w:ascii="Arial" w:hAnsi="Arial" w:cs="Arial"/>
          <w:szCs w:val="24"/>
          <w:lang w:val="en-GB"/>
        </w:rPr>
        <w:t xml:space="preserve"> informal meetings to receive briefings from relevant experts and stakeholders.</w:t>
      </w:r>
    </w:p>
    <w:p w:rsidR="001A11D5" w:rsidRPr="0028108F" w:rsidRDefault="001A11D5" w:rsidP="00DE5BD5">
      <w:pPr>
        <w:tabs>
          <w:tab w:val="left" w:pos="720"/>
        </w:tabs>
        <w:adjustRightInd w:val="0"/>
        <w:snapToGrid w:val="0"/>
        <w:jc w:val="both"/>
        <w:rPr>
          <w:rFonts w:ascii="Arial" w:hAnsi="Arial" w:cs="Arial"/>
          <w:szCs w:val="24"/>
          <w:lang w:val="en-GB"/>
        </w:rPr>
      </w:pPr>
    </w:p>
    <w:p w:rsidR="00915161" w:rsidRPr="0028108F" w:rsidRDefault="00915161" w:rsidP="00915161">
      <w:pPr>
        <w:tabs>
          <w:tab w:val="left" w:pos="720"/>
        </w:tabs>
        <w:adjustRightInd w:val="0"/>
        <w:snapToGrid w:val="0"/>
        <w:ind w:left="720" w:hanging="720"/>
        <w:jc w:val="both"/>
        <w:rPr>
          <w:rFonts w:ascii="Arial" w:hAnsi="Arial" w:cs="Arial"/>
          <w:b/>
          <w:i/>
          <w:szCs w:val="24"/>
          <w:lang w:val="en-GB"/>
        </w:rPr>
      </w:pPr>
      <w:r w:rsidRPr="0028108F">
        <w:rPr>
          <w:rFonts w:ascii="Arial" w:hAnsi="Arial" w:cs="Arial"/>
          <w:b/>
          <w:i/>
          <w:szCs w:val="24"/>
          <w:lang w:val="en-GB"/>
        </w:rPr>
        <w:t>Scope of the IWG’s study</w:t>
      </w:r>
    </w:p>
    <w:p w:rsidR="00915161" w:rsidRPr="0028108F" w:rsidRDefault="00915161" w:rsidP="00915161">
      <w:pPr>
        <w:tabs>
          <w:tab w:val="left" w:pos="720"/>
        </w:tabs>
        <w:adjustRightInd w:val="0"/>
        <w:snapToGrid w:val="0"/>
        <w:jc w:val="both"/>
        <w:rPr>
          <w:rFonts w:ascii="Arial" w:hAnsi="Arial" w:cs="Arial"/>
          <w:szCs w:val="24"/>
          <w:lang w:val="en-GB"/>
        </w:rPr>
      </w:pPr>
    </w:p>
    <w:p w:rsidR="00915161" w:rsidRPr="00181CF2"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szCs w:val="24"/>
          <w:lang w:val="en-GB"/>
        </w:rPr>
        <w:t xml:space="preserve">The scope of the IWG’s study covers a consideration of both recognition and post-recognition issues.  </w:t>
      </w:r>
      <w:r w:rsidRPr="0028108F">
        <w:rPr>
          <w:rFonts w:ascii="Arial" w:hAnsi="Arial" w:cs="Arial"/>
          <w:szCs w:val="24"/>
          <w:lang w:val="en-GB"/>
        </w:rPr>
        <w:t xml:space="preserve">For the first part of its study, the IWG has focused on </w:t>
      </w:r>
      <w:r w:rsidR="00AB778B" w:rsidRPr="0028108F">
        <w:rPr>
          <w:rFonts w:ascii="Arial" w:hAnsi="Arial" w:cs="Arial"/>
          <w:szCs w:val="24"/>
          <w:lang w:val="en-GB"/>
        </w:rPr>
        <w:t>r</w:t>
      </w:r>
      <w:r w:rsidRPr="0028108F">
        <w:rPr>
          <w:rFonts w:ascii="Arial" w:hAnsi="Arial" w:cs="Arial"/>
          <w:szCs w:val="24"/>
          <w:lang w:val="en-GB"/>
        </w:rPr>
        <w:t xml:space="preserve">ecognition </w:t>
      </w:r>
      <w:r w:rsidR="00AB778B" w:rsidRPr="0028108F">
        <w:rPr>
          <w:rFonts w:ascii="Arial" w:hAnsi="Arial" w:cs="Arial"/>
          <w:szCs w:val="24"/>
          <w:lang w:val="en-GB"/>
        </w:rPr>
        <w:t>i</w:t>
      </w:r>
      <w:r w:rsidRPr="0028108F">
        <w:rPr>
          <w:rFonts w:ascii="Arial" w:hAnsi="Arial" w:cs="Arial"/>
          <w:szCs w:val="24"/>
          <w:lang w:val="en-GB"/>
        </w:rPr>
        <w:t xml:space="preserve">ssues, which cover mainly overseas experiences and legal issues which would underlie the operation of a formal gender recognition scheme in Hong Kong, if established.  The second part of the IWG’s study will focus on </w:t>
      </w:r>
      <w:r w:rsidR="00AB778B" w:rsidRPr="0028108F">
        <w:rPr>
          <w:rFonts w:ascii="Arial" w:hAnsi="Arial" w:cs="Arial"/>
          <w:szCs w:val="24"/>
          <w:lang w:val="en-GB"/>
        </w:rPr>
        <w:t>p</w:t>
      </w:r>
      <w:r w:rsidRPr="0028108F">
        <w:rPr>
          <w:rFonts w:ascii="Arial" w:hAnsi="Arial" w:cs="Arial"/>
          <w:szCs w:val="24"/>
          <w:lang w:val="en-GB"/>
        </w:rPr>
        <w:t>ost-</w:t>
      </w:r>
      <w:r w:rsidR="00AB778B" w:rsidRPr="0028108F">
        <w:rPr>
          <w:rFonts w:ascii="Arial" w:hAnsi="Arial" w:cs="Arial"/>
          <w:szCs w:val="24"/>
          <w:lang w:val="en-GB"/>
        </w:rPr>
        <w:t>r</w:t>
      </w:r>
      <w:r w:rsidRPr="0028108F">
        <w:rPr>
          <w:rFonts w:ascii="Arial" w:hAnsi="Arial" w:cs="Arial"/>
          <w:szCs w:val="24"/>
          <w:lang w:val="en-GB"/>
        </w:rPr>
        <w:t xml:space="preserve">ecognition </w:t>
      </w:r>
      <w:r w:rsidR="00AB778B" w:rsidRPr="0028108F">
        <w:rPr>
          <w:rFonts w:ascii="Arial" w:hAnsi="Arial" w:cs="Arial"/>
          <w:szCs w:val="24"/>
          <w:lang w:val="en-GB"/>
        </w:rPr>
        <w:t>i</w:t>
      </w:r>
      <w:r w:rsidRPr="0028108F">
        <w:rPr>
          <w:rFonts w:ascii="Arial" w:hAnsi="Arial" w:cs="Arial"/>
          <w:szCs w:val="24"/>
          <w:lang w:val="en-GB"/>
        </w:rPr>
        <w:t xml:space="preserve">ssues </w:t>
      </w:r>
      <w:r w:rsidR="006A46F9">
        <w:rPr>
          <w:rFonts w:ascii="Arial" w:hAnsi="Arial" w:cs="Arial" w:hint="eastAsia"/>
          <w:szCs w:val="24"/>
          <w:lang w:val="en-GB"/>
        </w:rPr>
        <w:t xml:space="preserve">which will become relevant </w:t>
      </w:r>
      <w:r w:rsidRPr="0028108F">
        <w:rPr>
          <w:rFonts w:ascii="Arial" w:hAnsi="Arial" w:cs="Arial"/>
          <w:szCs w:val="24"/>
          <w:lang w:val="en-GB"/>
        </w:rPr>
        <w:t>in the event that a gender recognition scheme is eventually established in Hong Kong.</w:t>
      </w:r>
      <w:r w:rsidRPr="00181CF2">
        <w:rPr>
          <w:rFonts w:ascii="Arial" w:hAnsi="Arial" w:cs="Arial"/>
          <w:szCs w:val="24"/>
          <w:lang w:val="en-GB"/>
        </w:rPr>
        <w:t xml:space="preserve">  </w:t>
      </w:r>
    </w:p>
    <w:p w:rsidR="00915161" w:rsidRPr="00C57CE1" w:rsidRDefault="00915161" w:rsidP="00DE5BD5">
      <w:pPr>
        <w:tabs>
          <w:tab w:val="left" w:pos="1418"/>
        </w:tabs>
        <w:adjustRightInd w:val="0"/>
        <w:snapToGrid w:val="0"/>
        <w:jc w:val="both"/>
        <w:rPr>
          <w:rFonts w:ascii="Arial" w:hAnsi="Arial" w:cs="Arial"/>
          <w:szCs w:val="24"/>
          <w:lang w:val="en-GB"/>
        </w:rPr>
      </w:pPr>
    </w:p>
    <w:p w:rsidR="00915161" w:rsidRPr="00181CF2"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C57CE1">
        <w:rPr>
          <w:rFonts w:ascii="Arial" w:hAnsi="Arial" w:cs="Arial"/>
          <w:lang w:val="en-GB"/>
        </w:rPr>
        <w:t>As the scope of a possible gender recognition scheme has yet to be determined at this stage,</w:t>
      </w:r>
      <w:r w:rsidRPr="00181CF2">
        <w:rPr>
          <w:rFonts w:ascii="Arial" w:hAnsi="Arial" w:cs="Arial"/>
          <w:lang w:val="en-GB"/>
        </w:rPr>
        <w:t xml:space="preserve"> the IWG’s stu</w:t>
      </w:r>
      <w:r w:rsidRPr="00C57CE1">
        <w:rPr>
          <w:rFonts w:ascii="Arial" w:hAnsi="Arial" w:cs="Arial"/>
          <w:lang w:val="en-GB"/>
        </w:rPr>
        <w:t xml:space="preserve">dy has necessarily included looking at the broader position of transgender persons.  </w:t>
      </w:r>
      <w:r w:rsidRPr="0028108F">
        <w:rPr>
          <w:rFonts w:ascii="Arial" w:hAnsi="Arial" w:cs="Arial"/>
          <w:color w:val="000000"/>
          <w:szCs w:val="24"/>
          <w:lang w:val="en-GB"/>
        </w:rPr>
        <w:t xml:space="preserve">However, for the avoidance of doubt, </w:t>
      </w:r>
      <w:r w:rsidR="006A46F9">
        <w:rPr>
          <w:rFonts w:ascii="Arial" w:hAnsi="Arial" w:cs="Arial" w:hint="eastAsia"/>
          <w:color w:val="000000"/>
          <w:szCs w:val="24"/>
          <w:lang w:val="en-GB"/>
        </w:rPr>
        <w:t xml:space="preserve">it should be noted that </w:t>
      </w:r>
      <w:r w:rsidRPr="0028108F">
        <w:rPr>
          <w:rFonts w:ascii="Arial" w:hAnsi="Arial" w:cs="Arial"/>
          <w:color w:val="000000"/>
          <w:szCs w:val="24"/>
          <w:lang w:val="en-GB"/>
        </w:rPr>
        <w:t>other issues – such as same-sex marriage</w:t>
      </w:r>
      <w:r w:rsidR="00D07209">
        <w:rPr>
          <w:rFonts w:ascii="Arial" w:hAnsi="Arial" w:cs="Arial"/>
          <w:color w:val="000000"/>
          <w:szCs w:val="24"/>
          <w:lang w:val="en-GB"/>
        </w:rPr>
        <w:t>,</w:t>
      </w:r>
      <w:r w:rsidR="00D07209" w:rsidRPr="00D07209">
        <w:rPr>
          <w:rFonts w:ascii="Arial" w:hAnsi="Arial" w:cs="Arial" w:hint="eastAsia"/>
          <w:szCs w:val="24"/>
          <w:lang w:val="en-GB"/>
        </w:rPr>
        <w:t xml:space="preserve"> </w:t>
      </w:r>
      <w:r w:rsidR="00D07209">
        <w:rPr>
          <w:rFonts w:ascii="Arial" w:hAnsi="Arial" w:cs="Arial" w:hint="eastAsia"/>
          <w:szCs w:val="24"/>
          <w:lang w:val="en-GB"/>
        </w:rPr>
        <w:t>civil partnership</w:t>
      </w:r>
      <w:r w:rsidRPr="0028108F">
        <w:rPr>
          <w:rFonts w:ascii="Arial" w:hAnsi="Arial" w:cs="Arial"/>
          <w:color w:val="000000"/>
          <w:szCs w:val="24"/>
          <w:lang w:val="en-GB"/>
        </w:rPr>
        <w:t xml:space="preserve"> and discrimination against sexual minorities – are outside the scope of the IWG’s study.</w:t>
      </w:r>
      <w:r w:rsidRPr="00181CF2">
        <w:rPr>
          <w:rStyle w:val="FootnoteReference"/>
          <w:rFonts w:ascii="Arial" w:hAnsi="Arial" w:cs="Arial"/>
          <w:color w:val="000000"/>
          <w:szCs w:val="24"/>
          <w:lang w:val="en-GB"/>
        </w:rPr>
        <w:footnoteReference w:id="6"/>
      </w:r>
    </w:p>
    <w:p w:rsidR="00915161" w:rsidRDefault="00915161" w:rsidP="008813DE">
      <w:pPr>
        <w:tabs>
          <w:tab w:val="left" w:pos="720"/>
        </w:tabs>
        <w:adjustRightInd w:val="0"/>
        <w:snapToGrid w:val="0"/>
        <w:ind w:left="720" w:hanging="720"/>
        <w:jc w:val="both"/>
        <w:rPr>
          <w:rFonts w:ascii="Arial" w:hAnsi="Arial" w:cs="Arial"/>
          <w:szCs w:val="24"/>
          <w:lang w:val="en-GB"/>
        </w:rPr>
      </w:pPr>
    </w:p>
    <w:p w:rsidR="00B802F4" w:rsidRDefault="00B802F4" w:rsidP="008813DE">
      <w:pPr>
        <w:tabs>
          <w:tab w:val="left" w:pos="720"/>
        </w:tabs>
        <w:adjustRightInd w:val="0"/>
        <w:snapToGrid w:val="0"/>
        <w:ind w:left="720" w:hanging="720"/>
        <w:jc w:val="both"/>
        <w:rPr>
          <w:rFonts w:ascii="Arial" w:hAnsi="Arial" w:cs="Arial"/>
          <w:szCs w:val="24"/>
          <w:lang w:val="en-GB"/>
        </w:rPr>
      </w:pPr>
    </w:p>
    <w:p w:rsidR="00B802F4" w:rsidRPr="00C57CE1" w:rsidRDefault="00B802F4" w:rsidP="008813DE">
      <w:pPr>
        <w:tabs>
          <w:tab w:val="left" w:pos="720"/>
        </w:tabs>
        <w:adjustRightInd w:val="0"/>
        <w:snapToGrid w:val="0"/>
        <w:ind w:left="720" w:hanging="720"/>
        <w:jc w:val="both"/>
        <w:rPr>
          <w:rFonts w:ascii="Arial" w:hAnsi="Arial" w:cs="Arial"/>
          <w:szCs w:val="24"/>
          <w:lang w:val="en-GB"/>
        </w:rPr>
      </w:pPr>
    </w:p>
    <w:p w:rsidR="00915161" w:rsidRPr="0028108F" w:rsidRDefault="00915161" w:rsidP="00DE5BD5">
      <w:pPr>
        <w:tabs>
          <w:tab w:val="left" w:pos="720"/>
        </w:tabs>
        <w:adjustRightInd w:val="0"/>
        <w:snapToGrid w:val="0"/>
        <w:ind w:left="720" w:hanging="720"/>
        <w:jc w:val="both"/>
        <w:rPr>
          <w:rFonts w:ascii="Arial" w:hAnsi="Arial" w:cs="Arial"/>
          <w:b/>
          <w:i/>
          <w:szCs w:val="24"/>
          <w:lang w:val="en-GB"/>
        </w:rPr>
      </w:pPr>
      <w:r w:rsidRPr="0028108F">
        <w:rPr>
          <w:rFonts w:ascii="Arial" w:hAnsi="Arial" w:cs="Arial"/>
          <w:b/>
          <w:i/>
          <w:szCs w:val="24"/>
          <w:lang w:val="en-GB"/>
        </w:rPr>
        <w:lastRenderedPageBreak/>
        <w:t>Recognition issues</w:t>
      </w:r>
    </w:p>
    <w:p w:rsidR="00915161" w:rsidRPr="0028108F" w:rsidRDefault="00915161" w:rsidP="00DE5BD5">
      <w:pPr>
        <w:tabs>
          <w:tab w:val="left" w:pos="720"/>
        </w:tabs>
        <w:adjustRightInd w:val="0"/>
        <w:snapToGrid w:val="0"/>
        <w:ind w:left="720" w:hanging="72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For the study on </w:t>
      </w:r>
      <w:r w:rsidR="00AB778B" w:rsidRPr="0028108F">
        <w:rPr>
          <w:rFonts w:ascii="Arial" w:hAnsi="Arial" w:cs="Arial"/>
          <w:szCs w:val="24"/>
          <w:lang w:val="en-GB"/>
        </w:rPr>
        <w:t>r</w:t>
      </w:r>
      <w:r w:rsidRPr="0028108F">
        <w:rPr>
          <w:rFonts w:ascii="Arial" w:hAnsi="Arial" w:cs="Arial"/>
          <w:szCs w:val="24"/>
          <w:lang w:val="en-GB"/>
        </w:rPr>
        <w:t xml:space="preserve">ecognition </w:t>
      </w:r>
      <w:r w:rsidR="00AB778B" w:rsidRPr="0028108F">
        <w:rPr>
          <w:rFonts w:ascii="Arial" w:hAnsi="Arial" w:cs="Arial"/>
          <w:szCs w:val="24"/>
          <w:lang w:val="en-GB"/>
        </w:rPr>
        <w:t>i</w:t>
      </w:r>
      <w:r w:rsidRPr="0028108F">
        <w:rPr>
          <w:rFonts w:ascii="Arial" w:hAnsi="Arial" w:cs="Arial"/>
          <w:szCs w:val="24"/>
          <w:lang w:val="en-GB"/>
        </w:rPr>
        <w:t>ssues, the IWG has conducted research on matters relating to transgender or transsexual persons, both in Hong Kong and internationally, including the condition known as gender identity disorder, or gender dysphoria.</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Within its study on </w:t>
      </w:r>
      <w:r w:rsidR="00AB778B" w:rsidRPr="0028108F">
        <w:rPr>
          <w:rFonts w:ascii="Arial" w:hAnsi="Arial" w:cs="Arial"/>
          <w:szCs w:val="24"/>
          <w:lang w:val="en-GB"/>
        </w:rPr>
        <w:t>r</w:t>
      </w:r>
      <w:r w:rsidRPr="0028108F">
        <w:rPr>
          <w:rFonts w:ascii="Arial" w:hAnsi="Arial" w:cs="Arial"/>
          <w:szCs w:val="24"/>
          <w:lang w:val="en-GB"/>
        </w:rPr>
        <w:t xml:space="preserve">ecognition </w:t>
      </w:r>
      <w:r w:rsidR="00AB778B" w:rsidRPr="0028108F">
        <w:rPr>
          <w:rFonts w:ascii="Arial" w:hAnsi="Arial" w:cs="Arial"/>
          <w:szCs w:val="24"/>
          <w:lang w:val="en-GB"/>
        </w:rPr>
        <w:t>i</w:t>
      </w:r>
      <w:r w:rsidRPr="0028108F">
        <w:rPr>
          <w:rFonts w:ascii="Arial" w:hAnsi="Arial" w:cs="Arial"/>
          <w:szCs w:val="24"/>
          <w:lang w:val="en-GB"/>
        </w:rPr>
        <w:t>ssues, the IWG has also been undertaking a comparative study of the legislation, schemes and case-law on gender recognition in other jurisdictions, as well as the standards of international bodies in this area.  The IWG observes that there is no single common approach to issues of gender recognition in the international arena</w:t>
      </w:r>
      <w:r w:rsidR="00B51F0D" w:rsidRPr="0028108F">
        <w:rPr>
          <w:rFonts w:ascii="Arial" w:hAnsi="Arial" w:cs="Arial"/>
          <w:szCs w:val="24"/>
          <w:lang w:val="en-GB"/>
        </w:rPr>
        <w:t>,</w:t>
      </w:r>
      <w:r w:rsidRPr="0028108F">
        <w:rPr>
          <w:rFonts w:ascii="Arial" w:hAnsi="Arial" w:cs="Arial"/>
          <w:szCs w:val="24"/>
          <w:lang w:val="en-GB"/>
        </w:rPr>
        <w:t xml:space="preserve"> and the comparative information contained in this paper represents the findings of the IWG up to this point and is included for reference proposes only.  </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Issues that the IWG </w:t>
      </w:r>
      <w:r w:rsidR="00B51F0D" w:rsidRPr="0028108F">
        <w:rPr>
          <w:rFonts w:ascii="Arial" w:hAnsi="Arial" w:cs="Arial"/>
          <w:szCs w:val="24"/>
          <w:lang w:val="en-GB"/>
        </w:rPr>
        <w:t xml:space="preserve">has </w:t>
      </w:r>
      <w:r w:rsidRPr="0028108F">
        <w:rPr>
          <w:rFonts w:ascii="Arial" w:hAnsi="Arial" w:cs="Arial"/>
          <w:szCs w:val="24"/>
          <w:lang w:val="en-GB"/>
        </w:rPr>
        <w:t>been considering in this context include:</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181CF2"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(a)</w:t>
      </w:r>
      <w:r w:rsidRPr="0028108F">
        <w:rPr>
          <w:rFonts w:ascii="Arial" w:hAnsi="Arial" w:cs="Arial"/>
          <w:szCs w:val="24"/>
          <w:lang w:val="en-GB"/>
        </w:rPr>
        <w:tab/>
        <w:t>whether a gender recognition scheme should be established</w:t>
      </w:r>
      <w:r w:rsidR="008F5CF0">
        <w:rPr>
          <w:rFonts w:ascii="Arial" w:hAnsi="Arial" w:cs="Arial" w:hint="eastAsia"/>
          <w:szCs w:val="24"/>
          <w:lang w:val="en-GB"/>
        </w:rPr>
        <w:t xml:space="preserve"> in </w:t>
      </w:r>
      <w:r w:rsidRPr="0028108F">
        <w:rPr>
          <w:rFonts w:ascii="Arial" w:hAnsi="Arial" w:cs="Arial"/>
          <w:szCs w:val="24"/>
          <w:lang w:val="en-GB"/>
        </w:rPr>
        <w:t>Hong Kong;</w:t>
      </w:r>
    </w:p>
    <w:p w:rsidR="00915161" w:rsidRPr="00C57CE1" w:rsidRDefault="00915161" w:rsidP="00DE5BD5">
      <w:pPr>
        <w:tabs>
          <w:tab w:val="left" w:pos="1440"/>
        </w:tabs>
        <w:adjustRightInd w:val="0"/>
        <w:snapToGrid w:val="0"/>
        <w:ind w:left="1440" w:hanging="720"/>
        <w:jc w:val="both"/>
        <w:rPr>
          <w:rFonts w:ascii="Arial" w:hAnsi="Arial" w:cs="Arial"/>
          <w:szCs w:val="24"/>
          <w:lang w:val="en-GB"/>
        </w:rPr>
      </w:pPr>
    </w:p>
    <w:p w:rsidR="00915161" w:rsidRPr="00C57CE1"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(b)</w:t>
      </w:r>
      <w:r w:rsidRPr="0028108F">
        <w:rPr>
          <w:rFonts w:ascii="Arial" w:hAnsi="Arial" w:cs="Arial"/>
          <w:szCs w:val="24"/>
          <w:lang w:val="en-GB"/>
        </w:rPr>
        <w:tab/>
        <w:t xml:space="preserve">the criteria for </w:t>
      </w:r>
      <w:r w:rsidR="008F5CF0">
        <w:rPr>
          <w:rFonts w:ascii="Arial" w:hAnsi="Arial" w:cs="Arial" w:hint="eastAsia"/>
          <w:szCs w:val="24"/>
          <w:lang w:val="en-GB"/>
        </w:rPr>
        <w:t xml:space="preserve">determining whether a person is eligible </w:t>
      </w:r>
      <w:r w:rsidRPr="0028108F">
        <w:rPr>
          <w:rFonts w:ascii="Arial" w:hAnsi="Arial" w:cs="Arial"/>
          <w:szCs w:val="24"/>
          <w:lang w:val="en-GB"/>
        </w:rPr>
        <w:t xml:space="preserve">for gender recognition (which may include residential requirements, minimum age, marital status and the number of years the </w:t>
      </w:r>
      <w:r w:rsidR="008F5CF0">
        <w:rPr>
          <w:rFonts w:ascii="Arial" w:hAnsi="Arial" w:cs="Arial" w:hint="eastAsia"/>
          <w:szCs w:val="24"/>
          <w:lang w:val="en-GB"/>
        </w:rPr>
        <w:t>person</w:t>
      </w:r>
      <w:r w:rsidRPr="0028108F">
        <w:rPr>
          <w:rFonts w:ascii="Arial" w:hAnsi="Arial" w:cs="Arial"/>
          <w:szCs w:val="24"/>
          <w:lang w:val="en-GB"/>
        </w:rPr>
        <w:t xml:space="preserve"> has lived in the reassigned</w:t>
      </w:r>
      <w:r w:rsidR="008F5CF0">
        <w:rPr>
          <w:rFonts w:ascii="Arial" w:hAnsi="Arial" w:cs="Arial" w:hint="eastAsia"/>
          <w:szCs w:val="24"/>
          <w:lang w:val="en-GB"/>
        </w:rPr>
        <w:t xml:space="preserve">, </w:t>
      </w:r>
      <w:r w:rsidRPr="0028108F">
        <w:rPr>
          <w:rFonts w:ascii="Arial" w:hAnsi="Arial" w:cs="Arial"/>
          <w:szCs w:val="24"/>
          <w:lang w:val="en-GB"/>
        </w:rPr>
        <w:t>acquired</w:t>
      </w:r>
      <w:r w:rsidR="008F5CF0">
        <w:rPr>
          <w:rFonts w:ascii="Arial" w:hAnsi="Arial" w:cs="Arial" w:hint="eastAsia"/>
          <w:szCs w:val="24"/>
          <w:lang w:val="en-GB"/>
        </w:rPr>
        <w:t xml:space="preserve"> or </w:t>
      </w:r>
      <w:r w:rsidRPr="0028108F">
        <w:rPr>
          <w:rFonts w:ascii="Arial" w:hAnsi="Arial" w:cs="Arial"/>
          <w:szCs w:val="24"/>
          <w:lang w:val="en-GB"/>
        </w:rPr>
        <w:t>preferred sex or gender);</w:t>
      </w:r>
      <w:r w:rsidR="00B51F0D" w:rsidRPr="00181CF2">
        <w:rPr>
          <w:rFonts w:ascii="Arial" w:hAnsi="Arial" w:cs="Arial"/>
          <w:szCs w:val="24"/>
          <w:lang w:val="en-GB"/>
        </w:rPr>
        <w:t xml:space="preserve"> and</w:t>
      </w:r>
    </w:p>
    <w:p w:rsidR="00915161" w:rsidRPr="0028108F" w:rsidRDefault="00915161" w:rsidP="00DE5BD5">
      <w:pPr>
        <w:tabs>
          <w:tab w:val="left" w:pos="720"/>
        </w:tabs>
        <w:adjustRightInd w:val="0"/>
        <w:snapToGrid w:val="0"/>
        <w:ind w:left="72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w:t>
      </w:r>
      <w:r w:rsidR="005C29B7" w:rsidRPr="0028108F">
        <w:rPr>
          <w:rFonts w:ascii="Arial" w:hAnsi="Arial" w:cs="Arial"/>
          <w:szCs w:val="24"/>
          <w:lang w:val="en-GB"/>
        </w:rPr>
        <w:t>c</w:t>
      </w:r>
      <w:r w:rsidRPr="0028108F">
        <w:rPr>
          <w:rFonts w:ascii="Arial" w:hAnsi="Arial" w:cs="Arial"/>
          <w:szCs w:val="24"/>
          <w:lang w:val="en-GB"/>
        </w:rPr>
        <w:t>)</w:t>
      </w:r>
      <w:r w:rsidRPr="0028108F">
        <w:rPr>
          <w:rFonts w:ascii="Arial" w:hAnsi="Arial" w:cs="Arial"/>
          <w:szCs w:val="24"/>
          <w:lang w:val="en-GB"/>
        </w:rPr>
        <w:tab/>
        <w:t xml:space="preserve">the procedure for gender recognition (including medical and evidential requirements, what type of authority should </w:t>
      </w:r>
      <w:r w:rsidR="00D2685A">
        <w:rPr>
          <w:rFonts w:ascii="Arial" w:hAnsi="Arial" w:cs="Arial"/>
          <w:szCs w:val="24"/>
          <w:lang w:val="en-GB"/>
        </w:rPr>
        <w:t xml:space="preserve">be given the power to </w:t>
      </w:r>
      <w:r w:rsidRPr="0028108F">
        <w:rPr>
          <w:rFonts w:ascii="Arial" w:hAnsi="Arial" w:cs="Arial"/>
          <w:szCs w:val="24"/>
          <w:lang w:val="en-GB"/>
        </w:rPr>
        <w:t>determine applications for gender recognition, and whether foreign gender recognition decisions should be recognised).</w:t>
      </w:r>
    </w:p>
    <w:p w:rsidR="00915161" w:rsidRPr="0028108F" w:rsidRDefault="00915161" w:rsidP="008813DE">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720"/>
        </w:tabs>
        <w:adjustRightInd w:val="0"/>
        <w:snapToGrid w:val="0"/>
        <w:jc w:val="both"/>
        <w:rPr>
          <w:rFonts w:ascii="Arial" w:hAnsi="Arial" w:cs="Arial"/>
          <w:b/>
          <w:i/>
          <w:szCs w:val="24"/>
          <w:lang w:val="en-GB"/>
        </w:rPr>
      </w:pPr>
      <w:r w:rsidRPr="0028108F">
        <w:rPr>
          <w:rFonts w:ascii="Arial" w:hAnsi="Arial" w:cs="Arial"/>
          <w:b/>
          <w:i/>
          <w:szCs w:val="24"/>
          <w:lang w:val="en-GB"/>
        </w:rPr>
        <w:t>Post-recognition issues</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With regard to the impact of gender recognition on </w:t>
      </w:r>
      <w:r w:rsidRPr="0028108F">
        <w:rPr>
          <w:rFonts w:ascii="Arial" w:hAnsi="Arial" w:cs="Arial"/>
          <w:i/>
          <w:szCs w:val="24"/>
          <w:lang w:val="en-GB"/>
        </w:rPr>
        <w:t>existing</w:t>
      </w:r>
      <w:r w:rsidRPr="0028108F">
        <w:rPr>
          <w:rFonts w:ascii="Arial" w:hAnsi="Arial" w:cs="Arial"/>
          <w:szCs w:val="24"/>
          <w:lang w:val="en-GB"/>
        </w:rPr>
        <w:t xml:space="preserve"> laws and practice, it is anticipated that a major part of the work for the IWG will involve conducting a review of all the legislative provisions and administrative measures in Hong Kong which may be potentially affected by the recognition of a change of gender, so that any required legislative or </w:t>
      </w:r>
      <w:r w:rsidR="00AC3A1E">
        <w:rPr>
          <w:rFonts w:ascii="Arial" w:hAnsi="Arial" w:cs="Arial"/>
          <w:szCs w:val="24"/>
          <w:lang w:val="en-GB"/>
        </w:rPr>
        <w:t xml:space="preserve">administrative </w:t>
      </w:r>
      <w:r w:rsidRPr="0028108F">
        <w:rPr>
          <w:rFonts w:ascii="Arial" w:hAnsi="Arial" w:cs="Arial"/>
          <w:szCs w:val="24"/>
          <w:lang w:val="en-GB"/>
        </w:rPr>
        <w:t xml:space="preserve">reform can be followed up by the Government.  </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subject of gender recognition may touch on a wide range of legal areas, including administrative law, constitutional law, criminal law, data protection law, family law, human rights law, medical law, mental health law, property law and other areas. </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Based on the information we have gathered so far, the number of statutory provisions potentially affected appears to be very </w:t>
      </w:r>
      <w:r w:rsidR="006A46F9">
        <w:rPr>
          <w:rFonts w:ascii="Arial" w:hAnsi="Arial" w:cs="Arial" w:hint="eastAsia"/>
          <w:szCs w:val="24"/>
          <w:lang w:val="en-GB"/>
        </w:rPr>
        <w:t>substantial</w:t>
      </w:r>
      <w:r w:rsidRPr="0028108F">
        <w:rPr>
          <w:rFonts w:ascii="Arial" w:hAnsi="Arial" w:cs="Arial"/>
          <w:szCs w:val="24"/>
          <w:lang w:val="en-GB"/>
        </w:rPr>
        <w:t xml:space="preserve">, with possibly many complicated consequential legal issues to be addressed.  For example, the IWG may need to consider the effect of a recognised change of </w:t>
      </w:r>
      <w:r w:rsidRPr="0028108F">
        <w:rPr>
          <w:rFonts w:ascii="Arial" w:hAnsi="Arial" w:cs="Arial"/>
          <w:szCs w:val="24"/>
          <w:lang w:val="en-GB"/>
        </w:rPr>
        <w:lastRenderedPageBreak/>
        <w:t>gender on:</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181CF2"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(a)</w:t>
      </w:r>
      <w:r w:rsidRPr="0028108F">
        <w:rPr>
          <w:rFonts w:ascii="Arial" w:hAnsi="Arial" w:cs="Arial"/>
          <w:szCs w:val="24"/>
          <w:lang w:val="en-GB"/>
        </w:rPr>
        <w:tab/>
        <w:t>official documentation;</w:t>
      </w:r>
    </w:p>
    <w:p w:rsidR="00915161" w:rsidRPr="00C57CE1"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(b)</w:t>
      </w:r>
      <w:r w:rsidRPr="0028108F">
        <w:rPr>
          <w:rFonts w:ascii="Arial" w:hAnsi="Arial" w:cs="Arial"/>
          <w:szCs w:val="24"/>
          <w:lang w:val="en-GB"/>
        </w:rPr>
        <w:tab/>
        <w:t>privacy and related matters (such as the need for legal protection of data about a person’s gender history);</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(c)</w:t>
      </w:r>
      <w:r w:rsidRPr="0028108F">
        <w:rPr>
          <w:rFonts w:ascii="Arial" w:hAnsi="Arial" w:cs="Arial"/>
          <w:szCs w:val="24"/>
          <w:lang w:val="en-GB"/>
        </w:rPr>
        <w:tab/>
        <w:t>family and parenthood matters (such as the status of a subsisting marriage to which the applicant is a party and the applicant’s parental rights and responsibilities);</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(d)</w:t>
      </w:r>
      <w:r w:rsidRPr="0028108F">
        <w:rPr>
          <w:rFonts w:ascii="Arial" w:hAnsi="Arial" w:cs="Arial"/>
          <w:szCs w:val="24"/>
          <w:lang w:val="en-GB"/>
        </w:rPr>
        <w:tab/>
        <w:t>criminal law, procedure and evidence matters (such as gender specific offences);</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(e)</w:t>
      </w:r>
      <w:r w:rsidRPr="0028108F">
        <w:rPr>
          <w:rFonts w:ascii="Arial" w:hAnsi="Arial" w:cs="Arial"/>
          <w:szCs w:val="24"/>
          <w:lang w:val="en-GB"/>
        </w:rPr>
        <w:tab/>
        <w:t>property and succession matters (such as the right of succession to property and the small house policy);</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(f)</w:t>
      </w:r>
      <w:r w:rsidRPr="0028108F">
        <w:rPr>
          <w:rFonts w:ascii="Arial" w:hAnsi="Arial" w:cs="Arial"/>
          <w:szCs w:val="24"/>
          <w:lang w:val="en-GB"/>
        </w:rPr>
        <w:tab/>
        <w:t>compensation and benefits matters (such as the right to receive social welfare benefits and pensions); and</w:t>
      </w:r>
    </w:p>
    <w:p w:rsidR="00915161" w:rsidRPr="0028108F" w:rsidRDefault="00915161" w:rsidP="00DE5BD5">
      <w:pPr>
        <w:tabs>
          <w:tab w:val="left" w:pos="2160"/>
        </w:tabs>
        <w:adjustRightInd w:val="0"/>
        <w:snapToGrid w:val="0"/>
        <w:ind w:left="216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(g)</w:t>
      </w:r>
      <w:r w:rsidRPr="0028108F">
        <w:rPr>
          <w:rFonts w:ascii="Arial" w:hAnsi="Arial" w:cs="Arial"/>
          <w:szCs w:val="24"/>
          <w:lang w:val="en-GB"/>
        </w:rPr>
        <w:tab/>
        <w:t>tax related matters (such as entitlement to a married person's allowance).</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Acknowledgements</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7"/>
        </w:numPr>
        <w:tabs>
          <w:tab w:val="left" w:pos="1418"/>
        </w:tabs>
        <w:adjustRightInd w:val="0"/>
        <w:snapToGrid w:val="0"/>
        <w:ind w:left="0" w:firstLine="0"/>
        <w:jc w:val="both"/>
        <w:rPr>
          <w:rFonts w:ascii="Arial" w:hAnsi="Arial" w:cs="Arial"/>
          <w:i/>
          <w:sz w:val="20"/>
          <w:szCs w:val="20"/>
          <w:lang w:val="en-GB"/>
        </w:rPr>
      </w:pPr>
      <w:r w:rsidRPr="0028108F">
        <w:rPr>
          <w:rFonts w:ascii="Arial" w:hAnsi="Arial" w:cs="Arial"/>
          <w:szCs w:val="24"/>
          <w:lang w:val="en-GB"/>
        </w:rPr>
        <w:t>The IWG wishes to thank all the individuals and organisations it has consulted to-date for their invaluable assistance in providing information and advice during the preparation of this paper.</w:t>
      </w:r>
    </w:p>
    <w:p w:rsidR="00915161" w:rsidRPr="0028108F" w:rsidRDefault="00915161" w:rsidP="00DE5BD5">
      <w:pPr>
        <w:adjustRightInd w:val="0"/>
        <w:snapToGrid w:val="0"/>
        <w:jc w:val="both"/>
        <w:rPr>
          <w:rFonts w:ascii="Arial" w:hAnsi="Arial" w:cs="Arial"/>
          <w:b/>
          <w:szCs w:val="24"/>
          <w:lang w:val="en-GB"/>
        </w:rPr>
      </w:pPr>
    </w:p>
    <w:p w:rsidR="00915161" w:rsidRPr="0028108F" w:rsidRDefault="00915161">
      <w:pPr>
        <w:widowControl/>
        <w:rPr>
          <w:rFonts w:ascii="Arial" w:hAnsi="Arial" w:cs="Arial"/>
          <w:b/>
          <w:szCs w:val="24"/>
          <w:lang w:val="en-GB"/>
        </w:rPr>
      </w:pPr>
      <w:r w:rsidRPr="0028108F">
        <w:rPr>
          <w:rFonts w:ascii="Arial" w:hAnsi="Arial" w:cs="Arial"/>
          <w:b/>
          <w:szCs w:val="24"/>
          <w:lang w:val="en-GB"/>
        </w:rPr>
        <w:br w:type="page"/>
      </w:r>
    </w:p>
    <w:p w:rsidR="00915161" w:rsidRPr="0028108F" w:rsidRDefault="00915161"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lastRenderedPageBreak/>
        <w:t>CHAPTER 1</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spacing w:afterLines="50" w:after="180"/>
        <w:jc w:val="both"/>
        <w:rPr>
          <w:rFonts w:ascii="Arial" w:hAnsi="Arial" w:cs="Arial"/>
          <w:b/>
          <w:sz w:val="32"/>
          <w:szCs w:val="32"/>
          <w:lang w:val="en-GB"/>
        </w:rPr>
      </w:pPr>
      <w:r w:rsidRPr="0028108F">
        <w:rPr>
          <w:rFonts w:ascii="Arial" w:hAnsi="Arial" w:cs="Arial"/>
          <w:b/>
          <w:sz w:val="32"/>
          <w:szCs w:val="32"/>
          <w:lang w:val="en-GB"/>
        </w:rPr>
        <w:t>INTRODUCTION AND RELEVANT TERMINOLOGY</w:t>
      </w:r>
    </w:p>
    <w:p w:rsidR="00915161" w:rsidRPr="0028108F" w:rsidRDefault="00915161"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___________________________________</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Pr="0028108F">
        <w:rPr>
          <w:rFonts w:ascii="Arial" w:hAnsi="Arial" w:cs="Arial"/>
          <w:szCs w:val="24"/>
          <w:lang w:val="en-GB"/>
        </w:rPr>
        <w:tab/>
      </w:r>
      <w:r w:rsidRPr="0028108F">
        <w:rPr>
          <w:rFonts w:ascii="Arial" w:hAnsi="Arial" w:cs="Arial"/>
          <w:szCs w:val="24"/>
          <w:lang w:val="en-GB"/>
        </w:rPr>
        <w:tab/>
        <w:t xml:space="preserve">There </w:t>
      </w:r>
      <w:r w:rsidR="005D646F" w:rsidRPr="0028108F">
        <w:rPr>
          <w:rFonts w:ascii="Arial" w:hAnsi="Arial" w:cs="Arial"/>
          <w:szCs w:val="24"/>
          <w:lang w:val="en-GB"/>
        </w:rPr>
        <w:t>are</w:t>
      </w:r>
      <w:r w:rsidRPr="0028108F">
        <w:rPr>
          <w:rFonts w:ascii="Arial" w:hAnsi="Arial" w:cs="Arial"/>
          <w:szCs w:val="24"/>
          <w:lang w:val="en-GB"/>
        </w:rPr>
        <w:t xml:space="preserve"> people in society who </w:t>
      </w:r>
      <w:r w:rsidR="002A2F3E">
        <w:rPr>
          <w:rFonts w:ascii="Arial" w:hAnsi="Arial" w:cs="Arial"/>
          <w:szCs w:val="24"/>
          <w:lang w:val="en-GB"/>
        </w:rPr>
        <w:t xml:space="preserve">have </w:t>
      </w:r>
      <w:r w:rsidRPr="0028108F">
        <w:rPr>
          <w:rFonts w:ascii="Arial" w:hAnsi="Arial" w:cs="Arial"/>
          <w:szCs w:val="24"/>
          <w:lang w:val="en-GB"/>
        </w:rPr>
        <w:t>the feeling that they were born into the wrong body.</w:t>
      </w:r>
      <w:r w:rsidR="00413217" w:rsidRPr="0028108F">
        <w:rPr>
          <w:rStyle w:val="FootnoteReference"/>
          <w:rFonts w:ascii="Arial" w:hAnsi="Arial" w:cs="Arial"/>
          <w:szCs w:val="24"/>
          <w:lang w:val="en-GB"/>
        </w:rPr>
        <w:footnoteReference w:id="7"/>
      </w:r>
      <w:r w:rsidRPr="0028108F">
        <w:rPr>
          <w:rFonts w:ascii="Arial" w:hAnsi="Arial" w:cs="Arial"/>
          <w:szCs w:val="24"/>
          <w:lang w:val="en-GB"/>
        </w:rPr>
        <w:t xml:space="preserve">  This is because </w:t>
      </w:r>
      <w:r w:rsidRPr="0028108F">
        <w:rPr>
          <w:rFonts w:ascii="Arial" w:hAnsi="Arial" w:cs="Arial"/>
          <w:lang w:val="en-GB"/>
        </w:rPr>
        <w:t>the gender</w:t>
      </w:r>
      <w:r w:rsidRPr="0028108F">
        <w:rPr>
          <w:rStyle w:val="FootnoteReference"/>
          <w:rFonts w:ascii="Arial" w:hAnsi="Arial" w:cs="Arial"/>
          <w:lang w:val="en-GB"/>
        </w:rPr>
        <w:footnoteReference w:id="8"/>
      </w:r>
      <w:r w:rsidRPr="0028108F">
        <w:rPr>
          <w:rFonts w:ascii="Arial" w:hAnsi="Arial" w:cs="Arial"/>
          <w:lang w:val="en-GB"/>
        </w:rPr>
        <w:t xml:space="preserve"> that they identify with is incompatible with the gender they were assigned at birth.  The Government of the United Kingdom observed that:</w:t>
      </w:r>
    </w:p>
    <w:p w:rsidR="00915161" w:rsidRPr="0028108F" w:rsidRDefault="00915161" w:rsidP="00DE5BD5">
      <w:pPr>
        <w:adjustRightInd w:val="0"/>
        <w:snapToGrid w:val="0"/>
        <w:jc w:val="both"/>
        <w:rPr>
          <w:rFonts w:ascii="Arial" w:hAnsi="Arial" w:cs="Arial"/>
          <w:lang w:val="en-GB"/>
        </w:rPr>
      </w:pPr>
    </w:p>
    <w:p w:rsidR="00915161" w:rsidRPr="0028108F" w:rsidRDefault="00915161" w:rsidP="00DE5BD5">
      <w:pPr>
        <w:tabs>
          <w:tab w:val="left" w:pos="709"/>
        </w:tabs>
        <w:adjustRightInd w:val="0"/>
        <w:snapToGrid w:val="0"/>
        <w:ind w:left="709" w:rightChars="271" w:right="650"/>
        <w:jc w:val="both"/>
        <w:rPr>
          <w:rFonts w:ascii="Arial" w:hAnsi="Arial" w:cs="Arial"/>
          <w:lang w:val="en-GB"/>
        </w:rPr>
      </w:pPr>
      <w:r w:rsidRPr="0028108F">
        <w:rPr>
          <w:rFonts w:ascii="Arial" w:hAnsi="Arial" w:cs="Arial"/>
          <w:i/>
          <w:szCs w:val="24"/>
          <w:lang w:val="en-GB"/>
        </w:rPr>
        <w:t>“The deep conviction that gender identity (believing oneself to be a man or a woman) does not match one’s appearance and/or anatomy is called gender dysphoria or gender identity disorder. The incongruity between identity and body can be so strong that individuals are driven to presenting themselves in the opposite gender. Some people experience this incompatibility of identity and body in childhood; others later in life. Once experienced, the feelings are unlikely to disappear but it may take many years to cross over - or ‘transition’ - completely from the original into the acquired gender.”</w:t>
      </w:r>
      <w:r w:rsidRPr="0028108F">
        <w:rPr>
          <w:rStyle w:val="FootnoteReference"/>
          <w:rFonts w:ascii="Arial" w:hAnsi="Arial" w:cs="Arial"/>
          <w:lang w:val="en-GB"/>
        </w:rPr>
        <w:footnoteReference w:id="9"/>
      </w:r>
      <w:r w:rsidRPr="0028108F">
        <w:rPr>
          <w:rFonts w:ascii="Arial" w:hAnsi="Arial" w:cs="Arial"/>
          <w:lang w:val="en-GB"/>
        </w:rPr>
        <w:t xml:space="preserve"> </w:t>
      </w:r>
    </w:p>
    <w:p w:rsidR="00915161" w:rsidRPr="0028108F" w:rsidRDefault="00915161" w:rsidP="00DE5BD5">
      <w:pPr>
        <w:adjustRightInd w:val="0"/>
        <w:snapToGrid w:val="0"/>
        <w:jc w:val="both"/>
        <w:rPr>
          <w:rFonts w:ascii="Arial" w:hAnsi="Arial" w:cs="Arial"/>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lang w:val="en-GB"/>
        </w:rPr>
        <w:t>1</w:t>
      </w:r>
      <w:r w:rsidRPr="0028108F">
        <w:rPr>
          <w:rFonts w:ascii="Arial" w:hAnsi="Arial" w:cs="Arial"/>
          <w:szCs w:val="24"/>
          <w:lang w:val="en-GB"/>
        </w:rPr>
        <w:t>.2</w:t>
      </w:r>
      <w:r w:rsidRPr="0028108F">
        <w:rPr>
          <w:rFonts w:ascii="Arial" w:hAnsi="Arial" w:cs="Arial"/>
          <w:szCs w:val="24"/>
          <w:lang w:val="en-GB"/>
        </w:rPr>
        <w:tab/>
      </w:r>
      <w:r w:rsidRPr="0028108F">
        <w:rPr>
          <w:rFonts w:ascii="Arial" w:hAnsi="Arial" w:cs="Arial"/>
          <w:szCs w:val="24"/>
          <w:lang w:val="en-GB"/>
        </w:rPr>
        <w:tab/>
        <w:t>The situation for these people is a</w:t>
      </w:r>
      <w:r w:rsidR="006A46F9">
        <w:rPr>
          <w:rFonts w:ascii="Arial" w:hAnsi="Arial" w:cs="Arial" w:hint="eastAsia"/>
          <w:szCs w:val="24"/>
          <w:lang w:val="en-GB"/>
        </w:rPr>
        <w:t xml:space="preserve"> very</w:t>
      </w:r>
      <w:r w:rsidRPr="0028108F">
        <w:rPr>
          <w:rFonts w:ascii="Arial" w:hAnsi="Arial" w:cs="Arial"/>
          <w:szCs w:val="24"/>
          <w:lang w:val="en-GB"/>
        </w:rPr>
        <w:t xml:space="preserve"> complex one, not only from the emotional and physical perspectives, but also socially and legally:</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709"/>
        </w:tabs>
        <w:adjustRightInd w:val="0"/>
        <w:snapToGrid w:val="0"/>
        <w:ind w:left="709" w:rightChars="271" w:right="650"/>
        <w:jc w:val="both"/>
        <w:rPr>
          <w:rFonts w:ascii="Arial" w:hAnsi="Arial" w:cs="Arial"/>
          <w:szCs w:val="24"/>
          <w:lang w:val="en-GB"/>
        </w:rPr>
      </w:pPr>
      <w:r w:rsidRPr="0028108F">
        <w:rPr>
          <w:rFonts w:ascii="Arial" w:hAnsi="Arial" w:cs="Arial"/>
          <w:i/>
          <w:szCs w:val="24"/>
          <w:lang w:val="en-GB"/>
        </w:rPr>
        <w:t xml:space="preserve">“Gender underpins most of our societal arrangements and </w:t>
      </w:r>
      <w:r w:rsidRPr="0028108F">
        <w:rPr>
          <w:rFonts w:ascii="Arial" w:hAnsi="Arial" w:cs="Arial"/>
          <w:i/>
          <w:szCs w:val="24"/>
          <w:lang w:val="en-GB"/>
        </w:rPr>
        <w:lastRenderedPageBreak/>
        <w:t xml:space="preserve">statutes. </w:t>
      </w:r>
      <w:r w:rsidR="009E2C10">
        <w:rPr>
          <w:rFonts w:ascii="Arial" w:hAnsi="Arial" w:cs="Arial" w:hint="eastAsia"/>
          <w:i/>
          <w:szCs w:val="24"/>
          <w:lang w:val="en-GB"/>
        </w:rPr>
        <w:t xml:space="preserve"> </w:t>
      </w:r>
      <w:r w:rsidRPr="0028108F">
        <w:rPr>
          <w:rFonts w:ascii="Arial" w:hAnsi="Arial" w:cs="Arial"/>
          <w:i/>
          <w:szCs w:val="24"/>
          <w:lang w:val="en-GB"/>
        </w:rPr>
        <w:t xml:space="preserve">It is an essential quality, concerning our sense of who we are and what sort of people we identify with. </w:t>
      </w:r>
      <w:r w:rsidR="009E2C10">
        <w:rPr>
          <w:rFonts w:ascii="Arial" w:hAnsi="Arial" w:cs="Arial" w:hint="eastAsia"/>
          <w:i/>
          <w:szCs w:val="24"/>
          <w:lang w:val="en-GB"/>
        </w:rPr>
        <w:t xml:space="preserve"> </w:t>
      </w:r>
      <w:r w:rsidRPr="0028108F">
        <w:rPr>
          <w:rFonts w:ascii="Arial" w:hAnsi="Arial" w:cs="Arial"/>
          <w:i/>
          <w:szCs w:val="24"/>
          <w:lang w:val="en-GB"/>
        </w:rPr>
        <w:t>The process of transition - of recognising and acting on the desire to ‘come out’ in the opposite gender - is a very significant step to take and one which may have profound effects on relationships - with families, employers and workmates, friends and acquaintances.”</w:t>
      </w:r>
      <w:r w:rsidRPr="0028108F">
        <w:rPr>
          <w:rStyle w:val="FootnoteReference"/>
          <w:rFonts w:ascii="Arial" w:hAnsi="Arial" w:cs="Arial"/>
          <w:szCs w:val="24"/>
          <w:lang w:val="en-GB"/>
        </w:rPr>
        <w:footnoteReference w:id="10"/>
      </w:r>
    </w:p>
    <w:p w:rsidR="00915161" w:rsidRPr="0028108F" w:rsidRDefault="00915161" w:rsidP="00DE5BD5">
      <w:pPr>
        <w:adjustRightInd w:val="0"/>
        <w:snapToGrid w:val="0"/>
        <w:jc w:val="both"/>
        <w:rPr>
          <w:rFonts w:ascii="Arial" w:hAnsi="Arial" w:cs="Arial"/>
          <w:szCs w:val="24"/>
          <w:lang w:val="en-GB"/>
        </w:rPr>
      </w:pPr>
    </w:p>
    <w:p w:rsidR="00E12ECA" w:rsidRPr="00181CF2" w:rsidRDefault="00915161" w:rsidP="00DE5BD5">
      <w:pPr>
        <w:tabs>
          <w:tab w:val="left" w:pos="993"/>
        </w:tabs>
        <w:adjustRightInd w:val="0"/>
        <w:snapToGrid w:val="0"/>
        <w:jc w:val="both"/>
        <w:rPr>
          <w:rFonts w:ascii="Arial" w:eastAsia="細明體" w:hAnsi="Arial" w:cs="Arial"/>
          <w:color w:val="000000"/>
          <w:kern w:val="0"/>
          <w:szCs w:val="24"/>
          <w:lang w:val="en-GB"/>
        </w:rPr>
      </w:pPr>
      <w:r w:rsidRPr="0028108F">
        <w:rPr>
          <w:rFonts w:ascii="Arial" w:hAnsi="Arial" w:cs="Arial"/>
          <w:szCs w:val="24"/>
          <w:lang w:val="en-GB"/>
        </w:rPr>
        <w:t>1.3</w:t>
      </w:r>
      <w:r w:rsidRPr="0028108F">
        <w:rPr>
          <w:rFonts w:ascii="Arial" w:hAnsi="Arial" w:cs="Arial"/>
          <w:szCs w:val="24"/>
          <w:lang w:val="en-GB"/>
        </w:rPr>
        <w:tab/>
      </w:r>
      <w:r w:rsidRPr="0028108F">
        <w:rPr>
          <w:rFonts w:ascii="Arial" w:hAnsi="Arial" w:cs="Arial"/>
          <w:szCs w:val="24"/>
          <w:lang w:val="en-GB"/>
        </w:rPr>
        <w:tab/>
        <w:t xml:space="preserve">The CFA in </w:t>
      </w:r>
      <w:r w:rsidRPr="0028108F">
        <w:rPr>
          <w:rFonts w:ascii="Arial" w:hAnsi="Arial" w:cs="Arial"/>
          <w:i/>
          <w:szCs w:val="24"/>
          <w:lang w:val="en-GB"/>
        </w:rPr>
        <w:t>W</w:t>
      </w:r>
      <w:r w:rsidRPr="0028108F">
        <w:rPr>
          <w:rFonts w:ascii="Arial" w:hAnsi="Arial" w:cs="Arial"/>
          <w:szCs w:val="24"/>
          <w:lang w:val="en-GB"/>
        </w:rPr>
        <w:t>’s case also recognised that “</w:t>
      </w:r>
      <w:r w:rsidRPr="0028108F">
        <w:rPr>
          <w:rFonts w:ascii="Arial" w:hAnsi="Arial" w:cs="Arial"/>
          <w:i/>
          <w:szCs w:val="24"/>
          <w:lang w:val="en-GB"/>
        </w:rPr>
        <w:t>people who have the misfortune of suffering from the gender identity disorder or gender dysphoria of transsexualism possess the chromosomal and other biological features of one sex but profoundly and unshakeably perceive themselves to be members of the opposite sex</w:t>
      </w:r>
      <w:r w:rsidRPr="0028108F">
        <w:rPr>
          <w:rFonts w:ascii="Arial" w:hAnsi="Arial" w:cs="Arial"/>
          <w:szCs w:val="24"/>
          <w:lang w:val="en-GB"/>
        </w:rPr>
        <w:t>” and “</w:t>
      </w:r>
      <w:r w:rsidRPr="0028108F">
        <w:rPr>
          <w:rFonts w:ascii="Arial" w:hAnsi="Arial" w:cs="Arial"/>
          <w:i/>
          <w:szCs w:val="24"/>
          <w:lang w:val="en-GB"/>
        </w:rPr>
        <w:t>[t]hey may persistently experience acute emotional distress, feeling themselves trapped in a body which does not correspond with what they firmly believe to be their ‘real’ sex.</w:t>
      </w:r>
      <w:r w:rsidRPr="0028108F">
        <w:rPr>
          <w:rFonts w:ascii="Arial" w:hAnsi="Arial" w:cs="Arial"/>
          <w:szCs w:val="24"/>
          <w:lang w:val="en-GB"/>
        </w:rPr>
        <w:t>”</w:t>
      </w:r>
      <w:r w:rsidRPr="0028108F">
        <w:rPr>
          <w:rStyle w:val="FootnoteReference"/>
          <w:rFonts w:ascii="Arial" w:hAnsi="Arial" w:cs="Arial"/>
          <w:szCs w:val="24"/>
          <w:lang w:val="en-GB"/>
        </w:rPr>
        <w:footnoteReference w:id="11"/>
      </w:r>
      <w:r w:rsidRPr="0028108F">
        <w:rPr>
          <w:rFonts w:ascii="Arial" w:eastAsia="細明體" w:hAnsi="Arial" w:cs="Arial"/>
          <w:color w:val="000000"/>
          <w:kern w:val="0"/>
          <w:szCs w:val="24"/>
          <w:lang w:val="en-GB"/>
        </w:rPr>
        <w:t xml:space="preserve">  </w:t>
      </w:r>
    </w:p>
    <w:p w:rsidR="00E12ECA" w:rsidRPr="00C57CE1" w:rsidRDefault="00E12ECA" w:rsidP="00DE5BD5">
      <w:pPr>
        <w:tabs>
          <w:tab w:val="left" w:pos="993"/>
        </w:tabs>
        <w:adjustRightInd w:val="0"/>
        <w:snapToGrid w:val="0"/>
        <w:jc w:val="both"/>
        <w:rPr>
          <w:rFonts w:ascii="Arial" w:eastAsia="細明體" w:hAnsi="Arial" w:cs="Arial"/>
          <w:color w:val="000000"/>
          <w:kern w:val="0"/>
          <w:szCs w:val="24"/>
          <w:lang w:val="en-GB"/>
        </w:rPr>
      </w:pPr>
    </w:p>
    <w:p w:rsidR="00915161" w:rsidRPr="00181CF2" w:rsidRDefault="00E12ECA"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1.4</w:t>
      </w:r>
      <w:r w:rsidRPr="0028108F">
        <w:rPr>
          <w:rFonts w:ascii="Arial" w:eastAsia="細明體" w:hAnsi="Arial" w:cs="Arial"/>
          <w:color w:val="000000"/>
          <w:kern w:val="0"/>
          <w:szCs w:val="24"/>
          <w:lang w:val="en-GB"/>
        </w:rPr>
        <w:tab/>
      </w:r>
      <w:r w:rsidRPr="0028108F">
        <w:rPr>
          <w:rFonts w:ascii="Arial" w:eastAsia="細明體" w:hAnsi="Arial" w:cs="Arial"/>
          <w:color w:val="000000"/>
          <w:kern w:val="0"/>
          <w:szCs w:val="24"/>
          <w:lang w:val="en-GB"/>
        </w:rPr>
        <w:tab/>
      </w:r>
      <w:r w:rsidR="00915161" w:rsidRPr="0028108F">
        <w:rPr>
          <w:rFonts w:ascii="Arial" w:eastAsia="細明體" w:hAnsi="Arial" w:cs="Arial"/>
          <w:color w:val="000000"/>
          <w:kern w:val="0"/>
          <w:szCs w:val="24"/>
          <w:lang w:val="en-GB"/>
        </w:rPr>
        <w:t xml:space="preserve">Research has revealed that people </w:t>
      </w:r>
      <w:r w:rsidR="00626EBA">
        <w:rPr>
          <w:rFonts w:ascii="Arial" w:eastAsia="細明體" w:hAnsi="Arial" w:cs="Arial" w:hint="eastAsia"/>
          <w:color w:val="000000"/>
          <w:kern w:val="0"/>
          <w:szCs w:val="24"/>
          <w:lang w:val="en-GB"/>
        </w:rPr>
        <w:t>hav</w:t>
      </w:r>
      <w:r w:rsidR="00626EBA" w:rsidRPr="00181CF2">
        <w:rPr>
          <w:rFonts w:ascii="Arial" w:eastAsia="細明體" w:hAnsi="Arial" w:cs="Arial"/>
          <w:color w:val="000000"/>
          <w:kern w:val="0"/>
          <w:szCs w:val="24"/>
          <w:lang w:val="en-GB"/>
        </w:rPr>
        <w:t xml:space="preserve">ing </w:t>
      </w:r>
      <w:r w:rsidR="003E505C" w:rsidRPr="00181CF2">
        <w:rPr>
          <w:rFonts w:ascii="Arial" w:eastAsia="細明體" w:hAnsi="Arial" w:cs="Arial"/>
          <w:color w:val="000000"/>
          <w:kern w:val="0"/>
          <w:szCs w:val="24"/>
          <w:lang w:val="en-GB"/>
        </w:rPr>
        <w:t xml:space="preserve">gender dysphoria </w:t>
      </w:r>
      <w:r w:rsidR="00915161" w:rsidRPr="0028108F">
        <w:rPr>
          <w:rFonts w:ascii="Arial" w:eastAsia="細明體" w:hAnsi="Arial" w:cs="Arial"/>
          <w:color w:val="000000"/>
          <w:kern w:val="0"/>
          <w:szCs w:val="24"/>
          <w:lang w:val="en-GB"/>
        </w:rPr>
        <w:t xml:space="preserve">may </w:t>
      </w:r>
      <w:r w:rsidR="003E505C" w:rsidRPr="00181CF2">
        <w:rPr>
          <w:rFonts w:ascii="Arial" w:eastAsia="細明體" w:hAnsi="Arial" w:cs="Arial"/>
          <w:color w:val="000000"/>
          <w:kern w:val="0"/>
          <w:szCs w:val="24"/>
          <w:lang w:val="en-GB"/>
        </w:rPr>
        <w:t xml:space="preserve">also </w:t>
      </w:r>
      <w:r w:rsidR="00626EBA">
        <w:rPr>
          <w:rFonts w:ascii="Arial" w:eastAsia="細明體" w:hAnsi="Arial" w:cs="Arial" w:hint="eastAsia"/>
          <w:color w:val="000000"/>
          <w:kern w:val="0"/>
          <w:szCs w:val="24"/>
          <w:lang w:val="en-GB"/>
        </w:rPr>
        <w:t>experience</w:t>
      </w:r>
      <w:r w:rsidR="002F7EB3" w:rsidRPr="00181CF2">
        <w:rPr>
          <w:rFonts w:ascii="Arial" w:eastAsia="細明體" w:hAnsi="Arial" w:cs="Arial"/>
          <w:color w:val="000000"/>
          <w:kern w:val="0"/>
          <w:szCs w:val="24"/>
          <w:lang w:val="en-GB"/>
        </w:rPr>
        <w:t xml:space="preserve"> </w:t>
      </w:r>
      <w:r w:rsidR="004A4F7C" w:rsidRPr="00C57CE1">
        <w:rPr>
          <w:rFonts w:ascii="Arial" w:eastAsia="細明體" w:hAnsi="Arial" w:cs="Arial"/>
          <w:color w:val="000000"/>
          <w:kern w:val="0"/>
          <w:szCs w:val="24"/>
          <w:lang w:val="en-GB"/>
        </w:rPr>
        <w:t xml:space="preserve">some </w:t>
      </w:r>
      <w:r w:rsidR="003E505C" w:rsidRPr="0028108F">
        <w:rPr>
          <w:rFonts w:ascii="Arial" w:eastAsia="細明體" w:hAnsi="Arial" w:cs="Arial"/>
          <w:color w:val="000000"/>
          <w:kern w:val="0"/>
          <w:szCs w:val="24"/>
          <w:lang w:val="en-GB"/>
        </w:rPr>
        <w:t xml:space="preserve">other type of </w:t>
      </w:r>
      <w:r w:rsidR="002F7EB3" w:rsidRPr="0028108F">
        <w:rPr>
          <w:rFonts w:ascii="Arial" w:eastAsia="細明體" w:hAnsi="Arial" w:cs="Arial"/>
          <w:color w:val="000000"/>
          <w:kern w:val="0"/>
          <w:szCs w:val="24"/>
          <w:lang w:val="en-GB"/>
        </w:rPr>
        <w:t xml:space="preserve">emotional stress </w:t>
      </w:r>
      <w:r w:rsidR="004A4F7C" w:rsidRPr="0028108F">
        <w:rPr>
          <w:rFonts w:ascii="Arial" w:eastAsia="細明體" w:hAnsi="Arial" w:cs="Arial"/>
          <w:color w:val="000000"/>
          <w:kern w:val="0"/>
          <w:szCs w:val="24"/>
          <w:lang w:val="en-GB"/>
        </w:rPr>
        <w:t xml:space="preserve">or </w:t>
      </w:r>
      <w:r w:rsidR="002F7EB3" w:rsidRPr="0028108F">
        <w:rPr>
          <w:rFonts w:ascii="Arial" w:eastAsia="細明體" w:hAnsi="Arial" w:cs="Arial"/>
          <w:color w:val="000000"/>
          <w:kern w:val="0"/>
          <w:szCs w:val="24"/>
          <w:lang w:val="en-GB"/>
        </w:rPr>
        <w:t xml:space="preserve">psychological </w:t>
      </w:r>
      <w:r w:rsidR="004A4F7C" w:rsidRPr="0028108F">
        <w:rPr>
          <w:rFonts w:ascii="Arial" w:eastAsia="細明體" w:hAnsi="Arial" w:cs="Arial"/>
          <w:color w:val="000000"/>
          <w:kern w:val="0"/>
          <w:szCs w:val="24"/>
          <w:lang w:val="en-GB"/>
        </w:rPr>
        <w:t>disorder</w:t>
      </w:r>
      <w:r w:rsidR="00915161" w:rsidRPr="0028108F">
        <w:rPr>
          <w:rFonts w:ascii="Arial" w:eastAsia="細明體" w:hAnsi="Arial" w:cs="Arial"/>
          <w:color w:val="000000"/>
          <w:kern w:val="0"/>
          <w:szCs w:val="24"/>
          <w:lang w:val="en-GB"/>
        </w:rPr>
        <w:t>,</w:t>
      </w:r>
      <w:r w:rsidR="003E505C" w:rsidRPr="00181CF2">
        <w:rPr>
          <w:rFonts w:ascii="Arial" w:eastAsia="細明體" w:hAnsi="Arial" w:cs="Arial"/>
          <w:color w:val="000000"/>
          <w:kern w:val="0"/>
          <w:szCs w:val="24"/>
          <w:lang w:val="en-GB"/>
        </w:rPr>
        <w:t xml:space="preserve"> such as depression,</w:t>
      </w:r>
      <w:r w:rsidR="00915161" w:rsidRPr="0028108F">
        <w:rPr>
          <w:rFonts w:ascii="Arial" w:eastAsia="細明體" w:hAnsi="Arial" w:cs="Arial"/>
          <w:color w:val="000000"/>
          <w:kern w:val="0"/>
          <w:szCs w:val="24"/>
          <w:lang w:val="en-GB"/>
        </w:rPr>
        <w:t xml:space="preserve"> particularly in the workplace setting, where they </w:t>
      </w:r>
      <w:r w:rsidR="003E505C" w:rsidRPr="00181CF2">
        <w:rPr>
          <w:rFonts w:ascii="Arial" w:eastAsia="細明體" w:hAnsi="Arial" w:cs="Arial"/>
          <w:color w:val="000000"/>
          <w:kern w:val="0"/>
          <w:szCs w:val="24"/>
          <w:lang w:val="en-GB"/>
        </w:rPr>
        <w:t xml:space="preserve">may </w:t>
      </w:r>
      <w:r w:rsidR="002F7EB3" w:rsidRPr="00C57CE1">
        <w:rPr>
          <w:rFonts w:ascii="Arial" w:eastAsia="細明體" w:hAnsi="Arial" w:cs="Arial"/>
          <w:color w:val="000000"/>
          <w:kern w:val="0"/>
          <w:szCs w:val="24"/>
          <w:lang w:val="en-GB"/>
        </w:rPr>
        <w:t xml:space="preserve">have to </w:t>
      </w:r>
      <w:r w:rsidR="009A6657" w:rsidRPr="0028108F">
        <w:rPr>
          <w:rFonts w:ascii="Arial" w:eastAsia="細明體" w:hAnsi="Arial" w:cs="Arial"/>
          <w:color w:val="000000"/>
          <w:kern w:val="0"/>
          <w:szCs w:val="24"/>
          <w:lang w:val="en-GB"/>
        </w:rPr>
        <w:t>conceal their gender identity</w:t>
      </w:r>
      <w:r w:rsidR="002F7EB3" w:rsidRPr="0028108F">
        <w:rPr>
          <w:rFonts w:ascii="Arial" w:eastAsia="細明體" w:hAnsi="Arial" w:cs="Arial"/>
          <w:color w:val="000000"/>
          <w:kern w:val="0"/>
          <w:szCs w:val="24"/>
          <w:lang w:val="en-GB"/>
        </w:rPr>
        <w:t xml:space="preserve"> </w:t>
      </w:r>
      <w:r w:rsidR="00D13A08" w:rsidRPr="0028108F">
        <w:rPr>
          <w:rFonts w:ascii="Arial" w:eastAsia="細明體" w:hAnsi="Arial" w:cs="Arial"/>
          <w:color w:val="000000"/>
          <w:kern w:val="0"/>
          <w:szCs w:val="24"/>
          <w:lang w:val="en-GB"/>
        </w:rPr>
        <w:t>f</w:t>
      </w:r>
      <w:r w:rsidR="002F7EB3" w:rsidRPr="0028108F">
        <w:rPr>
          <w:rFonts w:ascii="Arial" w:eastAsia="細明體" w:hAnsi="Arial" w:cs="Arial"/>
          <w:color w:val="000000"/>
          <w:kern w:val="0"/>
          <w:szCs w:val="24"/>
          <w:lang w:val="en-GB"/>
        </w:rPr>
        <w:t xml:space="preserve">or </w:t>
      </w:r>
      <w:r w:rsidR="00D13A08" w:rsidRPr="00181CF2">
        <w:rPr>
          <w:rFonts w:ascii="Arial" w:eastAsia="細明體" w:hAnsi="Arial" w:cs="Arial"/>
          <w:color w:val="000000"/>
          <w:kern w:val="0"/>
          <w:szCs w:val="24"/>
          <w:lang w:val="en-GB"/>
        </w:rPr>
        <w:t>a</w:t>
      </w:r>
      <w:r w:rsidR="00D13A08" w:rsidRPr="00C57CE1">
        <w:rPr>
          <w:rFonts w:ascii="Arial" w:eastAsia="細明體" w:hAnsi="Arial" w:cs="Arial"/>
          <w:color w:val="000000"/>
          <w:kern w:val="0"/>
          <w:szCs w:val="24"/>
          <w:lang w:val="en-GB"/>
        </w:rPr>
        <w:t>voidance</w:t>
      </w:r>
      <w:r w:rsidR="00D13A08" w:rsidRPr="0028108F">
        <w:rPr>
          <w:rFonts w:ascii="Arial" w:eastAsia="細明體" w:hAnsi="Arial" w:cs="Arial"/>
          <w:color w:val="000000"/>
          <w:kern w:val="0"/>
          <w:szCs w:val="24"/>
          <w:lang w:val="en-GB"/>
        </w:rPr>
        <w:t xml:space="preserve"> </w:t>
      </w:r>
      <w:r w:rsidR="00D13A08" w:rsidRPr="00181CF2">
        <w:rPr>
          <w:rFonts w:ascii="Arial" w:eastAsia="細明體" w:hAnsi="Arial" w:cs="Arial"/>
          <w:color w:val="000000"/>
          <w:kern w:val="0"/>
          <w:szCs w:val="24"/>
          <w:lang w:val="en-GB"/>
        </w:rPr>
        <w:t xml:space="preserve">of </w:t>
      </w:r>
      <w:r w:rsidR="00915161" w:rsidRPr="0028108F">
        <w:rPr>
          <w:rFonts w:ascii="Arial" w:eastAsia="細明體" w:hAnsi="Arial" w:cs="Arial"/>
          <w:color w:val="000000"/>
          <w:kern w:val="0"/>
          <w:szCs w:val="24"/>
          <w:lang w:val="en-GB"/>
        </w:rPr>
        <w:t xml:space="preserve">making colleagues feel uncomfortable or being stereotyped as mentally ill, HIV positive or promiscuous, etc.  A significant relationship </w:t>
      </w:r>
      <w:r w:rsidR="003E505C" w:rsidRPr="00181CF2">
        <w:rPr>
          <w:rFonts w:ascii="Arial" w:eastAsia="細明體" w:hAnsi="Arial" w:cs="Arial"/>
          <w:color w:val="000000"/>
          <w:kern w:val="0"/>
          <w:szCs w:val="24"/>
          <w:lang w:val="en-GB"/>
        </w:rPr>
        <w:t xml:space="preserve">has been found to exist </w:t>
      </w:r>
      <w:r w:rsidR="00915161" w:rsidRPr="0028108F">
        <w:rPr>
          <w:rFonts w:ascii="Arial" w:eastAsia="細明體" w:hAnsi="Arial" w:cs="Arial"/>
          <w:color w:val="000000"/>
          <w:kern w:val="0"/>
          <w:szCs w:val="24"/>
          <w:lang w:val="en-GB"/>
        </w:rPr>
        <w:t xml:space="preserve">between </w:t>
      </w:r>
      <w:r w:rsidR="003E505C" w:rsidRPr="00181CF2">
        <w:rPr>
          <w:rFonts w:ascii="Arial" w:eastAsia="細明體" w:hAnsi="Arial" w:cs="Arial"/>
          <w:color w:val="000000"/>
          <w:kern w:val="0"/>
          <w:szCs w:val="24"/>
          <w:lang w:val="en-GB"/>
        </w:rPr>
        <w:t xml:space="preserve">gender identity </w:t>
      </w:r>
      <w:r w:rsidR="00915161" w:rsidRPr="0028108F">
        <w:rPr>
          <w:rFonts w:ascii="Arial" w:eastAsia="細明體" w:hAnsi="Arial" w:cs="Arial"/>
          <w:color w:val="000000"/>
          <w:kern w:val="0"/>
          <w:szCs w:val="24"/>
          <w:lang w:val="en-GB"/>
        </w:rPr>
        <w:t>disorder</w:t>
      </w:r>
      <w:r w:rsidR="005C29B7" w:rsidRPr="00181CF2">
        <w:rPr>
          <w:rFonts w:ascii="Arial" w:eastAsia="細明體" w:hAnsi="Arial" w:cs="Arial"/>
          <w:color w:val="000000"/>
          <w:kern w:val="0"/>
          <w:szCs w:val="24"/>
          <w:lang w:val="en-GB"/>
        </w:rPr>
        <w:t xml:space="preserve"> or gender dysphoria</w:t>
      </w:r>
      <w:r w:rsidR="00915161" w:rsidRPr="0028108F">
        <w:rPr>
          <w:rFonts w:ascii="Arial" w:eastAsia="細明體" w:hAnsi="Arial" w:cs="Arial"/>
          <w:color w:val="000000"/>
          <w:kern w:val="0"/>
          <w:szCs w:val="24"/>
          <w:lang w:val="en-GB"/>
        </w:rPr>
        <w:t xml:space="preserve"> and unemployment</w:t>
      </w:r>
      <w:r w:rsidR="003E505C" w:rsidRPr="00181CF2">
        <w:rPr>
          <w:rFonts w:ascii="Arial" w:eastAsia="細明體" w:hAnsi="Arial" w:cs="Arial"/>
          <w:color w:val="000000"/>
          <w:kern w:val="0"/>
          <w:szCs w:val="24"/>
          <w:lang w:val="en-GB"/>
        </w:rPr>
        <w:t>,</w:t>
      </w:r>
      <w:r w:rsidR="00915161" w:rsidRPr="0028108F">
        <w:rPr>
          <w:rFonts w:ascii="Arial" w:eastAsia="細明體" w:hAnsi="Arial" w:cs="Arial"/>
          <w:color w:val="000000"/>
          <w:kern w:val="0"/>
          <w:szCs w:val="24"/>
          <w:lang w:val="en-GB"/>
        </w:rPr>
        <w:t xml:space="preserve"> </w:t>
      </w:r>
      <w:r w:rsidR="003E505C" w:rsidRPr="00181CF2">
        <w:rPr>
          <w:rFonts w:ascii="Arial" w:eastAsia="細明體" w:hAnsi="Arial" w:cs="Arial"/>
          <w:color w:val="000000"/>
          <w:kern w:val="0"/>
          <w:szCs w:val="24"/>
          <w:lang w:val="en-GB"/>
        </w:rPr>
        <w:t xml:space="preserve">with </w:t>
      </w:r>
      <w:r w:rsidR="00915161" w:rsidRPr="0028108F">
        <w:rPr>
          <w:rFonts w:ascii="Arial" w:eastAsia="細明體" w:hAnsi="Arial" w:cs="Arial"/>
          <w:color w:val="000000"/>
          <w:kern w:val="0"/>
          <w:szCs w:val="24"/>
          <w:lang w:val="en-GB"/>
        </w:rPr>
        <w:t xml:space="preserve">higher unemployment levels amongst people </w:t>
      </w:r>
      <w:r w:rsidR="00626EBA">
        <w:rPr>
          <w:rFonts w:ascii="Arial" w:eastAsia="細明體" w:hAnsi="Arial" w:cs="Arial" w:hint="eastAsia"/>
          <w:color w:val="000000"/>
          <w:kern w:val="0"/>
          <w:szCs w:val="24"/>
          <w:lang w:val="en-GB"/>
        </w:rPr>
        <w:t>hav</w:t>
      </w:r>
      <w:r w:rsidR="00626EBA" w:rsidRPr="0028108F">
        <w:rPr>
          <w:rFonts w:ascii="Arial" w:eastAsia="細明體" w:hAnsi="Arial" w:cs="Arial"/>
          <w:color w:val="000000"/>
          <w:kern w:val="0"/>
          <w:szCs w:val="24"/>
          <w:lang w:val="en-GB"/>
        </w:rPr>
        <w:t xml:space="preserve">ing </w:t>
      </w:r>
      <w:r w:rsidR="004A4F7C" w:rsidRPr="00181CF2">
        <w:rPr>
          <w:rFonts w:ascii="Arial" w:eastAsia="細明體" w:hAnsi="Arial" w:cs="Arial"/>
          <w:color w:val="000000"/>
          <w:kern w:val="0"/>
          <w:szCs w:val="24"/>
          <w:lang w:val="en-GB"/>
        </w:rPr>
        <w:t xml:space="preserve">gender identity disorder or </w:t>
      </w:r>
      <w:r w:rsidR="00915161" w:rsidRPr="0028108F">
        <w:rPr>
          <w:rFonts w:ascii="Arial" w:eastAsia="細明體" w:hAnsi="Arial" w:cs="Arial"/>
          <w:color w:val="000000"/>
          <w:kern w:val="0"/>
          <w:szCs w:val="24"/>
          <w:lang w:val="en-GB"/>
        </w:rPr>
        <w:t>gender dysphoria than that in the general population of Hong Kong, as well their experiencing negative treatment at work (such as being mocked or verbal insulted).</w:t>
      </w:r>
      <w:r w:rsidR="00915161" w:rsidRPr="0028108F">
        <w:rPr>
          <w:rStyle w:val="FootnoteReference"/>
          <w:rFonts w:ascii="Arial" w:eastAsia="細明體" w:hAnsi="Arial" w:cs="Arial"/>
          <w:color w:val="000000"/>
          <w:kern w:val="0"/>
          <w:szCs w:val="24"/>
          <w:lang w:val="en-GB"/>
        </w:rPr>
        <w:footnoteReference w:id="12"/>
      </w:r>
      <w:r w:rsidR="00915161" w:rsidRPr="0028108F">
        <w:rPr>
          <w:rFonts w:ascii="Arial" w:eastAsia="細明體" w:hAnsi="Arial" w:cs="Arial"/>
          <w:color w:val="000000"/>
          <w:kern w:val="0"/>
          <w:szCs w:val="24"/>
          <w:lang w:val="en-GB"/>
        </w:rPr>
        <w:t xml:space="preserve">  </w:t>
      </w:r>
      <w:r w:rsidR="003E505C" w:rsidRPr="00C57CE1">
        <w:rPr>
          <w:rFonts w:ascii="Arial" w:eastAsia="細明體" w:hAnsi="Arial" w:cs="Arial"/>
          <w:color w:val="000000"/>
          <w:kern w:val="0"/>
          <w:szCs w:val="24"/>
          <w:lang w:val="en-GB"/>
        </w:rPr>
        <w:t>It has been reported that a</w:t>
      </w:r>
      <w:r w:rsidR="002E30D8" w:rsidRPr="0028108F">
        <w:rPr>
          <w:rFonts w:ascii="Arial" w:eastAsia="細明體" w:hAnsi="Arial" w:cs="Arial"/>
          <w:color w:val="000000"/>
          <w:kern w:val="0"/>
          <w:szCs w:val="24"/>
          <w:lang w:val="en-GB"/>
        </w:rPr>
        <w:t xml:space="preserve"> significant </w:t>
      </w:r>
      <w:r w:rsidR="003E505C" w:rsidRPr="0028108F">
        <w:rPr>
          <w:rFonts w:ascii="Arial" w:eastAsia="細明體" w:hAnsi="Arial" w:cs="Arial"/>
          <w:color w:val="000000"/>
          <w:kern w:val="0"/>
          <w:szCs w:val="24"/>
          <w:lang w:val="en-GB"/>
        </w:rPr>
        <w:t>pro</w:t>
      </w:r>
      <w:r w:rsidR="002E30D8" w:rsidRPr="0028108F">
        <w:rPr>
          <w:rFonts w:ascii="Arial" w:eastAsia="細明體" w:hAnsi="Arial" w:cs="Arial"/>
          <w:color w:val="000000"/>
          <w:kern w:val="0"/>
          <w:szCs w:val="24"/>
          <w:lang w:val="en-GB"/>
        </w:rPr>
        <w:t xml:space="preserve">portion of transgender persons in Hong Kong have experienced discrimination in the areas of education, </w:t>
      </w:r>
      <w:r w:rsidR="009A6657" w:rsidRPr="0028108F">
        <w:rPr>
          <w:rFonts w:ascii="Arial" w:eastAsia="細明體" w:hAnsi="Arial" w:cs="Arial"/>
          <w:color w:val="000000"/>
          <w:kern w:val="0"/>
          <w:szCs w:val="24"/>
          <w:lang w:val="en-GB"/>
        </w:rPr>
        <w:t>employment</w:t>
      </w:r>
      <w:r w:rsidR="002E30D8" w:rsidRPr="0028108F">
        <w:rPr>
          <w:rFonts w:ascii="Arial" w:eastAsia="細明體" w:hAnsi="Arial" w:cs="Arial"/>
          <w:color w:val="000000"/>
          <w:kern w:val="0"/>
          <w:szCs w:val="24"/>
          <w:lang w:val="en-GB"/>
        </w:rPr>
        <w:t xml:space="preserve">, </w:t>
      </w:r>
      <w:r w:rsidR="009A6657" w:rsidRPr="0028108F">
        <w:rPr>
          <w:rFonts w:ascii="Arial" w:eastAsia="細明體" w:hAnsi="Arial" w:cs="Arial"/>
          <w:color w:val="000000"/>
          <w:kern w:val="0"/>
          <w:szCs w:val="24"/>
          <w:lang w:val="en-GB"/>
        </w:rPr>
        <w:t xml:space="preserve">service </w:t>
      </w:r>
      <w:r w:rsidR="002E30D8" w:rsidRPr="0028108F">
        <w:rPr>
          <w:rFonts w:ascii="Arial" w:eastAsia="細明體" w:hAnsi="Arial" w:cs="Arial"/>
          <w:color w:val="000000"/>
          <w:kern w:val="0"/>
          <w:szCs w:val="24"/>
          <w:lang w:val="en-GB"/>
        </w:rPr>
        <w:t>provision</w:t>
      </w:r>
      <w:r w:rsidR="009A6657" w:rsidRPr="0028108F">
        <w:rPr>
          <w:rFonts w:ascii="Arial" w:eastAsia="細明體" w:hAnsi="Arial" w:cs="Arial"/>
          <w:color w:val="000000"/>
          <w:kern w:val="0"/>
          <w:szCs w:val="24"/>
          <w:lang w:val="en-GB"/>
        </w:rPr>
        <w:t>, disposal and management of premises as well as government functions</w:t>
      </w:r>
      <w:r w:rsidR="000D0ACE" w:rsidRPr="0028108F">
        <w:rPr>
          <w:rFonts w:ascii="Arial" w:eastAsia="細明體" w:hAnsi="Arial" w:cs="Arial"/>
          <w:color w:val="000000"/>
          <w:kern w:val="0"/>
          <w:szCs w:val="24"/>
          <w:lang w:val="en-GB"/>
        </w:rPr>
        <w:t>, etc</w:t>
      </w:r>
      <w:r w:rsidR="009A6657" w:rsidRPr="0028108F">
        <w:rPr>
          <w:rFonts w:ascii="Arial" w:eastAsia="細明體" w:hAnsi="Arial" w:cs="Arial"/>
          <w:color w:val="000000"/>
          <w:kern w:val="0"/>
          <w:szCs w:val="24"/>
          <w:lang w:val="en-GB"/>
        </w:rPr>
        <w:t>.</w:t>
      </w:r>
      <w:r w:rsidR="002E30D8" w:rsidRPr="0028108F">
        <w:rPr>
          <w:rStyle w:val="FootnoteReference"/>
          <w:rFonts w:ascii="Arial" w:eastAsia="細明體" w:hAnsi="Arial" w:cs="Arial"/>
          <w:color w:val="000000"/>
          <w:kern w:val="0"/>
          <w:szCs w:val="24"/>
          <w:lang w:val="en-GB"/>
        </w:rPr>
        <w:footnoteReference w:id="13"/>
      </w:r>
      <w:r w:rsidR="002E30D8" w:rsidRPr="0028108F">
        <w:rPr>
          <w:rFonts w:ascii="Arial" w:eastAsia="細明體" w:hAnsi="Arial" w:cs="Arial"/>
          <w:color w:val="000000"/>
          <w:kern w:val="0"/>
          <w:szCs w:val="24"/>
          <w:lang w:val="en-GB"/>
        </w:rPr>
        <w:t xml:space="preserve">  </w:t>
      </w:r>
      <w:r w:rsidR="00915161" w:rsidRPr="0028108F">
        <w:rPr>
          <w:rFonts w:ascii="Arial" w:eastAsia="細明體" w:hAnsi="Arial" w:cs="Arial"/>
          <w:color w:val="000000"/>
          <w:kern w:val="0"/>
          <w:szCs w:val="24"/>
          <w:lang w:val="en-GB"/>
        </w:rPr>
        <w:t xml:space="preserve">Further, it has been </w:t>
      </w:r>
      <w:r w:rsidR="006A46F9">
        <w:rPr>
          <w:rFonts w:ascii="Arial" w:eastAsia="細明體" w:hAnsi="Arial" w:cs="Arial" w:hint="eastAsia"/>
          <w:color w:val="000000"/>
          <w:kern w:val="0"/>
          <w:szCs w:val="24"/>
          <w:lang w:val="en-GB"/>
        </w:rPr>
        <w:t>suggest</w:t>
      </w:r>
      <w:r w:rsidR="006A46F9" w:rsidRPr="0028108F">
        <w:rPr>
          <w:rFonts w:ascii="Arial" w:eastAsia="細明體" w:hAnsi="Arial" w:cs="Arial"/>
          <w:color w:val="000000"/>
          <w:kern w:val="0"/>
          <w:szCs w:val="24"/>
          <w:lang w:val="en-GB"/>
        </w:rPr>
        <w:t xml:space="preserve">ed </w:t>
      </w:r>
      <w:r w:rsidR="00915161" w:rsidRPr="0028108F">
        <w:rPr>
          <w:rFonts w:ascii="Arial" w:eastAsia="細明體" w:hAnsi="Arial" w:cs="Arial"/>
          <w:color w:val="000000"/>
          <w:kern w:val="0"/>
          <w:szCs w:val="24"/>
          <w:lang w:val="en-GB"/>
        </w:rPr>
        <w:t xml:space="preserve">that transgender people, especially those who are unable to get </w:t>
      </w:r>
      <w:r w:rsidR="00915161" w:rsidRPr="0028108F">
        <w:rPr>
          <w:rFonts w:ascii="Arial" w:eastAsia="細明體" w:hAnsi="Arial" w:cs="Arial"/>
          <w:color w:val="000000"/>
          <w:kern w:val="0"/>
          <w:szCs w:val="24"/>
          <w:lang w:val="en-GB"/>
        </w:rPr>
        <w:lastRenderedPageBreak/>
        <w:t xml:space="preserve">gender-affirming </w:t>
      </w:r>
      <w:r w:rsidR="006A46F9">
        <w:rPr>
          <w:rFonts w:ascii="Arial" w:eastAsia="細明體" w:hAnsi="Arial" w:cs="Arial" w:hint="eastAsia"/>
          <w:color w:val="000000"/>
          <w:kern w:val="0"/>
          <w:szCs w:val="24"/>
          <w:lang w:val="en-GB"/>
        </w:rPr>
        <w:t>i</w:t>
      </w:r>
      <w:r w:rsidR="003C01E2" w:rsidRPr="00181CF2">
        <w:rPr>
          <w:rFonts w:ascii="Arial" w:eastAsia="細明體" w:hAnsi="Arial" w:cs="Arial"/>
          <w:color w:val="000000"/>
          <w:kern w:val="0"/>
          <w:szCs w:val="24"/>
          <w:lang w:val="en-GB"/>
        </w:rPr>
        <w:t xml:space="preserve">dentity </w:t>
      </w:r>
      <w:r w:rsidR="006A46F9">
        <w:rPr>
          <w:rFonts w:ascii="Arial" w:eastAsia="細明體" w:hAnsi="Arial" w:cs="Arial" w:hint="eastAsia"/>
          <w:color w:val="000000"/>
          <w:kern w:val="0"/>
          <w:szCs w:val="24"/>
          <w:lang w:val="en-GB"/>
        </w:rPr>
        <w:t>c</w:t>
      </w:r>
      <w:r w:rsidR="00915161" w:rsidRPr="0028108F">
        <w:rPr>
          <w:rFonts w:ascii="Arial" w:eastAsia="細明體" w:hAnsi="Arial" w:cs="Arial"/>
          <w:color w:val="000000"/>
          <w:kern w:val="0"/>
          <w:szCs w:val="24"/>
          <w:lang w:val="en-GB"/>
        </w:rPr>
        <w:t>ards, are vulnerable to prejudice and discrimination whenever their transgender status is revealed.</w:t>
      </w:r>
      <w:r w:rsidR="00314EFB" w:rsidRPr="00181CF2">
        <w:rPr>
          <w:rStyle w:val="FootnoteReference"/>
          <w:rFonts w:ascii="Arial" w:eastAsia="細明體" w:hAnsi="Arial" w:cs="Arial"/>
          <w:color w:val="000000"/>
          <w:kern w:val="0"/>
          <w:szCs w:val="24"/>
          <w:lang w:val="en-GB"/>
        </w:rPr>
        <w:footnoteReference w:id="14"/>
      </w:r>
      <w:r w:rsidR="00915161" w:rsidRPr="0028108F">
        <w:rPr>
          <w:rFonts w:ascii="Arial" w:eastAsia="細明體" w:hAnsi="Arial" w:cs="Arial"/>
          <w:color w:val="000000"/>
          <w:kern w:val="0"/>
          <w:szCs w:val="24"/>
          <w:lang w:val="en-GB"/>
        </w:rPr>
        <w:t xml:space="preserve">  This can in turn make it difficult to obtain and keep jobs</w:t>
      </w:r>
      <w:r w:rsidR="00595700" w:rsidRPr="00181CF2">
        <w:rPr>
          <w:rFonts w:ascii="Arial" w:eastAsia="細明體" w:hAnsi="Arial" w:cs="Arial"/>
          <w:color w:val="000000"/>
          <w:kern w:val="0"/>
          <w:szCs w:val="24"/>
          <w:lang w:val="en-GB"/>
        </w:rPr>
        <w:t xml:space="preserve"> and educational opportunities</w:t>
      </w:r>
      <w:r w:rsidR="00915161" w:rsidRPr="0028108F">
        <w:rPr>
          <w:rFonts w:ascii="Arial" w:eastAsia="細明體" w:hAnsi="Arial" w:cs="Arial"/>
          <w:color w:val="000000"/>
          <w:kern w:val="0"/>
          <w:szCs w:val="24"/>
          <w:lang w:val="en-GB"/>
        </w:rPr>
        <w:t xml:space="preserve">, access rented housing, banking and other basic services, </w:t>
      </w:r>
      <w:r w:rsidR="000D0ACE" w:rsidRPr="00C57CE1">
        <w:rPr>
          <w:rFonts w:ascii="Arial" w:eastAsia="細明體" w:hAnsi="Arial" w:cs="Arial"/>
          <w:color w:val="000000"/>
          <w:kern w:val="0"/>
          <w:szCs w:val="24"/>
          <w:lang w:val="en-GB"/>
        </w:rPr>
        <w:t>maintain</w:t>
      </w:r>
      <w:r w:rsidR="00314EFB" w:rsidRPr="0028108F">
        <w:rPr>
          <w:rFonts w:ascii="Arial" w:eastAsia="細明體" w:hAnsi="Arial" w:cs="Arial"/>
          <w:color w:val="000000"/>
          <w:kern w:val="0"/>
          <w:szCs w:val="24"/>
          <w:lang w:val="en-GB"/>
        </w:rPr>
        <w:t xml:space="preserve"> social relationship with their schoolmates, employers and colleagues, </w:t>
      </w:r>
      <w:r w:rsidR="00915161" w:rsidRPr="0028108F">
        <w:rPr>
          <w:rFonts w:ascii="Arial" w:eastAsia="細明體" w:hAnsi="Arial" w:cs="Arial"/>
          <w:color w:val="000000"/>
          <w:kern w:val="0"/>
          <w:szCs w:val="24"/>
          <w:lang w:val="en-GB"/>
        </w:rPr>
        <w:t>as well as put them at risk of prosecution when they use what to them are gender-appropriate toilet facilities, and at risk of being placed in gender-inappropriate accommodation when hospitalised or detained.</w:t>
      </w:r>
      <w:r w:rsidR="00915161" w:rsidRPr="0028108F">
        <w:rPr>
          <w:rStyle w:val="FootnoteReference"/>
          <w:rFonts w:ascii="Arial" w:eastAsia="細明體" w:hAnsi="Arial" w:cs="Arial"/>
          <w:color w:val="000000"/>
          <w:kern w:val="0"/>
          <w:szCs w:val="24"/>
          <w:lang w:val="en-GB"/>
        </w:rPr>
        <w:footnoteReference w:id="15"/>
      </w:r>
    </w:p>
    <w:p w:rsidR="00915161" w:rsidRPr="00C57CE1" w:rsidRDefault="00915161" w:rsidP="00DE5BD5">
      <w:pPr>
        <w:tabs>
          <w:tab w:val="left" w:pos="993"/>
        </w:tabs>
        <w:adjustRightInd w:val="0"/>
        <w:snapToGrid w:val="0"/>
        <w:jc w:val="both"/>
        <w:rPr>
          <w:rFonts w:ascii="Arial" w:hAnsi="Arial" w:cs="Arial"/>
          <w:lang w:val="en-GB"/>
        </w:rPr>
      </w:pPr>
    </w:p>
    <w:p w:rsidR="00915161" w:rsidRPr="0028108F" w:rsidRDefault="00915161" w:rsidP="00DE5BD5">
      <w:pPr>
        <w:tabs>
          <w:tab w:val="left" w:pos="993"/>
        </w:tabs>
        <w:adjustRightInd w:val="0"/>
        <w:snapToGrid w:val="0"/>
        <w:jc w:val="both"/>
        <w:rPr>
          <w:rFonts w:ascii="Arial" w:hAnsi="Arial" w:cs="Arial"/>
          <w:lang w:val="en-GB"/>
        </w:rPr>
      </w:pPr>
      <w:r w:rsidRPr="0028108F">
        <w:rPr>
          <w:rFonts w:ascii="Arial" w:hAnsi="Arial" w:cs="Arial"/>
          <w:lang w:val="en-GB"/>
        </w:rPr>
        <w:t>1.</w:t>
      </w:r>
      <w:r w:rsidR="00E12811" w:rsidRPr="0028108F">
        <w:rPr>
          <w:rFonts w:ascii="Arial" w:hAnsi="Arial" w:cs="Arial"/>
          <w:lang w:val="en-GB"/>
        </w:rPr>
        <w:t>5</w:t>
      </w:r>
      <w:r w:rsidRPr="0028108F">
        <w:rPr>
          <w:rFonts w:ascii="Arial" w:hAnsi="Arial" w:cs="Arial"/>
          <w:lang w:val="en-GB"/>
        </w:rPr>
        <w:tab/>
      </w:r>
      <w:r w:rsidRPr="0028108F">
        <w:rPr>
          <w:rFonts w:ascii="Arial" w:hAnsi="Arial" w:cs="Arial"/>
          <w:lang w:val="en-GB"/>
        </w:rPr>
        <w:tab/>
        <w:t xml:space="preserve">Different </w:t>
      </w:r>
      <w:r w:rsidR="009D67D0">
        <w:rPr>
          <w:rFonts w:ascii="Arial" w:hAnsi="Arial" w:cs="Arial" w:hint="eastAsia"/>
          <w:lang w:val="en-GB"/>
        </w:rPr>
        <w:t xml:space="preserve">transgender </w:t>
      </w:r>
      <w:r w:rsidR="00AE33D1">
        <w:rPr>
          <w:rFonts w:ascii="Arial" w:hAnsi="Arial" w:cs="Arial"/>
          <w:lang w:val="en-GB"/>
        </w:rPr>
        <w:t xml:space="preserve">or transsexual </w:t>
      </w:r>
      <w:r w:rsidRPr="0028108F">
        <w:rPr>
          <w:rFonts w:ascii="Arial" w:hAnsi="Arial" w:cs="Arial"/>
          <w:lang w:val="en-GB"/>
        </w:rPr>
        <w:t xml:space="preserve">people deal with their </w:t>
      </w:r>
      <w:r w:rsidR="006A46F9">
        <w:rPr>
          <w:rFonts w:ascii="Arial" w:hAnsi="Arial" w:cs="Arial" w:hint="eastAsia"/>
          <w:lang w:val="en-GB"/>
        </w:rPr>
        <w:t>situation</w:t>
      </w:r>
      <w:r w:rsidR="006A46F9" w:rsidRPr="0028108F">
        <w:rPr>
          <w:rFonts w:ascii="Arial" w:hAnsi="Arial" w:cs="Arial"/>
          <w:lang w:val="en-GB"/>
        </w:rPr>
        <w:t xml:space="preserve"> </w:t>
      </w:r>
      <w:r w:rsidRPr="0028108F">
        <w:rPr>
          <w:rFonts w:ascii="Arial" w:hAnsi="Arial" w:cs="Arial"/>
          <w:lang w:val="en-GB"/>
        </w:rPr>
        <w:t>in different ways.  Some may benefit from psychological or psychiatric treatment and others may also wish to have hormonal and surgical treatments to make their body as congruent as possible with their self-perception.  The process of gender reassignment usually follows a series of recognised stages:</w:t>
      </w:r>
      <w:r w:rsidRPr="0028108F">
        <w:rPr>
          <w:rStyle w:val="FootnoteReference"/>
          <w:rFonts w:ascii="Arial" w:hAnsi="Arial" w:cs="Arial"/>
          <w:lang w:val="en-GB"/>
        </w:rPr>
        <w:footnoteReference w:id="16"/>
      </w:r>
    </w:p>
    <w:p w:rsidR="00915161" w:rsidRPr="0028108F" w:rsidRDefault="00915161" w:rsidP="00DE5BD5">
      <w:pPr>
        <w:tabs>
          <w:tab w:val="left" w:pos="0"/>
        </w:tabs>
        <w:adjustRightInd w:val="0"/>
        <w:snapToGrid w:val="0"/>
        <w:jc w:val="both"/>
        <w:rPr>
          <w:rFonts w:ascii="Arial" w:hAnsi="Arial" w:cs="Arial"/>
          <w:lang w:val="en-GB"/>
        </w:rPr>
      </w:pPr>
    </w:p>
    <w:p w:rsidR="00915161" w:rsidRPr="0028108F" w:rsidRDefault="00915161" w:rsidP="00DE5BD5">
      <w:pPr>
        <w:tabs>
          <w:tab w:val="left" w:pos="709"/>
        </w:tabs>
        <w:adjustRightInd w:val="0"/>
        <w:snapToGrid w:val="0"/>
        <w:ind w:leftChars="295" w:left="1414" w:hangingChars="294" w:hanging="706"/>
        <w:jc w:val="both"/>
        <w:rPr>
          <w:rFonts w:ascii="Arial" w:eastAsia="Times New Roman" w:hAnsi="Arial" w:cs="Arial"/>
          <w:kern w:val="0"/>
          <w:szCs w:val="24"/>
          <w:lang w:val="en-GB"/>
        </w:rPr>
      </w:pPr>
      <w:r w:rsidRPr="0028108F">
        <w:rPr>
          <w:rFonts w:ascii="Arial" w:eastAsia="Times New Roman" w:hAnsi="Arial" w:cs="Arial"/>
          <w:iCs/>
          <w:kern w:val="0"/>
          <w:szCs w:val="24"/>
          <w:lang w:val="en-GB"/>
        </w:rPr>
        <w:t>(1)</w:t>
      </w:r>
      <w:r w:rsidRPr="0028108F">
        <w:rPr>
          <w:rFonts w:ascii="Arial" w:eastAsia="Times New Roman" w:hAnsi="Arial" w:cs="Arial"/>
          <w:iCs/>
          <w:kern w:val="0"/>
          <w:szCs w:val="24"/>
          <w:lang w:val="en-GB"/>
        </w:rPr>
        <w:tab/>
      </w:r>
      <w:r w:rsidRPr="0028108F">
        <w:rPr>
          <w:rFonts w:ascii="Arial" w:eastAsia="Times New Roman" w:hAnsi="Arial" w:cs="Arial"/>
          <w:i/>
          <w:iCs/>
          <w:kern w:val="0"/>
          <w:szCs w:val="24"/>
          <w:lang w:val="en-GB"/>
        </w:rPr>
        <w:t>Social changes</w:t>
      </w:r>
      <w:r w:rsidRPr="0028108F">
        <w:rPr>
          <w:rFonts w:ascii="Arial" w:eastAsia="Times New Roman" w:hAnsi="Arial" w:cs="Arial"/>
          <w:kern w:val="0"/>
          <w:szCs w:val="24"/>
          <w:lang w:val="en-GB"/>
        </w:rPr>
        <w:t xml:space="preserve">.  Socially, the person assumes a new name and gender, informs family and friends, lives and works in the chosen gender role (this stage is known as </w:t>
      </w:r>
      <w:r w:rsidRPr="0028108F">
        <w:rPr>
          <w:rFonts w:ascii="Arial" w:eastAsia="Times New Roman" w:hAnsi="Arial" w:cs="Arial"/>
          <w:i/>
          <w:kern w:val="0"/>
          <w:szCs w:val="24"/>
          <w:lang w:val="en-GB"/>
        </w:rPr>
        <w:t>“</w:t>
      </w:r>
      <w:r w:rsidR="000D0ACE" w:rsidRPr="0028108F">
        <w:rPr>
          <w:rFonts w:ascii="Arial" w:eastAsia="Times New Roman" w:hAnsi="Arial" w:cs="Arial"/>
          <w:i/>
          <w:kern w:val="0"/>
          <w:szCs w:val="24"/>
          <w:lang w:val="en-GB"/>
        </w:rPr>
        <w:t>real life experience</w:t>
      </w:r>
      <w:r w:rsidRPr="0028108F">
        <w:rPr>
          <w:rFonts w:ascii="Arial" w:eastAsia="Times New Roman" w:hAnsi="Arial" w:cs="Arial"/>
          <w:i/>
          <w:kern w:val="0"/>
          <w:szCs w:val="24"/>
          <w:lang w:val="en-GB"/>
        </w:rPr>
        <w:t>”</w:t>
      </w:r>
      <w:r w:rsidR="000D0ACE" w:rsidRPr="0028108F">
        <w:rPr>
          <w:rFonts w:ascii="Arial" w:eastAsia="Times New Roman" w:hAnsi="Arial" w:cs="Arial"/>
          <w:i/>
          <w:kern w:val="0"/>
          <w:szCs w:val="24"/>
          <w:lang w:val="en-GB"/>
        </w:rPr>
        <w:t xml:space="preserve"> </w:t>
      </w:r>
      <w:r w:rsidR="000D0ACE" w:rsidRPr="0028108F">
        <w:rPr>
          <w:rFonts w:ascii="Arial" w:eastAsia="Times New Roman" w:hAnsi="Arial" w:cs="Arial"/>
          <w:kern w:val="0"/>
          <w:szCs w:val="24"/>
          <w:lang w:val="en-GB"/>
        </w:rPr>
        <w:t xml:space="preserve">or </w:t>
      </w:r>
      <w:r w:rsidR="000D0ACE" w:rsidRPr="00181CF2">
        <w:rPr>
          <w:rFonts w:ascii="Arial" w:eastAsia="Times New Roman" w:hAnsi="Arial" w:cs="Arial"/>
          <w:i/>
          <w:kern w:val="0"/>
          <w:szCs w:val="24"/>
          <w:lang w:val="en-GB"/>
        </w:rPr>
        <w:t>“real life test”</w:t>
      </w:r>
      <w:r w:rsidRPr="00C57CE1">
        <w:rPr>
          <w:rFonts w:ascii="Arial" w:eastAsia="Times New Roman" w:hAnsi="Arial" w:cs="Arial"/>
          <w:kern w:val="0"/>
          <w:szCs w:val="24"/>
          <w:lang w:val="en-GB"/>
        </w:rPr>
        <w:t>)</w:t>
      </w:r>
      <w:r w:rsidR="000D0ACE" w:rsidRPr="0028108F">
        <w:rPr>
          <w:rFonts w:ascii="Arial" w:eastAsia="Times New Roman" w:hAnsi="Arial" w:cs="Arial"/>
          <w:kern w:val="0"/>
          <w:szCs w:val="24"/>
          <w:lang w:val="en-GB"/>
        </w:rPr>
        <w:t>.</w:t>
      </w:r>
    </w:p>
    <w:p w:rsidR="00915161" w:rsidRPr="0028108F" w:rsidRDefault="00915161" w:rsidP="00DE5BD5">
      <w:pPr>
        <w:adjustRightInd w:val="0"/>
        <w:snapToGrid w:val="0"/>
        <w:jc w:val="both"/>
        <w:rPr>
          <w:rFonts w:ascii="Arial" w:eastAsia="Times New Roman" w:hAnsi="Arial" w:cs="Arial"/>
          <w:kern w:val="0"/>
          <w:szCs w:val="24"/>
          <w:lang w:val="en-GB"/>
        </w:rPr>
      </w:pPr>
    </w:p>
    <w:p w:rsidR="00915161" w:rsidRPr="0028108F" w:rsidRDefault="00915161" w:rsidP="00DE5BD5">
      <w:pPr>
        <w:tabs>
          <w:tab w:val="left" w:pos="709"/>
        </w:tabs>
        <w:adjustRightInd w:val="0"/>
        <w:snapToGrid w:val="0"/>
        <w:ind w:leftChars="295" w:left="1414" w:hangingChars="294" w:hanging="706"/>
        <w:jc w:val="both"/>
        <w:rPr>
          <w:rFonts w:ascii="Arial" w:eastAsia="Times New Roman" w:hAnsi="Arial" w:cs="Arial"/>
          <w:kern w:val="0"/>
          <w:szCs w:val="24"/>
          <w:lang w:val="en-GB"/>
        </w:rPr>
      </w:pPr>
      <w:r w:rsidRPr="0028108F">
        <w:rPr>
          <w:rFonts w:ascii="Arial" w:eastAsia="Times New Roman" w:hAnsi="Arial" w:cs="Arial"/>
          <w:iCs/>
          <w:kern w:val="0"/>
          <w:szCs w:val="24"/>
          <w:lang w:val="en-GB"/>
        </w:rPr>
        <w:t>(2)</w:t>
      </w:r>
      <w:r w:rsidRPr="0028108F">
        <w:rPr>
          <w:rFonts w:ascii="Arial" w:eastAsia="Times New Roman" w:hAnsi="Arial" w:cs="Arial"/>
          <w:iCs/>
          <w:kern w:val="0"/>
          <w:szCs w:val="24"/>
          <w:lang w:val="en-GB"/>
        </w:rPr>
        <w:tab/>
      </w:r>
      <w:r w:rsidRPr="0028108F">
        <w:rPr>
          <w:rFonts w:ascii="Arial" w:eastAsia="Times New Roman" w:hAnsi="Arial" w:cs="Arial"/>
          <w:i/>
          <w:iCs/>
          <w:kern w:val="0"/>
          <w:szCs w:val="24"/>
          <w:lang w:val="en-GB"/>
        </w:rPr>
        <w:t>Hormonal and other treatments</w:t>
      </w:r>
      <w:r w:rsidRPr="0028108F">
        <w:rPr>
          <w:rFonts w:ascii="Arial" w:eastAsia="Times New Roman" w:hAnsi="Arial" w:cs="Arial"/>
          <w:kern w:val="0"/>
          <w:szCs w:val="24"/>
          <w:lang w:val="en-GB"/>
        </w:rPr>
        <w:t>.  Following psychiatric assessment, the person may be provided with cross-gender hormone prescriptions (where medically suitable) and possibly cosmetic means to aid appearance in the acquired gender</w:t>
      </w:r>
      <w:r w:rsidR="000D0ACE" w:rsidRPr="0028108F">
        <w:rPr>
          <w:rFonts w:ascii="Arial" w:eastAsia="Times New Roman" w:hAnsi="Arial" w:cs="Arial"/>
          <w:kern w:val="0"/>
          <w:szCs w:val="24"/>
          <w:lang w:val="en-GB"/>
        </w:rPr>
        <w:t>.</w:t>
      </w:r>
    </w:p>
    <w:p w:rsidR="00915161" w:rsidRPr="0028108F" w:rsidRDefault="00915161" w:rsidP="00DE5BD5">
      <w:pPr>
        <w:adjustRightInd w:val="0"/>
        <w:snapToGrid w:val="0"/>
        <w:jc w:val="both"/>
        <w:rPr>
          <w:rFonts w:ascii="Arial" w:eastAsia="Times New Roman" w:hAnsi="Arial" w:cs="Arial"/>
          <w:kern w:val="0"/>
          <w:szCs w:val="24"/>
          <w:lang w:val="en-GB"/>
        </w:rPr>
      </w:pPr>
    </w:p>
    <w:p w:rsidR="00915161" w:rsidRPr="0028108F" w:rsidRDefault="00915161" w:rsidP="00DE5BD5">
      <w:pPr>
        <w:tabs>
          <w:tab w:val="left" w:pos="709"/>
        </w:tabs>
        <w:adjustRightInd w:val="0"/>
        <w:snapToGrid w:val="0"/>
        <w:ind w:leftChars="295" w:left="1414" w:hangingChars="294" w:hanging="706"/>
        <w:jc w:val="both"/>
        <w:rPr>
          <w:rFonts w:ascii="Arial" w:eastAsia="Times New Roman" w:hAnsi="Arial" w:cs="Arial"/>
          <w:kern w:val="0"/>
          <w:szCs w:val="24"/>
          <w:lang w:val="en-GB"/>
        </w:rPr>
      </w:pPr>
      <w:r w:rsidRPr="0028108F">
        <w:rPr>
          <w:rFonts w:ascii="Arial" w:eastAsia="Times New Roman" w:hAnsi="Arial" w:cs="Arial"/>
          <w:iCs/>
          <w:kern w:val="0"/>
          <w:szCs w:val="24"/>
          <w:lang w:val="en-GB"/>
        </w:rPr>
        <w:t>(3)</w:t>
      </w:r>
      <w:r w:rsidRPr="0028108F">
        <w:rPr>
          <w:rFonts w:ascii="Arial" w:eastAsia="Times New Roman" w:hAnsi="Arial" w:cs="Arial"/>
          <w:iCs/>
          <w:kern w:val="0"/>
          <w:szCs w:val="24"/>
          <w:lang w:val="en-GB"/>
        </w:rPr>
        <w:tab/>
      </w:r>
      <w:r w:rsidRPr="0028108F">
        <w:rPr>
          <w:rFonts w:ascii="Arial" w:eastAsia="Times New Roman" w:hAnsi="Arial" w:cs="Arial"/>
          <w:i/>
          <w:iCs/>
          <w:kern w:val="0"/>
          <w:szCs w:val="24"/>
          <w:lang w:val="en-GB"/>
        </w:rPr>
        <w:t>Surgical sex</w:t>
      </w:r>
      <w:r w:rsidR="00CF0671">
        <w:rPr>
          <w:rFonts w:ascii="Arial" w:eastAsia="Times New Roman" w:hAnsi="Arial" w:cs="Arial"/>
          <w:i/>
          <w:iCs/>
          <w:kern w:val="0"/>
          <w:szCs w:val="24"/>
          <w:lang w:val="en-GB"/>
        </w:rPr>
        <w:t xml:space="preserve"> or gender</w:t>
      </w:r>
      <w:r w:rsidRPr="0028108F">
        <w:rPr>
          <w:rFonts w:ascii="Arial" w:eastAsia="Times New Roman" w:hAnsi="Arial" w:cs="Arial"/>
          <w:i/>
          <w:iCs/>
          <w:kern w:val="0"/>
          <w:szCs w:val="24"/>
          <w:lang w:val="en-GB"/>
        </w:rPr>
        <w:t xml:space="preserve"> reassignment.</w:t>
      </w:r>
      <w:r w:rsidRPr="0028108F">
        <w:rPr>
          <w:rFonts w:ascii="Arial" w:eastAsia="Times New Roman" w:hAnsi="Arial" w:cs="Arial"/>
          <w:kern w:val="0"/>
          <w:szCs w:val="24"/>
          <w:lang w:val="en-GB"/>
        </w:rPr>
        <w:t xml:space="preserve">  Primary surgery may be performed to remove the sexual and reproductive characteristics of the original gender, and/or to create characteristics appropriate to the new gender.  Such surgery is not usually performed, </w:t>
      </w:r>
      <w:r w:rsidRPr="0028108F">
        <w:rPr>
          <w:rFonts w:ascii="Arial" w:eastAsia="Times New Roman" w:hAnsi="Arial" w:cs="Arial"/>
          <w:kern w:val="0"/>
          <w:szCs w:val="24"/>
          <w:lang w:val="en-GB"/>
        </w:rPr>
        <w:lastRenderedPageBreak/>
        <w:t xml:space="preserve">however, until the person has spent a significant period living successfully in the </w:t>
      </w:r>
      <w:r w:rsidRPr="0028108F">
        <w:rPr>
          <w:rFonts w:ascii="Arial" w:eastAsia="Times New Roman" w:hAnsi="Arial" w:cs="Arial"/>
          <w:i/>
          <w:kern w:val="0"/>
          <w:szCs w:val="24"/>
          <w:lang w:val="en-GB"/>
        </w:rPr>
        <w:t>“</w:t>
      </w:r>
      <w:r w:rsidR="000D0ACE" w:rsidRPr="0028108F">
        <w:rPr>
          <w:rFonts w:ascii="Arial" w:eastAsia="Times New Roman" w:hAnsi="Arial" w:cs="Arial"/>
          <w:i/>
          <w:kern w:val="0"/>
          <w:szCs w:val="24"/>
          <w:lang w:val="en-GB"/>
        </w:rPr>
        <w:t>real life experience</w:t>
      </w:r>
      <w:r w:rsidRPr="0028108F">
        <w:rPr>
          <w:rFonts w:ascii="Arial" w:eastAsia="Times New Roman" w:hAnsi="Arial" w:cs="Arial"/>
          <w:i/>
          <w:kern w:val="0"/>
          <w:szCs w:val="24"/>
          <w:lang w:val="en-GB"/>
        </w:rPr>
        <w:t>”</w:t>
      </w:r>
      <w:r w:rsidRPr="0028108F">
        <w:rPr>
          <w:rFonts w:ascii="Arial" w:eastAsia="Times New Roman" w:hAnsi="Arial" w:cs="Arial"/>
          <w:kern w:val="0"/>
          <w:szCs w:val="24"/>
          <w:lang w:val="en-GB"/>
        </w:rPr>
        <w:t>.</w:t>
      </w:r>
    </w:p>
    <w:p w:rsidR="00915161" w:rsidRPr="0028108F" w:rsidRDefault="00915161" w:rsidP="00DE5BD5">
      <w:pPr>
        <w:adjustRightInd w:val="0"/>
        <w:snapToGrid w:val="0"/>
        <w:jc w:val="both"/>
        <w:rPr>
          <w:rFonts w:ascii="Arial" w:hAnsi="Arial" w:cs="Arial"/>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lang w:val="en-GB"/>
        </w:rPr>
        <w:t>1.</w:t>
      </w:r>
      <w:r w:rsidR="007A52D4" w:rsidRPr="0028108F">
        <w:rPr>
          <w:rFonts w:ascii="Arial" w:hAnsi="Arial" w:cs="Arial"/>
          <w:lang w:val="en-GB"/>
        </w:rPr>
        <w:t>6</w:t>
      </w:r>
      <w:r w:rsidRPr="0028108F">
        <w:rPr>
          <w:rFonts w:ascii="Arial" w:hAnsi="Arial" w:cs="Arial"/>
          <w:lang w:val="en-GB"/>
        </w:rPr>
        <w:tab/>
      </w:r>
      <w:r w:rsidRPr="0028108F">
        <w:rPr>
          <w:rFonts w:ascii="Arial" w:hAnsi="Arial" w:cs="Arial"/>
          <w:lang w:val="en-GB"/>
        </w:rPr>
        <w:tab/>
        <w:t>It has been observed that many people who are living in their acquired</w:t>
      </w:r>
      <w:r w:rsidR="00162B8C">
        <w:rPr>
          <w:rStyle w:val="FootnoteReference"/>
          <w:rFonts w:ascii="Arial" w:hAnsi="Arial" w:cs="Arial"/>
          <w:szCs w:val="24"/>
          <w:lang w:val="en-GB"/>
        </w:rPr>
        <w:footnoteReference w:id="17"/>
      </w:r>
      <w:r w:rsidRPr="0028108F">
        <w:rPr>
          <w:rFonts w:ascii="Arial" w:hAnsi="Arial" w:cs="Arial"/>
          <w:lang w:val="en-GB"/>
        </w:rPr>
        <w:t xml:space="preserve"> gender want to keep their birth gender private, and want to be recognised legally in their new gender for all purposes.  Many object to having to produce a birth certificate in their former name and gender as this may lead to embarrassment or discrimination.  </w:t>
      </w:r>
      <w:r w:rsidRPr="0028108F">
        <w:rPr>
          <w:rFonts w:ascii="Arial" w:hAnsi="Arial" w:cs="Arial"/>
          <w:szCs w:val="24"/>
          <w:lang w:val="en-GB"/>
        </w:rPr>
        <w:t>They consider that full recognition of their new gender for all legal purposes would ease many of the difficulties faced by them, as a person’s gender identity is important for many activities in daily life.</w:t>
      </w:r>
      <w:r w:rsidR="00926B11" w:rsidRPr="0028108F">
        <w:rPr>
          <w:rFonts w:ascii="Arial" w:hAnsi="Arial" w:cs="Arial"/>
          <w:szCs w:val="24"/>
          <w:lang w:val="en-GB"/>
        </w:rPr>
        <w:t xml:space="preserve">  </w:t>
      </w:r>
      <w:r w:rsidRPr="0028108F">
        <w:rPr>
          <w:rFonts w:ascii="Arial" w:hAnsi="Arial" w:cs="Arial"/>
          <w:lang w:val="en-GB"/>
        </w:rPr>
        <w:t>They would wish their official documentation</w:t>
      </w:r>
      <w:r w:rsidRPr="0028108F">
        <w:rPr>
          <w:rFonts w:ascii="Arial" w:hAnsi="Arial" w:cs="Arial"/>
          <w:szCs w:val="24"/>
          <w:lang w:val="en-GB"/>
        </w:rPr>
        <w:t xml:space="preserve"> (such as birth certificates, passports, and national identity cards)</w:t>
      </w:r>
      <w:r w:rsidRPr="0028108F">
        <w:rPr>
          <w:rFonts w:ascii="Arial" w:hAnsi="Arial" w:cs="Arial"/>
          <w:lang w:val="en-GB"/>
        </w:rPr>
        <w:t xml:space="preserve"> to reflect their new gender identity</w:t>
      </w:r>
      <w:r w:rsidRPr="0028108F">
        <w:rPr>
          <w:rFonts w:ascii="Arial" w:hAnsi="Arial" w:cs="Arial"/>
          <w:szCs w:val="24"/>
          <w:lang w:val="en-GB"/>
        </w:rPr>
        <w:t>.  This may also extend to other certification or documentation related to identity or qualifications, such as diplomas, driver’s licences, national health insurance card</w:t>
      </w:r>
      <w:r w:rsidR="000D0ACE" w:rsidRPr="0028108F">
        <w:rPr>
          <w:rFonts w:ascii="Arial" w:hAnsi="Arial" w:cs="Arial"/>
          <w:szCs w:val="24"/>
          <w:lang w:val="en-GB"/>
        </w:rPr>
        <w:t>s</w:t>
      </w:r>
      <w:r w:rsidRPr="0028108F">
        <w:rPr>
          <w:rFonts w:ascii="Arial" w:hAnsi="Arial" w:cs="Arial"/>
          <w:szCs w:val="24"/>
          <w:lang w:val="en-GB"/>
        </w:rPr>
        <w:t>, etc.  As noted by the Institute of Development Studies</w:t>
      </w:r>
      <w:r w:rsidR="00AE33D1">
        <w:rPr>
          <w:rFonts w:ascii="Arial" w:hAnsi="Arial" w:cs="Arial"/>
          <w:szCs w:val="24"/>
          <w:lang w:val="en-GB"/>
        </w:rPr>
        <w:t xml:space="preserve"> in the United Kingdom</w:t>
      </w:r>
      <w:r w:rsidRPr="0028108F">
        <w:rPr>
          <w:rFonts w:ascii="Arial" w:hAnsi="Arial" w:cs="Arial"/>
          <w:szCs w:val="24"/>
          <w:lang w:val="en-GB"/>
        </w:rPr>
        <w:t>,</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709"/>
        </w:tabs>
        <w:adjustRightInd w:val="0"/>
        <w:snapToGrid w:val="0"/>
        <w:ind w:left="709" w:rightChars="271" w:right="650"/>
        <w:jc w:val="both"/>
        <w:rPr>
          <w:rFonts w:ascii="Arial" w:hAnsi="Arial" w:cs="Arial"/>
          <w:lang w:val="en-GB"/>
        </w:rPr>
      </w:pPr>
      <w:r w:rsidRPr="0028108F">
        <w:rPr>
          <w:rFonts w:ascii="Arial" w:hAnsi="Arial" w:cs="Arial"/>
          <w:i/>
          <w:lang w:val="en-GB"/>
        </w:rPr>
        <w:t>“Since identification is required for most activities in daily life (enrolling in school, finding a job, opening a bank account, renting an apartment, or travelling across a border), the issue is one that is significant to the individuals concerned. An individual’s right to change the sex on his or her identity documents protects privacy and prevents discrimination and stigma on the basis of gender identity or gender reassignment.”</w:t>
      </w:r>
      <w:r w:rsidRPr="0028108F">
        <w:rPr>
          <w:rStyle w:val="FootnoteReference"/>
          <w:rFonts w:ascii="Arial" w:hAnsi="Arial" w:cs="Arial"/>
          <w:i/>
          <w:lang w:val="en-GB"/>
        </w:rPr>
        <w:footnoteReference w:id="18"/>
      </w:r>
    </w:p>
    <w:p w:rsidR="00915161" w:rsidRPr="0028108F" w:rsidRDefault="00915161" w:rsidP="00DE5BD5">
      <w:pPr>
        <w:tabs>
          <w:tab w:val="left" w:pos="993"/>
        </w:tabs>
        <w:adjustRightInd w:val="0"/>
        <w:snapToGrid w:val="0"/>
        <w:jc w:val="both"/>
        <w:rPr>
          <w:rFonts w:ascii="Arial" w:hAnsi="Arial" w:cs="Arial"/>
          <w:lang w:val="en-GB"/>
        </w:rPr>
      </w:pPr>
    </w:p>
    <w:p w:rsidR="00915161" w:rsidRPr="0028108F" w:rsidRDefault="00915161" w:rsidP="00DE5BD5">
      <w:pPr>
        <w:adjustRightInd w:val="0"/>
        <w:snapToGrid w:val="0"/>
        <w:jc w:val="both"/>
        <w:rPr>
          <w:rFonts w:ascii="Arial" w:hAnsi="Arial" w:cs="Arial"/>
          <w:lang w:val="en-GB"/>
        </w:rPr>
      </w:pPr>
      <w:r w:rsidRPr="0028108F">
        <w:rPr>
          <w:rFonts w:ascii="Arial" w:hAnsi="Arial" w:cs="Arial"/>
          <w:lang w:val="en-GB"/>
        </w:rPr>
        <w:t>1.</w:t>
      </w:r>
      <w:r w:rsidR="009B57AC" w:rsidRPr="0028108F">
        <w:rPr>
          <w:rFonts w:ascii="Arial" w:hAnsi="Arial" w:cs="Arial"/>
          <w:lang w:val="en-GB"/>
        </w:rPr>
        <w:t>7</w:t>
      </w:r>
      <w:r w:rsidRPr="0028108F">
        <w:rPr>
          <w:rFonts w:ascii="Arial" w:hAnsi="Arial" w:cs="Arial"/>
          <w:lang w:val="en-GB"/>
        </w:rPr>
        <w:tab/>
      </w:r>
      <w:r w:rsidRPr="0028108F">
        <w:rPr>
          <w:rFonts w:ascii="Arial" w:hAnsi="Arial" w:cs="Arial"/>
          <w:lang w:val="en-GB"/>
        </w:rPr>
        <w:tab/>
        <w:t xml:space="preserve">On the other hand, many groups or individuals in society have expressed concerns about the extent of legislative intervention and the </w:t>
      </w:r>
      <w:r w:rsidR="0045358B">
        <w:rPr>
          <w:rFonts w:ascii="Arial" w:hAnsi="Arial" w:cs="Arial" w:hint="eastAsia"/>
          <w:lang w:val="en-GB"/>
        </w:rPr>
        <w:t>possible implications</w:t>
      </w:r>
      <w:r w:rsidR="0045358B" w:rsidRPr="0028108F">
        <w:rPr>
          <w:rFonts w:ascii="Arial" w:hAnsi="Arial" w:cs="Arial"/>
          <w:lang w:val="en-GB"/>
        </w:rPr>
        <w:t xml:space="preserve"> </w:t>
      </w:r>
      <w:r w:rsidRPr="0028108F">
        <w:rPr>
          <w:rFonts w:ascii="Arial" w:hAnsi="Arial" w:cs="Arial"/>
          <w:lang w:val="en-GB"/>
        </w:rPr>
        <w:t>of recognition of gender change</w:t>
      </w:r>
      <w:r w:rsidR="000D0ACE" w:rsidRPr="0028108F">
        <w:rPr>
          <w:rFonts w:ascii="Arial" w:hAnsi="Arial" w:cs="Arial"/>
          <w:lang w:val="en-GB"/>
        </w:rPr>
        <w:t>.</w:t>
      </w:r>
      <w:r w:rsidRPr="0028108F">
        <w:rPr>
          <w:rFonts w:ascii="Arial" w:hAnsi="Arial" w:cs="Arial"/>
          <w:lang w:val="en-GB"/>
        </w:rPr>
        <w:t xml:space="preserve"> </w:t>
      </w:r>
      <w:r w:rsidR="000D0ACE" w:rsidRPr="0028108F">
        <w:rPr>
          <w:rFonts w:ascii="Arial" w:hAnsi="Arial" w:cs="Arial"/>
          <w:lang w:val="en-GB"/>
        </w:rPr>
        <w:t xml:space="preserve"> Further, </w:t>
      </w:r>
      <w:r w:rsidRPr="0028108F">
        <w:rPr>
          <w:rFonts w:ascii="Arial" w:hAnsi="Arial" w:cs="Arial"/>
          <w:lang w:val="en-GB"/>
        </w:rPr>
        <w:t xml:space="preserve">there is no single </w:t>
      </w:r>
      <w:r w:rsidR="008F5CF0">
        <w:rPr>
          <w:rFonts w:ascii="Arial" w:hAnsi="Arial" w:cs="Arial" w:hint="eastAsia"/>
          <w:lang w:val="en-GB"/>
        </w:rPr>
        <w:t>uniform</w:t>
      </w:r>
      <w:r w:rsidR="008F5CF0" w:rsidRPr="0028108F">
        <w:rPr>
          <w:rFonts w:ascii="Arial" w:hAnsi="Arial" w:cs="Arial"/>
          <w:lang w:val="en-GB"/>
        </w:rPr>
        <w:t xml:space="preserve"> </w:t>
      </w:r>
      <w:r w:rsidRPr="0028108F">
        <w:rPr>
          <w:rFonts w:ascii="Arial" w:hAnsi="Arial" w:cs="Arial"/>
          <w:lang w:val="en-GB"/>
        </w:rPr>
        <w:t xml:space="preserve">approach around the globe to the process of gender recognition and the complex issues that it raises.  The CFA in </w:t>
      </w:r>
      <w:r w:rsidRPr="0028108F">
        <w:rPr>
          <w:rFonts w:ascii="Arial" w:hAnsi="Arial" w:cs="Arial"/>
          <w:i/>
          <w:lang w:val="en-GB"/>
        </w:rPr>
        <w:t>W</w:t>
      </w:r>
      <w:r w:rsidRPr="0028108F">
        <w:rPr>
          <w:rFonts w:ascii="Arial" w:hAnsi="Arial" w:cs="Arial"/>
          <w:lang w:val="en-GB"/>
        </w:rPr>
        <w:t>’s case recognised that in addressing potential problems which might arise in certain areas, it was necessary to strike a balance between the rights of transsexual persons and the rights of others who might be affected by recognition of the gender change.</w:t>
      </w:r>
      <w:r w:rsidRPr="0028108F">
        <w:rPr>
          <w:rStyle w:val="FootnoteReference"/>
          <w:rFonts w:ascii="Arial" w:hAnsi="Arial" w:cs="Arial"/>
          <w:lang w:val="en-GB"/>
        </w:rPr>
        <w:footnoteReference w:id="19"/>
      </w:r>
      <w:r w:rsidRPr="0028108F">
        <w:rPr>
          <w:rFonts w:ascii="Arial" w:hAnsi="Arial" w:cs="Arial"/>
          <w:lang w:val="en-GB"/>
        </w:rPr>
        <w:t xml:space="preserve">  In the circumstances, a comprehensive </w:t>
      </w:r>
      <w:r w:rsidR="0045358B">
        <w:rPr>
          <w:rFonts w:ascii="Arial" w:hAnsi="Arial" w:cs="Arial" w:hint="eastAsia"/>
          <w:lang w:val="en-GB"/>
        </w:rPr>
        <w:t xml:space="preserve">and objective </w:t>
      </w:r>
      <w:r w:rsidRPr="0028108F">
        <w:rPr>
          <w:rFonts w:ascii="Arial" w:hAnsi="Arial" w:cs="Arial"/>
          <w:lang w:val="en-GB"/>
        </w:rPr>
        <w:t>review of the relevant issues is necessary when considering the need for appropriate legal measures to address the problems facing transgender or transsexual people.</w:t>
      </w:r>
      <w:bookmarkStart w:id="1" w:name="part2"/>
      <w:bookmarkEnd w:id="1"/>
    </w:p>
    <w:p w:rsidR="00915161" w:rsidRPr="0028108F" w:rsidRDefault="00915161" w:rsidP="00DE5BD5">
      <w:pPr>
        <w:tabs>
          <w:tab w:val="left" w:pos="993"/>
        </w:tabs>
        <w:adjustRightInd w:val="0"/>
        <w:snapToGrid w:val="0"/>
        <w:jc w:val="both"/>
        <w:rPr>
          <w:rFonts w:ascii="Arial" w:hAnsi="Arial" w:cs="Arial"/>
          <w:szCs w:val="24"/>
          <w:lang w:val="en-GB"/>
        </w:rPr>
      </w:pPr>
    </w:p>
    <w:p w:rsidR="000D0ACE" w:rsidRPr="0028108F" w:rsidRDefault="000D0ACE"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b/>
          <w:sz w:val="28"/>
          <w:szCs w:val="28"/>
          <w:lang w:val="en-GB"/>
        </w:rPr>
      </w:pPr>
      <w:r w:rsidRPr="0028108F">
        <w:rPr>
          <w:rFonts w:ascii="Arial" w:hAnsi="Arial" w:cs="Arial"/>
          <w:b/>
          <w:sz w:val="28"/>
          <w:szCs w:val="28"/>
          <w:lang w:val="en-GB"/>
        </w:rPr>
        <w:t>Terminology</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w:t>
      </w:r>
      <w:r w:rsidR="009B57AC" w:rsidRPr="0028108F">
        <w:rPr>
          <w:rFonts w:ascii="Arial" w:hAnsi="Arial" w:cs="Arial"/>
          <w:szCs w:val="24"/>
          <w:lang w:val="en-GB"/>
        </w:rPr>
        <w:t>8</w:t>
      </w:r>
      <w:r w:rsidRPr="0028108F">
        <w:rPr>
          <w:rFonts w:ascii="Arial" w:hAnsi="Arial" w:cs="Arial"/>
          <w:szCs w:val="24"/>
          <w:lang w:val="en-GB"/>
        </w:rPr>
        <w:tab/>
      </w:r>
      <w:r w:rsidRPr="0028108F">
        <w:rPr>
          <w:rFonts w:ascii="Arial" w:hAnsi="Arial" w:cs="Arial"/>
          <w:szCs w:val="24"/>
          <w:lang w:val="en-GB"/>
        </w:rPr>
        <w:tab/>
        <w:t xml:space="preserve">In order to fully consider the issues relevant to the topic of gender recognition, it is </w:t>
      </w:r>
      <w:r w:rsidR="0045358B">
        <w:rPr>
          <w:rFonts w:ascii="Arial" w:hAnsi="Arial" w:cs="Arial" w:hint="eastAsia"/>
          <w:szCs w:val="24"/>
          <w:lang w:val="en-GB"/>
        </w:rPr>
        <w:t>desirable</w:t>
      </w:r>
      <w:r w:rsidRPr="0028108F">
        <w:rPr>
          <w:rFonts w:ascii="Arial" w:hAnsi="Arial" w:cs="Arial"/>
          <w:szCs w:val="24"/>
          <w:lang w:val="en-GB"/>
        </w:rPr>
        <w:t xml:space="preserve"> first to gain an understanding of certain key </w:t>
      </w:r>
      <w:r w:rsidRPr="0028108F">
        <w:rPr>
          <w:rFonts w:ascii="Arial" w:hAnsi="Arial" w:cs="Arial"/>
          <w:szCs w:val="24"/>
          <w:lang w:val="en-GB"/>
        </w:rPr>
        <w:lastRenderedPageBreak/>
        <w:t>definitions used in this area.  (The discussion below aims to provide some background on how these terms are applied in this Consultation Paper, and is not intended to be an exhaustive discussion of the definitions of these terms.)</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b/>
          <w:i/>
          <w:szCs w:val="24"/>
          <w:lang w:val="en-GB"/>
        </w:rPr>
      </w:pPr>
      <w:r w:rsidRPr="0028108F">
        <w:rPr>
          <w:rFonts w:ascii="Arial" w:hAnsi="Arial" w:cs="Arial"/>
          <w:b/>
          <w:i/>
          <w:szCs w:val="24"/>
          <w:lang w:val="en-GB"/>
        </w:rPr>
        <w:t>Legal gender recognition</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w:t>
      </w:r>
      <w:r w:rsidR="009B57AC" w:rsidRPr="0028108F">
        <w:rPr>
          <w:rFonts w:ascii="Arial" w:hAnsi="Arial" w:cs="Arial"/>
          <w:szCs w:val="24"/>
          <w:lang w:val="en-GB"/>
        </w:rPr>
        <w:t>9</w:t>
      </w:r>
      <w:r w:rsidRPr="0028108F">
        <w:rPr>
          <w:rFonts w:ascii="Arial" w:hAnsi="Arial" w:cs="Arial"/>
          <w:szCs w:val="24"/>
          <w:lang w:val="en-GB"/>
        </w:rPr>
        <w:tab/>
      </w:r>
      <w:r w:rsidRPr="0028108F">
        <w:rPr>
          <w:rFonts w:ascii="Arial" w:hAnsi="Arial" w:cs="Arial"/>
          <w:szCs w:val="24"/>
          <w:lang w:val="en-GB"/>
        </w:rPr>
        <w:tab/>
        <w:t xml:space="preserve">Legal gender recognition generally refers to the official recognition of a person’s gender identity </w:t>
      </w:r>
      <w:r w:rsidR="00B11867">
        <w:rPr>
          <w:rFonts w:ascii="Arial" w:hAnsi="Arial" w:cs="Arial"/>
          <w:szCs w:val="24"/>
          <w:lang w:val="en-GB"/>
        </w:rPr>
        <w:t xml:space="preserve">(self-perception of being male or female) </w:t>
      </w:r>
      <w:r w:rsidRPr="0028108F">
        <w:rPr>
          <w:rFonts w:ascii="Arial" w:hAnsi="Arial" w:cs="Arial"/>
          <w:szCs w:val="24"/>
          <w:lang w:val="en-GB"/>
        </w:rPr>
        <w:t>in law</w:t>
      </w:r>
      <w:r w:rsidR="00054FF4" w:rsidRPr="0028108F">
        <w:rPr>
          <w:rFonts w:ascii="Arial" w:hAnsi="Arial" w:cs="Arial"/>
          <w:szCs w:val="24"/>
          <w:lang w:val="en-GB"/>
        </w:rPr>
        <w:t>,</w:t>
      </w:r>
      <w:r w:rsidRPr="0028108F">
        <w:rPr>
          <w:rFonts w:ascii="Arial" w:hAnsi="Arial" w:cs="Arial"/>
          <w:szCs w:val="24"/>
          <w:lang w:val="en-GB"/>
        </w:rPr>
        <w:t xml:space="preserve"> and as reflected in public registries and key identification documents.  It means that in the eyes of the law</w:t>
      </w:r>
      <w:r w:rsidR="00054FF4" w:rsidRPr="0028108F">
        <w:rPr>
          <w:rFonts w:ascii="Arial" w:hAnsi="Arial" w:cs="Arial"/>
          <w:szCs w:val="24"/>
          <w:lang w:val="en-GB"/>
        </w:rPr>
        <w:t>,</w:t>
      </w:r>
      <w:r w:rsidRPr="0028108F">
        <w:rPr>
          <w:rFonts w:ascii="Arial" w:hAnsi="Arial" w:cs="Arial"/>
          <w:szCs w:val="24"/>
          <w:lang w:val="en-GB"/>
        </w:rPr>
        <w:t xml:space="preserve"> a person is seen to be of his or her acquired gender, as opposed to the gender that he or she was assigned at birth.  Obtaining legal recognition in a person’s acquired gender usually leads to significant legal consequences.  For example, in the United Kingdom, the Gender Recognition Act 2004 provides that once a full gender recognition certificate is issued to an applicant, the person’s gender becomes for all purposes the acquired gender.</w:t>
      </w:r>
      <w:r w:rsidRPr="0028108F">
        <w:rPr>
          <w:rStyle w:val="FootnoteReference"/>
          <w:rFonts w:ascii="Arial" w:hAnsi="Arial" w:cs="Arial"/>
          <w:szCs w:val="24"/>
          <w:lang w:val="en-GB"/>
        </w:rPr>
        <w:footnoteReference w:id="20"/>
      </w:r>
      <w:r w:rsidRPr="0028108F">
        <w:rPr>
          <w:rFonts w:ascii="Arial" w:hAnsi="Arial" w:cs="Arial"/>
          <w:szCs w:val="24"/>
          <w:lang w:val="en-GB"/>
        </w:rPr>
        <w:t xml:space="preserve">  </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i/>
          <w:szCs w:val="24"/>
          <w:lang w:val="en-GB"/>
        </w:rPr>
      </w:pPr>
      <w:r w:rsidRPr="0028108F">
        <w:rPr>
          <w:rFonts w:ascii="Arial" w:hAnsi="Arial" w:cs="Arial"/>
          <w:b/>
          <w:i/>
          <w:szCs w:val="24"/>
          <w:lang w:val="en-GB"/>
        </w:rPr>
        <w:t>Distinction between the terms “gender” and “sex”</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w:t>
      </w:r>
      <w:r w:rsidR="009B57AC" w:rsidRPr="0028108F">
        <w:rPr>
          <w:rFonts w:ascii="Arial" w:hAnsi="Arial" w:cs="Arial"/>
          <w:szCs w:val="24"/>
          <w:lang w:val="en-GB"/>
        </w:rPr>
        <w:t>10</w:t>
      </w:r>
      <w:r w:rsidRPr="0028108F">
        <w:rPr>
          <w:rFonts w:ascii="Arial" w:hAnsi="Arial" w:cs="Arial"/>
          <w:szCs w:val="24"/>
          <w:lang w:val="en-GB"/>
        </w:rPr>
        <w:tab/>
      </w:r>
      <w:r w:rsidRPr="0028108F">
        <w:rPr>
          <w:rFonts w:ascii="Arial" w:hAnsi="Arial" w:cs="Arial"/>
          <w:szCs w:val="24"/>
          <w:lang w:val="en-GB"/>
        </w:rPr>
        <w:tab/>
        <w:t xml:space="preserve">There appears to be no universally accepted definition of the terms </w:t>
      </w:r>
      <w:r w:rsidRPr="0028108F">
        <w:rPr>
          <w:rFonts w:ascii="Arial" w:hAnsi="Arial" w:cs="Arial"/>
          <w:i/>
          <w:szCs w:val="24"/>
          <w:lang w:val="en-GB"/>
        </w:rPr>
        <w:t>“sex”</w:t>
      </w:r>
      <w:r w:rsidRPr="0028108F">
        <w:rPr>
          <w:rFonts w:ascii="Arial" w:hAnsi="Arial" w:cs="Arial"/>
          <w:szCs w:val="24"/>
          <w:lang w:val="en-GB"/>
        </w:rPr>
        <w:t xml:space="preserve"> and </w:t>
      </w:r>
      <w:r w:rsidRPr="0028108F">
        <w:rPr>
          <w:rFonts w:ascii="Arial" w:hAnsi="Arial" w:cs="Arial"/>
          <w:i/>
          <w:szCs w:val="24"/>
          <w:lang w:val="en-GB"/>
        </w:rPr>
        <w:t>“gender”</w:t>
      </w:r>
      <w:r w:rsidRPr="0028108F">
        <w:rPr>
          <w:rFonts w:ascii="Arial" w:hAnsi="Arial" w:cs="Arial"/>
          <w:szCs w:val="24"/>
          <w:lang w:val="en-GB"/>
        </w:rPr>
        <w:t xml:space="preserve"> and a discussion of some of the definitions suggested in the literature is set out below.  (As will be seen, although the terms </w:t>
      </w:r>
      <w:r w:rsidRPr="0028108F">
        <w:rPr>
          <w:rFonts w:ascii="Arial" w:hAnsi="Arial" w:cs="Arial"/>
          <w:i/>
          <w:szCs w:val="24"/>
          <w:lang w:val="en-GB"/>
        </w:rPr>
        <w:t>“sex”</w:t>
      </w:r>
      <w:r w:rsidRPr="0028108F">
        <w:rPr>
          <w:rFonts w:ascii="Arial" w:hAnsi="Arial" w:cs="Arial"/>
          <w:szCs w:val="24"/>
          <w:lang w:val="en-GB"/>
        </w:rPr>
        <w:t xml:space="preserve"> and </w:t>
      </w:r>
      <w:r w:rsidRPr="0028108F">
        <w:rPr>
          <w:rFonts w:ascii="Arial" w:hAnsi="Arial" w:cs="Arial"/>
          <w:i/>
          <w:szCs w:val="24"/>
          <w:lang w:val="en-GB"/>
        </w:rPr>
        <w:t>“gender”</w:t>
      </w:r>
      <w:r w:rsidRPr="0028108F">
        <w:rPr>
          <w:rFonts w:ascii="Arial" w:hAnsi="Arial" w:cs="Arial"/>
          <w:szCs w:val="24"/>
          <w:lang w:val="en-GB"/>
        </w:rPr>
        <w:t xml:space="preserve"> are sometimes used interchangeably, they are clearly distinguished in some contexts.)</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tabs>
          <w:tab w:val="left" w:pos="993"/>
        </w:tabs>
        <w:adjustRightInd w:val="0"/>
        <w:snapToGrid w:val="0"/>
        <w:jc w:val="both"/>
        <w:rPr>
          <w:rFonts w:ascii="Arial" w:hAnsi="Arial" w:cs="Arial"/>
          <w:i/>
          <w:szCs w:val="24"/>
          <w:lang w:val="en-GB"/>
        </w:rPr>
      </w:pPr>
      <w:r w:rsidRPr="0028108F">
        <w:rPr>
          <w:rFonts w:ascii="Arial" w:hAnsi="Arial" w:cs="Arial"/>
          <w:szCs w:val="24"/>
          <w:lang w:val="en-GB"/>
        </w:rPr>
        <w:t>1.1</w:t>
      </w:r>
      <w:r w:rsidR="009B57AC" w:rsidRPr="0028108F">
        <w:rPr>
          <w:rFonts w:ascii="Arial" w:hAnsi="Arial" w:cs="Arial"/>
          <w:szCs w:val="24"/>
          <w:lang w:val="en-GB"/>
        </w:rPr>
        <w:t>1</w:t>
      </w:r>
      <w:r w:rsidRPr="0028108F">
        <w:rPr>
          <w:rFonts w:ascii="Arial" w:hAnsi="Arial" w:cs="Arial"/>
          <w:szCs w:val="24"/>
          <w:lang w:val="en-GB"/>
        </w:rPr>
        <w:tab/>
      </w:r>
      <w:r w:rsidRPr="0028108F">
        <w:rPr>
          <w:rFonts w:ascii="Arial" w:hAnsi="Arial" w:cs="Arial"/>
          <w:szCs w:val="24"/>
          <w:lang w:val="en-GB"/>
        </w:rPr>
        <w:tab/>
        <w:t xml:space="preserve">The American Psychiatric Association’s </w:t>
      </w:r>
      <w:r w:rsidRPr="0028108F">
        <w:rPr>
          <w:rFonts w:ascii="Arial" w:hAnsi="Arial" w:cs="Arial"/>
          <w:i/>
          <w:szCs w:val="24"/>
          <w:lang w:val="en-GB"/>
        </w:rPr>
        <w:t>Diagnostic and Statistical Manual of Mental Disorders, Fifth Edition</w:t>
      </w:r>
      <w:r w:rsidRPr="0028108F">
        <w:rPr>
          <w:rFonts w:ascii="Arial" w:hAnsi="Arial" w:cs="Arial"/>
          <w:szCs w:val="24"/>
          <w:lang w:val="en-GB"/>
        </w:rPr>
        <w:t xml:space="preserve"> (</w:t>
      </w:r>
      <w:r w:rsidR="000D0ACE" w:rsidRPr="0028108F">
        <w:rPr>
          <w:rFonts w:ascii="Arial" w:hAnsi="Arial" w:cs="Arial"/>
          <w:szCs w:val="24"/>
          <w:lang w:val="en-GB"/>
        </w:rPr>
        <w:t>“</w:t>
      </w:r>
      <w:r w:rsidRPr="0028108F">
        <w:rPr>
          <w:rFonts w:ascii="Arial" w:hAnsi="Arial" w:cs="Arial"/>
          <w:i/>
          <w:szCs w:val="24"/>
          <w:lang w:val="en-GB"/>
        </w:rPr>
        <w:t>DSM-5</w:t>
      </w:r>
      <w:r w:rsidR="000D0ACE" w:rsidRPr="00181CF2">
        <w:rPr>
          <w:rFonts w:ascii="Arial" w:hAnsi="Arial" w:cs="Arial"/>
          <w:szCs w:val="24"/>
          <w:lang w:val="en-GB"/>
        </w:rPr>
        <w:t>”</w:t>
      </w:r>
      <w:r w:rsidRPr="00C57CE1">
        <w:rPr>
          <w:rFonts w:ascii="Arial" w:hAnsi="Arial" w:cs="Arial"/>
          <w:szCs w:val="24"/>
          <w:lang w:val="en-GB"/>
        </w:rPr>
        <w:t xml:space="preserve">) states </w:t>
      </w:r>
      <w:r w:rsidRPr="0028108F">
        <w:rPr>
          <w:rFonts w:ascii="Arial" w:hAnsi="Arial" w:cs="Arial"/>
          <w:szCs w:val="24"/>
          <w:lang w:val="en-GB"/>
        </w:rPr>
        <w:t xml:space="preserve">that the terms </w:t>
      </w:r>
      <w:r w:rsidRPr="0028108F">
        <w:rPr>
          <w:rFonts w:ascii="Arial" w:hAnsi="Arial" w:cs="Arial"/>
          <w:i/>
          <w:szCs w:val="24"/>
          <w:lang w:val="en-GB"/>
        </w:rPr>
        <w:t>“sex”</w:t>
      </w:r>
      <w:r w:rsidRPr="0028108F">
        <w:rPr>
          <w:rFonts w:ascii="Arial" w:hAnsi="Arial" w:cs="Arial"/>
          <w:szCs w:val="24"/>
          <w:lang w:val="en-GB"/>
        </w:rPr>
        <w:t xml:space="preserve"> and </w:t>
      </w:r>
      <w:r w:rsidRPr="0028108F">
        <w:rPr>
          <w:rFonts w:ascii="Arial" w:hAnsi="Arial" w:cs="Arial"/>
          <w:i/>
          <w:szCs w:val="24"/>
          <w:lang w:val="en-GB"/>
        </w:rPr>
        <w:t>“sexual”</w:t>
      </w:r>
      <w:r w:rsidRPr="0028108F">
        <w:rPr>
          <w:rFonts w:ascii="Arial" w:hAnsi="Arial" w:cs="Arial"/>
          <w:szCs w:val="24"/>
          <w:lang w:val="en-GB"/>
        </w:rPr>
        <w:t xml:space="preserve"> refer to the “</w:t>
      </w:r>
      <w:r w:rsidRPr="0028108F">
        <w:rPr>
          <w:rFonts w:ascii="Arial" w:hAnsi="Arial" w:cs="Arial"/>
          <w:i/>
          <w:szCs w:val="24"/>
          <w:lang w:val="en-GB"/>
        </w:rPr>
        <w:t>biological indicators of male and female (understood in the context of reproductive capacity), such as sex chromosomes, gonads, sex hormones, and non-ambiguous internal and external genitalia</w:t>
      </w:r>
      <w:r w:rsidRPr="0028108F">
        <w:rPr>
          <w:rFonts w:ascii="Arial" w:hAnsi="Arial" w:cs="Arial"/>
          <w:szCs w:val="24"/>
          <w:lang w:val="en-GB"/>
        </w:rPr>
        <w:t>”.</w:t>
      </w:r>
      <w:r w:rsidRPr="0028108F">
        <w:rPr>
          <w:rStyle w:val="FootnoteReference"/>
          <w:rFonts w:ascii="Arial" w:hAnsi="Arial" w:cs="Arial"/>
          <w:szCs w:val="24"/>
          <w:lang w:val="en-GB"/>
        </w:rPr>
        <w:footnoteReference w:id="21"/>
      </w:r>
      <w:r w:rsidRPr="0028108F">
        <w:rPr>
          <w:rFonts w:ascii="Arial" w:hAnsi="Arial" w:cs="Arial"/>
          <w:szCs w:val="24"/>
          <w:lang w:val="en-GB"/>
        </w:rPr>
        <w:t xml:space="preserve">  </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2</w:t>
      </w:r>
      <w:r w:rsidRPr="0028108F">
        <w:rPr>
          <w:rFonts w:ascii="Arial" w:hAnsi="Arial" w:cs="Arial"/>
          <w:szCs w:val="24"/>
          <w:lang w:val="en-GB"/>
        </w:rPr>
        <w:tab/>
      </w:r>
      <w:r w:rsidRPr="0028108F">
        <w:rPr>
          <w:rFonts w:ascii="Arial" w:hAnsi="Arial" w:cs="Arial"/>
          <w:szCs w:val="24"/>
          <w:lang w:val="en-GB"/>
        </w:rPr>
        <w:tab/>
        <w:t xml:space="preserve">In contrast, the definition of </w:t>
      </w:r>
      <w:r w:rsidRPr="0028108F">
        <w:rPr>
          <w:rFonts w:ascii="Arial" w:hAnsi="Arial" w:cs="Arial"/>
          <w:i/>
          <w:szCs w:val="24"/>
          <w:lang w:val="en-GB"/>
        </w:rPr>
        <w:t>“gender”</w:t>
      </w:r>
      <w:r w:rsidRPr="0028108F">
        <w:rPr>
          <w:rFonts w:ascii="Arial" w:hAnsi="Arial" w:cs="Arial"/>
          <w:szCs w:val="24"/>
          <w:lang w:val="en-GB"/>
        </w:rPr>
        <w:t xml:space="preserve"> has been stated to relate to </w:t>
      </w:r>
      <w:r w:rsidRPr="0028108F">
        <w:rPr>
          <w:rFonts w:ascii="Arial" w:hAnsi="Arial" w:cs="Arial"/>
          <w:i/>
          <w:szCs w:val="24"/>
          <w:lang w:val="en-GB"/>
        </w:rPr>
        <w:t>“culturally and socially specific expectations of behaviour and attitude, mapped onto men and women by society.  It include[s] self-definition, that is to say, what a person recognise[s] himself to be.”</w:t>
      </w:r>
      <w:r w:rsidRPr="0028108F">
        <w:rPr>
          <w:rStyle w:val="FootnoteReference"/>
          <w:rFonts w:ascii="Arial" w:hAnsi="Arial" w:cs="Arial"/>
          <w:szCs w:val="24"/>
          <w:lang w:val="en-GB"/>
        </w:rPr>
        <w:footnoteReference w:id="22"/>
      </w:r>
      <w:r w:rsidRPr="0028108F">
        <w:rPr>
          <w:rFonts w:ascii="Arial" w:hAnsi="Arial" w:cs="Arial"/>
          <w:szCs w:val="24"/>
          <w:lang w:val="en-GB"/>
        </w:rPr>
        <w:t xml:space="preserve">  As such, a person’s gender is not determined at birth.</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3</w:t>
      </w:r>
      <w:r w:rsidRPr="0028108F">
        <w:rPr>
          <w:rFonts w:ascii="Arial" w:hAnsi="Arial" w:cs="Arial"/>
          <w:szCs w:val="24"/>
          <w:lang w:val="en-GB"/>
        </w:rPr>
        <w:tab/>
      </w:r>
      <w:r w:rsidRPr="0028108F">
        <w:rPr>
          <w:rFonts w:ascii="Arial" w:hAnsi="Arial" w:cs="Arial"/>
          <w:szCs w:val="24"/>
          <w:lang w:val="en-GB"/>
        </w:rPr>
        <w:tab/>
        <w:t>Defined another way by the American Psychiatric Association in the DSM-5:</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709"/>
        </w:tabs>
        <w:adjustRightInd w:val="0"/>
        <w:snapToGrid w:val="0"/>
        <w:ind w:left="709" w:rightChars="271" w:right="650"/>
        <w:jc w:val="both"/>
        <w:rPr>
          <w:rFonts w:ascii="Arial" w:hAnsi="Arial" w:cs="Arial"/>
          <w:szCs w:val="24"/>
          <w:lang w:val="en-GB"/>
        </w:rPr>
      </w:pPr>
      <w:r w:rsidRPr="0028108F">
        <w:rPr>
          <w:rFonts w:ascii="Arial" w:hAnsi="Arial" w:cs="Arial"/>
          <w:i/>
          <w:szCs w:val="24"/>
          <w:lang w:val="en-GB"/>
        </w:rPr>
        <w:t xml:space="preserve">“[G]ender is used to denote the public (and usually legally recognized) lived role as boy or girl, man or woman, but, in contrast to certain social constructionist theories, biological factors are seen as contributing, in interaction with social and </w:t>
      </w:r>
      <w:r w:rsidRPr="0028108F">
        <w:rPr>
          <w:rFonts w:ascii="Arial" w:hAnsi="Arial" w:cs="Arial"/>
          <w:i/>
          <w:szCs w:val="24"/>
          <w:lang w:val="en-GB"/>
        </w:rPr>
        <w:lastRenderedPageBreak/>
        <w:t>psychological factors, to gender development.”</w:t>
      </w:r>
      <w:r w:rsidRPr="0028108F">
        <w:rPr>
          <w:rStyle w:val="FootnoteReference"/>
          <w:rFonts w:ascii="Arial" w:hAnsi="Arial" w:cs="Arial"/>
          <w:szCs w:val="24"/>
          <w:lang w:val="en-GB"/>
        </w:rPr>
        <w:footnoteReference w:id="23"/>
      </w:r>
      <w:r w:rsidRPr="0028108F">
        <w:rPr>
          <w:rFonts w:ascii="Arial" w:hAnsi="Arial" w:cs="Arial"/>
          <w:szCs w:val="24"/>
          <w:lang w:val="en-GB"/>
        </w:rPr>
        <w:t xml:space="preserve">  </w:t>
      </w:r>
    </w:p>
    <w:p w:rsidR="00915161" w:rsidRPr="0028108F" w:rsidRDefault="00915161" w:rsidP="00DE5BD5">
      <w:pPr>
        <w:tabs>
          <w:tab w:val="left" w:pos="709"/>
        </w:tabs>
        <w:adjustRightInd w:val="0"/>
        <w:snapToGrid w:val="0"/>
        <w:ind w:left="709" w:rightChars="271" w:right="65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4</w:t>
      </w:r>
      <w:r w:rsidRPr="0028108F">
        <w:rPr>
          <w:rFonts w:ascii="Arial" w:hAnsi="Arial" w:cs="Arial"/>
          <w:szCs w:val="24"/>
          <w:lang w:val="en-GB"/>
        </w:rPr>
        <w:tab/>
      </w:r>
      <w:r w:rsidRPr="0028108F">
        <w:rPr>
          <w:rFonts w:ascii="Arial" w:hAnsi="Arial" w:cs="Arial"/>
          <w:szCs w:val="24"/>
          <w:lang w:val="en-GB"/>
        </w:rPr>
        <w:tab/>
        <w:t xml:space="preserve">The </w:t>
      </w:r>
      <w:r w:rsidR="000D0ACE" w:rsidRPr="0028108F">
        <w:rPr>
          <w:rFonts w:ascii="Arial" w:hAnsi="Arial" w:cs="Arial"/>
          <w:szCs w:val="24"/>
          <w:lang w:val="en-GB"/>
        </w:rPr>
        <w:t xml:space="preserve">CFA </w:t>
      </w:r>
      <w:r w:rsidRPr="0028108F">
        <w:rPr>
          <w:rFonts w:ascii="Arial" w:hAnsi="Arial" w:cs="Arial"/>
          <w:szCs w:val="24"/>
          <w:lang w:val="en-GB"/>
        </w:rPr>
        <w:t xml:space="preserve">in </w:t>
      </w:r>
      <w:r w:rsidRPr="0028108F">
        <w:rPr>
          <w:rFonts w:ascii="Arial" w:hAnsi="Arial" w:cs="Arial"/>
          <w:i/>
          <w:szCs w:val="24"/>
          <w:lang w:val="en-GB"/>
        </w:rPr>
        <w:t>W</w:t>
      </w:r>
      <w:r w:rsidR="007D7B03">
        <w:rPr>
          <w:rFonts w:ascii="Arial" w:hAnsi="Arial" w:cs="Arial"/>
          <w:szCs w:val="24"/>
          <w:lang w:val="en-GB"/>
        </w:rPr>
        <w:t>’</w:t>
      </w:r>
      <w:r w:rsidRPr="0028108F">
        <w:rPr>
          <w:rFonts w:ascii="Arial" w:hAnsi="Arial" w:cs="Arial"/>
          <w:szCs w:val="24"/>
          <w:lang w:val="en-GB"/>
        </w:rPr>
        <w:t>s case drew reference to the expert testimony of Dr Ho Pui Tat</w:t>
      </w:r>
      <w:r w:rsidRPr="0028108F">
        <w:rPr>
          <w:rStyle w:val="FootnoteReference"/>
          <w:rFonts w:ascii="Arial" w:hAnsi="Arial" w:cs="Arial"/>
          <w:szCs w:val="24"/>
          <w:lang w:val="en-GB"/>
        </w:rPr>
        <w:footnoteReference w:id="24"/>
      </w:r>
      <w:r w:rsidRPr="0028108F">
        <w:rPr>
          <w:rFonts w:ascii="Arial" w:hAnsi="Arial" w:cs="Arial"/>
          <w:szCs w:val="24"/>
          <w:lang w:val="en-GB"/>
        </w:rPr>
        <w:t xml:space="preserve"> in stating that:</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6647A5" w:rsidP="00DE5BD5">
      <w:pPr>
        <w:tabs>
          <w:tab w:val="left" w:pos="709"/>
        </w:tabs>
        <w:adjustRightInd w:val="0"/>
        <w:snapToGrid w:val="0"/>
        <w:ind w:left="709" w:rightChars="271" w:right="650"/>
        <w:jc w:val="both"/>
        <w:rPr>
          <w:rFonts w:ascii="Arial" w:hAnsi="Arial" w:cs="Arial"/>
          <w:i/>
          <w:szCs w:val="24"/>
          <w:lang w:val="en-GB"/>
        </w:rPr>
      </w:pPr>
      <w:r w:rsidRPr="00BF7FB0">
        <w:rPr>
          <w:rFonts w:ascii="Arial" w:hAnsi="Arial" w:cs="Arial"/>
          <w:szCs w:val="24"/>
          <w:lang w:val="en-GB"/>
        </w:rPr>
        <w:t>“</w:t>
      </w:r>
      <w:r w:rsidR="00915161" w:rsidRPr="0028108F">
        <w:rPr>
          <w:rFonts w:ascii="Arial" w:hAnsi="Arial" w:cs="Arial"/>
          <w:i/>
          <w:szCs w:val="24"/>
          <w:lang w:val="en-GB"/>
        </w:rPr>
        <w:t xml:space="preserve">It is possible to regard the sexual identity of an adult individual as determinable by reference to psychological and biological factors.  The psychological aspects include gender identity (self perception of being male or female); social sex role (living as male or female); sex orientation (homosexual, heterosexual, asexual or bisexual); and sex of rearing (whether brought up as male or female).  </w:t>
      </w:r>
    </w:p>
    <w:p w:rsidR="00915161" w:rsidRPr="0028108F" w:rsidRDefault="00915161" w:rsidP="00DE5BD5">
      <w:pPr>
        <w:tabs>
          <w:tab w:val="left" w:pos="709"/>
        </w:tabs>
        <w:adjustRightInd w:val="0"/>
        <w:snapToGrid w:val="0"/>
        <w:ind w:left="709" w:rightChars="271" w:right="650"/>
        <w:jc w:val="both"/>
        <w:rPr>
          <w:rFonts w:ascii="Arial" w:hAnsi="Arial" w:cs="Arial"/>
          <w:i/>
          <w:szCs w:val="24"/>
          <w:lang w:val="en-GB"/>
        </w:rPr>
      </w:pPr>
    </w:p>
    <w:p w:rsidR="00915161" w:rsidRPr="0028108F" w:rsidRDefault="00915161" w:rsidP="00DE5BD5">
      <w:pPr>
        <w:tabs>
          <w:tab w:val="left" w:pos="709"/>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The biological aspects include the genetic (the presence or absence of the Y chromosome); the gonadal (the presence of ovaries or testes); the hormonal (circulating hormones and end organ sensitivity); internal genital morphology (the presence or absence of male or female internal structures such as the prostate gland and the uterus); external genital morphology (the structure of male or female external genitalia); and secondary sexual characteristics (body hair, breasts and fat distribution).</w:t>
      </w:r>
    </w:p>
    <w:p w:rsidR="00915161" w:rsidRPr="0028108F" w:rsidRDefault="00915161" w:rsidP="00DE5BD5">
      <w:pPr>
        <w:tabs>
          <w:tab w:val="left" w:pos="709"/>
        </w:tabs>
        <w:adjustRightInd w:val="0"/>
        <w:snapToGrid w:val="0"/>
        <w:ind w:left="709" w:rightChars="271" w:right="650"/>
        <w:jc w:val="both"/>
        <w:rPr>
          <w:rFonts w:ascii="Arial" w:hAnsi="Arial" w:cs="Arial"/>
          <w:i/>
          <w:szCs w:val="24"/>
          <w:lang w:val="en-GB"/>
        </w:rPr>
      </w:pPr>
    </w:p>
    <w:p w:rsidR="00915161" w:rsidRPr="0028108F" w:rsidRDefault="00915161" w:rsidP="00DE5BD5">
      <w:pPr>
        <w:tabs>
          <w:tab w:val="left" w:pos="709"/>
        </w:tabs>
        <w:adjustRightInd w:val="0"/>
        <w:snapToGrid w:val="0"/>
        <w:ind w:left="709" w:rightChars="271" w:right="650"/>
        <w:jc w:val="both"/>
        <w:rPr>
          <w:rFonts w:ascii="Arial" w:hAnsi="Arial" w:cs="Arial"/>
          <w:szCs w:val="24"/>
          <w:lang w:val="en-GB"/>
        </w:rPr>
      </w:pPr>
      <w:r w:rsidRPr="0028108F">
        <w:rPr>
          <w:rFonts w:ascii="Arial" w:hAnsi="Arial" w:cs="Arial"/>
          <w:i/>
          <w:szCs w:val="24"/>
          <w:lang w:val="en-GB"/>
        </w:rPr>
        <w:t>In the vast majority of people, these indicia are all congruent, that is, they all point in the same direction, identifying the indiv</w:t>
      </w:r>
      <w:r w:rsidR="00406E68">
        <w:rPr>
          <w:rFonts w:ascii="Arial" w:hAnsi="Arial" w:cs="Arial"/>
          <w:i/>
          <w:szCs w:val="24"/>
          <w:lang w:val="en-GB"/>
        </w:rPr>
        <w:t>idual as either male or female.</w:t>
      </w:r>
      <w:r w:rsidR="00406E68">
        <w:rPr>
          <w:rFonts w:ascii="Arial" w:hAnsi="Arial" w:cs="Arial" w:hint="eastAsia"/>
          <w:i/>
          <w:szCs w:val="24"/>
          <w:lang w:val="en-GB"/>
        </w:rPr>
        <w:t xml:space="preserve">  </w:t>
      </w:r>
      <w:r w:rsidRPr="0028108F">
        <w:rPr>
          <w:rFonts w:ascii="Arial" w:hAnsi="Arial" w:cs="Arial"/>
          <w:i/>
          <w:szCs w:val="24"/>
          <w:lang w:val="en-GB"/>
        </w:rPr>
        <w:t xml:space="preserve">However, people who have the misfortune of suffering from the gender identity disorder or gender dysphoria of transsexualism possess the chromosomal and other biological features of one sex but profoundly and unshakeably perceive themselves to be members of the opposite sex. </w:t>
      </w:r>
      <w:r w:rsidR="00406E68">
        <w:rPr>
          <w:rFonts w:ascii="Arial" w:hAnsi="Arial" w:cs="Arial" w:hint="eastAsia"/>
          <w:i/>
          <w:szCs w:val="24"/>
          <w:lang w:val="en-GB"/>
        </w:rPr>
        <w:t xml:space="preserve"> </w:t>
      </w:r>
      <w:r w:rsidRPr="0028108F">
        <w:rPr>
          <w:rFonts w:ascii="Arial" w:hAnsi="Arial" w:cs="Arial"/>
          <w:i/>
          <w:szCs w:val="24"/>
          <w:lang w:val="en-GB"/>
        </w:rPr>
        <w:t>They may persistently experience acute emotional distress, feeling themselves trapped in a body which does not correspond with what they firmly believe to be their ‘real’ sex.”</w:t>
      </w:r>
      <w:r w:rsidRPr="0028108F">
        <w:rPr>
          <w:rStyle w:val="FootnoteReference"/>
          <w:rFonts w:ascii="Arial" w:hAnsi="Arial" w:cs="Arial"/>
          <w:szCs w:val="24"/>
          <w:lang w:val="en-GB"/>
        </w:rPr>
        <w:footnoteReference w:id="25"/>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b/>
          <w:i/>
          <w:szCs w:val="24"/>
          <w:lang w:val="en-GB"/>
        </w:rPr>
      </w:pPr>
      <w:r w:rsidRPr="0028108F">
        <w:rPr>
          <w:rFonts w:ascii="Arial" w:hAnsi="Arial" w:cs="Arial"/>
          <w:b/>
          <w:i/>
          <w:szCs w:val="24"/>
          <w:lang w:val="en-GB"/>
        </w:rPr>
        <w:t>Distinction between “assigned gender” and “affirmed gender”</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adjustRightInd w:val="0"/>
        <w:snapToGrid w:val="0"/>
        <w:ind w:rightChars="-24" w:right="-58"/>
        <w:jc w:val="both"/>
        <w:rPr>
          <w:rFonts w:ascii="Arial" w:hAnsi="Arial" w:cs="Arial"/>
          <w:i/>
          <w:szCs w:val="24"/>
          <w:lang w:val="en-GB"/>
        </w:rPr>
      </w:pPr>
      <w:r w:rsidRPr="0028108F">
        <w:rPr>
          <w:rFonts w:ascii="Arial" w:hAnsi="Arial" w:cs="Arial"/>
          <w:szCs w:val="24"/>
          <w:lang w:val="en-GB"/>
        </w:rPr>
        <w:t>1.1</w:t>
      </w:r>
      <w:r w:rsidR="009B57AC" w:rsidRPr="0028108F">
        <w:rPr>
          <w:rFonts w:ascii="Arial" w:hAnsi="Arial" w:cs="Arial"/>
          <w:szCs w:val="24"/>
          <w:lang w:val="en-GB"/>
        </w:rPr>
        <w:t>5</w:t>
      </w:r>
      <w:r w:rsidRPr="0028108F">
        <w:rPr>
          <w:rFonts w:ascii="Arial" w:hAnsi="Arial" w:cs="Arial"/>
          <w:szCs w:val="24"/>
          <w:lang w:val="en-GB"/>
        </w:rPr>
        <w:tab/>
      </w:r>
      <w:r w:rsidRPr="0028108F">
        <w:rPr>
          <w:rFonts w:ascii="Arial" w:hAnsi="Arial" w:cs="Arial"/>
          <w:szCs w:val="24"/>
          <w:lang w:val="en-GB"/>
        </w:rPr>
        <w:tab/>
        <w:t xml:space="preserve">The gender in which a person is expected to live is sometimes called </w:t>
      </w:r>
      <w:r w:rsidRPr="0028108F">
        <w:rPr>
          <w:rFonts w:ascii="Arial" w:hAnsi="Arial" w:cs="Arial"/>
          <w:i/>
          <w:szCs w:val="24"/>
          <w:lang w:val="en-GB"/>
        </w:rPr>
        <w:t>“natal gender”</w:t>
      </w:r>
      <w:r w:rsidRPr="0028108F">
        <w:rPr>
          <w:rFonts w:ascii="Arial" w:hAnsi="Arial" w:cs="Arial"/>
          <w:szCs w:val="24"/>
          <w:lang w:val="en-GB"/>
        </w:rPr>
        <w:t xml:space="preserve"> or </w:t>
      </w:r>
      <w:r w:rsidRPr="0028108F">
        <w:rPr>
          <w:rFonts w:ascii="Arial" w:hAnsi="Arial" w:cs="Arial"/>
          <w:i/>
          <w:szCs w:val="24"/>
          <w:lang w:val="en-GB"/>
        </w:rPr>
        <w:t>“assigned gender”,</w:t>
      </w:r>
      <w:r w:rsidRPr="0028108F">
        <w:rPr>
          <w:rFonts w:ascii="Arial" w:hAnsi="Arial" w:cs="Arial"/>
          <w:szCs w:val="24"/>
          <w:lang w:val="en-GB"/>
        </w:rPr>
        <w:t xml:space="preserve"> while his or her personal gender identity is sometimes referred to as </w:t>
      </w:r>
      <w:r w:rsidRPr="0028108F">
        <w:rPr>
          <w:rFonts w:ascii="Arial" w:hAnsi="Arial" w:cs="Arial"/>
          <w:i/>
          <w:szCs w:val="24"/>
          <w:lang w:val="en-GB"/>
        </w:rPr>
        <w:t>“affirmed gender”</w:t>
      </w:r>
      <w:r w:rsidRPr="0028108F">
        <w:rPr>
          <w:rFonts w:ascii="Arial" w:hAnsi="Arial" w:cs="Arial"/>
          <w:szCs w:val="24"/>
          <w:lang w:val="en-GB"/>
        </w:rPr>
        <w:t xml:space="preserve"> or </w:t>
      </w:r>
      <w:r w:rsidRPr="0028108F">
        <w:rPr>
          <w:rFonts w:ascii="Arial" w:hAnsi="Arial" w:cs="Arial"/>
          <w:i/>
          <w:szCs w:val="24"/>
          <w:lang w:val="en-GB"/>
        </w:rPr>
        <w:t>“experienced gender”</w:t>
      </w:r>
      <w:r w:rsidRPr="0028108F">
        <w:rPr>
          <w:rFonts w:ascii="Arial" w:hAnsi="Arial" w:cs="Arial"/>
          <w:szCs w:val="24"/>
          <w:lang w:val="en-GB"/>
        </w:rPr>
        <w:t>.</w:t>
      </w:r>
      <w:r w:rsidRPr="0028108F">
        <w:rPr>
          <w:rStyle w:val="FootnoteReference"/>
          <w:rFonts w:ascii="Arial" w:hAnsi="Arial" w:cs="Arial"/>
          <w:szCs w:val="24"/>
          <w:lang w:val="en-GB"/>
        </w:rPr>
        <w:footnoteReference w:id="26"/>
      </w:r>
      <w:r w:rsidRPr="0028108F">
        <w:rPr>
          <w:rFonts w:ascii="Arial" w:hAnsi="Arial" w:cs="Arial"/>
          <w:i/>
          <w:szCs w:val="24"/>
          <w:lang w:val="en-GB"/>
        </w:rPr>
        <w:t xml:space="preserve">  </w:t>
      </w:r>
      <w:r w:rsidRPr="0028108F">
        <w:rPr>
          <w:rFonts w:ascii="Arial" w:hAnsi="Arial" w:cs="Arial"/>
          <w:szCs w:val="24"/>
          <w:lang w:val="en-GB"/>
        </w:rPr>
        <w:t xml:space="preserve">It has been observed that </w:t>
      </w:r>
      <w:r w:rsidRPr="0028108F">
        <w:rPr>
          <w:rFonts w:ascii="Arial" w:hAnsi="Arial" w:cs="Arial"/>
          <w:i/>
          <w:szCs w:val="24"/>
          <w:lang w:val="en-GB"/>
        </w:rPr>
        <w:t>“[t]he incongruence between the two can cause great discomfort and distress.  These feelings are often called gender dysphoria.”</w:t>
      </w:r>
      <w:r w:rsidRPr="0028108F">
        <w:rPr>
          <w:rStyle w:val="FootnoteReference"/>
          <w:rFonts w:ascii="Arial" w:hAnsi="Arial" w:cs="Arial"/>
          <w:szCs w:val="24"/>
          <w:lang w:val="en-GB"/>
        </w:rPr>
        <w:footnoteReference w:id="27"/>
      </w:r>
    </w:p>
    <w:p w:rsidR="00915161" w:rsidRPr="0028108F" w:rsidRDefault="00915161" w:rsidP="00DE5BD5">
      <w:pPr>
        <w:adjustRightInd w:val="0"/>
        <w:snapToGrid w:val="0"/>
        <w:jc w:val="both"/>
        <w:rPr>
          <w:rFonts w:ascii="Arial" w:hAnsi="Arial" w:cs="Arial"/>
          <w:szCs w:val="24"/>
          <w:lang w:val="en-GB"/>
        </w:rPr>
      </w:pPr>
      <w:r w:rsidRPr="0028108F">
        <w:rPr>
          <w:rFonts w:ascii="Arial" w:hAnsi="Arial" w:cs="Arial"/>
          <w:b/>
          <w:i/>
          <w:szCs w:val="24"/>
          <w:lang w:val="en-GB"/>
        </w:rPr>
        <w:lastRenderedPageBreak/>
        <w:t>“Transsexualism”</w:t>
      </w:r>
      <w:r w:rsidRPr="0028108F">
        <w:rPr>
          <w:rFonts w:ascii="Arial" w:hAnsi="Arial" w:cs="Arial"/>
          <w:b/>
          <w:szCs w:val="24"/>
          <w:lang w:val="en-GB"/>
        </w:rPr>
        <w:t xml:space="preserve"> and </w:t>
      </w:r>
      <w:r w:rsidRPr="0028108F">
        <w:rPr>
          <w:rFonts w:ascii="Arial" w:hAnsi="Arial" w:cs="Arial"/>
          <w:b/>
          <w:i/>
          <w:szCs w:val="24"/>
          <w:lang w:val="en-GB"/>
        </w:rPr>
        <w:t>“gender identity disorder”</w:t>
      </w:r>
      <w:r w:rsidRPr="0028108F">
        <w:rPr>
          <w:rFonts w:ascii="Arial" w:hAnsi="Arial" w:cs="Arial"/>
          <w:b/>
          <w:szCs w:val="24"/>
          <w:lang w:val="en-GB"/>
        </w:rPr>
        <w:t xml:space="preserve"> or </w:t>
      </w:r>
      <w:r w:rsidRPr="0028108F">
        <w:rPr>
          <w:rFonts w:ascii="Arial" w:hAnsi="Arial" w:cs="Arial"/>
          <w:b/>
          <w:i/>
          <w:szCs w:val="24"/>
          <w:lang w:val="en-GB"/>
        </w:rPr>
        <w:t>“gender dysphoria”</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6</w:t>
      </w:r>
      <w:r w:rsidRPr="0028108F">
        <w:rPr>
          <w:rFonts w:ascii="Arial" w:hAnsi="Arial" w:cs="Arial"/>
          <w:szCs w:val="24"/>
          <w:lang w:val="en-GB"/>
        </w:rPr>
        <w:tab/>
      </w:r>
      <w:r w:rsidRPr="0028108F">
        <w:rPr>
          <w:rFonts w:ascii="Arial" w:hAnsi="Arial" w:cs="Arial"/>
          <w:szCs w:val="24"/>
          <w:lang w:val="en-GB"/>
        </w:rPr>
        <w:tab/>
        <w:t xml:space="preserve">The terms </w:t>
      </w:r>
      <w:r w:rsidRPr="0028108F">
        <w:rPr>
          <w:rFonts w:ascii="Arial" w:hAnsi="Arial" w:cs="Arial"/>
          <w:i/>
          <w:szCs w:val="24"/>
          <w:lang w:val="en-GB"/>
        </w:rPr>
        <w:t>“transsexualism”</w:t>
      </w:r>
      <w:r w:rsidRPr="0028108F">
        <w:rPr>
          <w:rFonts w:ascii="Arial" w:hAnsi="Arial" w:cs="Arial"/>
          <w:szCs w:val="24"/>
          <w:lang w:val="en-GB"/>
        </w:rPr>
        <w:t xml:space="preserve">, </w:t>
      </w:r>
      <w:r w:rsidRPr="0028108F">
        <w:rPr>
          <w:rFonts w:ascii="Arial" w:hAnsi="Arial" w:cs="Arial"/>
          <w:i/>
          <w:szCs w:val="24"/>
          <w:lang w:val="en-GB"/>
        </w:rPr>
        <w:t>“gender identity disorder”</w:t>
      </w:r>
      <w:r w:rsidRPr="0028108F">
        <w:rPr>
          <w:rFonts w:ascii="Arial" w:hAnsi="Arial" w:cs="Arial"/>
          <w:szCs w:val="24"/>
          <w:lang w:val="en-GB"/>
        </w:rPr>
        <w:t xml:space="preserve"> and “</w:t>
      </w:r>
      <w:r w:rsidRPr="0028108F">
        <w:rPr>
          <w:rFonts w:ascii="Arial" w:hAnsi="Arial" w:cs="Arial"/>
          <w:i/>
          <w:szCs w:val="24"/>
          <w:lang w:val="en-GB"/>
        </w:rPr>
        <w:t>gender dysphoria</w:t>
      </w:r>
      <w:r w:rsidRPr="0028108F">
        <w:rPr>
          <w:rFonts w:ascii="Arial" w:hAnsi="Arial" w:cs="Arial"/>
          <w:szCs w:val="24"/>
          <w:lang w:val="en-GB"/>
        </w:rPr>
        <w:t>” appear in authoritative medical diagnostic and classification manuals,</w:t>
      </w:r>
      <w:r w:rsidRPr="0028108F">
        <w:rPr>
          <w:rStyle w:val="FootnoteReference"/>
          <w:rFonts w:ascii="Arial" w:hAnsi="Arial" w:cs="Arial"/>
          <w:szCs w:val="24"/>
          <w:lang w:val="en-GB"/>
        </w:rPr>
        <w:footnoteReference w:id="28"/>
      </w:r>
      <w:r w:rsidRPr="0028108F">
        <w:rPr>
          <w:rFonts w:ascii="Arial" w:hAnsi="Arial" w:cs="Arial"/>
          <w:szCs w:val="24"/>
          <w:lang w:val="en-GB"/>
        </w:rPr>
        <w:t xml:space="preserve"> and there are explicit definitions for the formal diagnoses of these terms within the medical community.</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7</w:t>
      </w:r>
      <w:r w:rsidRPr="0028108F">
        <w:rPr>
          <w:rFonts w:ascii="Arial" w:hAnsi="Arial" w:cs="Arial"/>
          <w:szCs w:val="24"/>
          <w:lang w:val="en-GB"/>
        </w:rPr>
        <w:tab/>
      </w:r>
      <w:r w:rsidRPr="0028108F">
        <w:rPr>
          <w:rFonts w:ascii="Arial" w:hAnsi="Arial" w:cs="Arial"/>
          <w:szCs w:val="24"/>
          <w:lang w:val="en-GB"/>
        </w:rPr>
        <w:tab/>
        <w:t xml:space="preserve">The Court of First Instance </w:t>
      </w:r>
      <w:r w:rsidR="000D0ACE" w:rsidRPr="0028108F">
        <w:rPr>
          <w:rFonts w:ascii="Arial" w:hAnsi="Arial" w:cs="Arial"/>
          <w:szCs w:val="24"/>
          <w:lang w:val="en-GB"/>
        </w:rPr>
        <w:t>(“</w:t>
      </w:r>
      <w:r w:rsidR="000D0ACE" w:rsidRPr="0028108F">
        <w:rPr>
          <w:rFonts w:ascii="Arial" w:hAnsi="Arial" w:cs="Arial"/>
          <w:i/>
          <w:szCs w:val="24"/>
          <w:lang w:val="en-GB"/>
        </w:rPr>
        <w:t>CFI</w:t>
      </w:r>
      <w:r w:rsidR="000D0ACE" w:rsidRPr="00181CF2">
        <w:rPr>
          <w:rFonts w:ascii="Arial" w:hAnsi="Arial" w:cs="Arial"/>
          <w:szCs w:val="24"/>
          <w:lang w:val="en-GB"/>
        </w:rPr>
        <w:t xml:space="preserve">”) </w:t>
      </w:r>
      <w:r w:rsidRPr="00C57CE1">
        <w:rPr>
          <w:rFonts w:ascii="Arial" w:hAnsi="Arial" w:cs="Arial"/>
          <w:szCs w:val="24"/>
          <w:lang w:val="en-GB"/>
        </w:rPr>
        <w:t xml:space="preserve">in </w:t>
      </w:r>
      <w:r w:rsidRPr="0028108F">
        <w:rPr>
          <w:rFonts w:ascii="Arial" w:hAnsi="Arial" w:cs="Arial"/>
          <w:i/>
          <w:szCs w:val="24"/>
          <w:lang w:val="en-GB"/>
        </w:rPr>
        <w:t>W</w:t>
      </w:r>
      <w:r w:rsidRPr="0028108F">
        <w:rPr>
          <w:rFonts w:ascii="Arial" w:hAnsi="Arial" w:cs="Arial"/>
          <w:szCs w:val="24"/>
          <w:lang w:val="en-GB"/>
        </w:rPr>
        <w:t xml:space="preserve">’s case defined </w:t>
      </w:r>
      <w:r w:rsidRPr="0028108F">
        <w:rPr>
          <w:rFonts w:ascii="Arial" w:hAnsi="Arial" w:cs="Arial"/>
          <w:i/>
          <w:szCs w:val="24"/>
          <w:lang w:val="en-GB"/>
        </w:rPr>
        <w:t>“transsexualism”</w:t>
      </w:r>
      <w:r w:rsidRPr="0028108F">
        <w:rPr>
          <w:rFonts w:ascii="Arial" w:hAnsi="Arial" w:cs="Arial"/>
          <w:szCs w:val="24"/>
          <w:lang w:val="en-GB"/>
        </w:rPr>
        <w:t xml:space="preserve"> as:</w:t>
      </w:r>
    </w:p>
    <w:p w:rsidR="00915161" w:rsidRPr="0028108F" w:rsidRDefault="00915161" w:rsidP="00DE5BD5">
      <w:pPr>
        <w:tabs>
          <w:tab w:val="left" w:pos="720"/>
        </w:tabs>
        <w:adjustRightInd w:val="0"/>
        <w:snapToGrid w:val="0"/>
        <w:ind w:left="720" w:hanging="720"/>
        <w:jc w:val="both"/>
        <w:rPr>
          <w:rFonts w:ascii="Arial" w:hAnsi="Arial" w:cs="Arial"/>
          <w:szCs w:val="24"/>
          <w:lang w:val="en-GB"/>
        </w:rPr>
      </w:pPr>
    </w:p>
    <w:p w:rsidR="00915161" w:rsidRPr="0028108F" w:rsidRDefault="00915161" w:rsidP="00DE5BD5">
      <w:pPr>
        <w:tabs>
          <w:tab w:val="left" w:pos="709"/>
        </w:tabs>
        <w:adjustRightInd w:val="0"/>
        <w:snapToGrid w:val="0"/>
        <w:ind w:left="709" w:rightChars="271" w:right="650"/>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a desire to live and be accepted as a member of the opposite sex, usually accompanied by a sense of discomfort with, or inappropriateness of, one’s anatomical sex, and a wish to have surgery and hormonal treatment to make one’s body as congruent as possible with one’s preferred sex.</w:t>
      </w:r>
      <w:r w:rsidRPr="0028108F">
        <w:rPr>
          <w:rFonts w:ascii="Arial" w:hAnsi="Arial" w:cs="Arial"/>
          <w:szCs w:val="24"/>
          <w:lang w:val="en-GB"/>
        </w:rPr>
        <w:t>”</w:t>
      </w:r>
      <w:r w:rsidRPr="0028108F">
        <w:rPr>
          <w:rStyle w:val="FootnoteReference"/>
          <w:rFonts w:ascii="Arial" w:hAnsi="Arial" w:cs="Arial"/>
          <w:szCs w:val="24"/>
          <w:lang w:val="en-GB"/>
        </w:rPr>
        <w:footnoteReference w:id="29"/>
      </w:r>
    </w:p>
    <w:p w:rsidR="00915161" w:rsidRPr="0028108F" w:rsidRDefault="00915161" w:rsidP="00DE5BD5">
      <w:pPr>
        <w:tabs>
          <w:tab w:val="left" w:pos="709"/>
        </w:tabs>
        <w:adjustRightInd w:val="0"/>
        <w:snapToGrid w:val="0"/>
        <w:ind w:left="720" w:hanging="72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8</w:t>
      </w:r>
      <w:r w:rsidRPr="0028108F">
        <w:rPr>
          <w:rFonts w:ascii="Arial" w:hAnsi="Arial" w:cs="Arial"/>
          <w:szCs w:val="24"/>
          <w:lang w:val="en-GB"/>
        </w:rPr>
        <w:tab/>
      </w:r>
      <w:r w:rsidRPr="0028108F">
        <w:rPr>
          <w:rFonts w:ascii="Arial" w:hAnsi="Arial" w:cs="Arial"/>
          <w:szCs w:val="24"/>
          <w:lang w:val="en-GB"/>
        </w:rPr>
        <w:tab/>
        <w:t>The Court of Appeal</w:t>
      </w:r>
      <w:r w:rsidR="00C45C23" w:rsidRPr="0028108F">
        <w:rPr>
          <w:rFonts w:ascii="Arial" w:hAnsi="Arial" w:cs="Arial"/>
          <w:szCs w:val="24"/>
          <w:lang w:val="en-GB"/>
        </w:rPr>
        <w:t xml:space="preserve"> (“</w:t>
      </w:r>
      <w:r w:rsidR="00C45C23" w:rsidRPr="0028108F">
        <w:rPr>
          <w:rFonts w:ascii="Arial" w:hAnsi="Arial" w:cs="Arial"/>
          <w:i/>
          <w:szCs w:val="24"/>
          <w:lang w:val="en-GB"/>
        </w:rPr>
        <w:t>CA</w:t>
      </w:r>
      <w:r w:rsidR="00C45C23" w:rsidRPr="00181CF2">
        <w:rPr>
          <w:rFonts w:ascii="Arial" w:hAnsi="Arial" w:cs="Arial"/>
          <w:szCs w:val="24"/>
          <w:lang w:val="en-GB"/>
        </w:rPr>
        <w:t>”)</w:t>
      </w:r>
      <w:r w:rsidRPr="00C57CE1">
        <w:rPr>
          <w:rFonts w:ascii="Arial" w:hAnsi="Arial" w:cs="Arial"/>
          <w:szCs w:val="24"/>
          <w:lang w:val="en-GB"/>
        </w:rPr>
        <w:t xml:space="preserve"> </w:t>
      </w:r>
      <w:r w:rsidRPr="0028108F">
        <w:rPr>
          <w:rFonts w:ascii="Arial" w:hAnsi="Arial" w:cs="Arial"/>
          <w:szCs w:val="24"/>
          <w:lang w:val="en-GB"/>
        </w:rPr>
        <w:t xml:space="preserve">in </w:t>
      </w:r>
      <w:r w:rsidRPr="0028108F">
        <w:rPr>
          <w:rFonts w:ascii="Arial" w:hAnsi="Arial" w:cs="Arial"/>
          <w:i/>
          <w:szCs w:val="24"/>
          <w:lang w:val="en-GB"/>
        </w:rPr>
        <w:t>W</w:t>
      </w:r>
      <w:r w:rsidRPr="0028108F">
        <w:rPr>
          <w:rFonts w:ascii="Arial" w:hAnsi="Arial" w:cs="Arial"/>
          <w:szCs w:val="24"/>
          <w:lang w:val="en-GB"/>
        </w:rPr>
        <w:t>’s case stated that:</w:t>
      </w:r>
    </w:p>
    <w:p w:rsidR="00915161" w:rsidRPr="0028108F" w:rsidRDefault="00915161" w:rsidP="00DE5BD5">
      <w:pPr>
        <w:tabs>
          <w:tab w:val="left" w:pos="709"/>
        </w:tabs>
        <w:adjustRightInd w:val="0"/>
        <w:snapToGrid w:val="0"/>
        <w:ind w:left="709" w:rightChars="271" w:right="650"/>
        <w:jc w:val="both"/>
        <w:rPr>
          <w:rFonts w:ascii="Arial" w:hAnsi="Arial" w:cs="Arial"/>
          <w:szCs w:val="24"/>
          <w:lang w:val="en-GB"/>
        </w:rPr>
      </w:pPr>
    </w:p>
    <w:p w:rsidR="00915161" w:rsidRPr="00181CF2" w:rsidRDefault="00915161" w:rsidP="00DE5BD5">
      <w:pPr>
        <w:tabs>
          <w:tab w:val="left" w:pos="709"/>
        </w:tabs>
        <w:adjustRightInd w:val="0"/>
        <w:snapToGrid w:val="0"/>
        <w:ind w:left="709" w:rightChars="271" w:right="650"/>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Transsexuals are not content with living as a member of the sex they do not identify themselves with. They genuinely believe that they are members of the opposite sex and that their bodies are inconsistent with the sex to which they believe they belong and this often causes acute distress. The sex identity which a person believes he or she may have is known as the person’s psychological sex.  Such a person suffers from a medically recognized condition known as transsexualism, also known as gender identity disorder or gender dysphoria.</w:t>
      </w:r>
      <w:r w:rsidRPr="0028108F">
        <w:rPr>
          <w:rFonts w:ascii="Arial" w:hAnsi="Arial" w:cs="Arial"/>
          <w:szCs w:val="24"/>
          <w:lang w:val="en-GB"/>
        </w:rPr>
        <w:t>”</w:t>
      </w:r>
      <w:r w:rsidRPr="00181CF2">
        <w:rPr>
          <w:rStyle w:val="FootnoteReference"/>
          <w:rFonts w:ascii="Arial" w:hAnsi="Arial" w:cs="Arial"/>
          <w:szCs w:val="24"/>
          <w:lang w:val="en-GB"/>
        </w:rPr>
        <w:footnoteReference w:id="30"/>
      </w:r>
    </w:p>
    <w:p w:rsidR="00915161" w:rsidRPr="00C57CE1" w:rsidRDefault="00915161" w:rsidP="0028108F">
      <w:pPr>
        <w:tabs>
          <w:tab w:val="left" w:pos="709"/>
        </w:tabs>
        <w:adjustRightInd w:val="0"/>
        <w:snapToGrid w:val="0"/>
        <w:ind w:left="720" w:hanging="720"/>
        <w:jc w:val="both"/>
        <w:rPr>
          <w:rFonts w:ascii="Arial" w:hAnsi="Arial" w:cs="Arial"/>
          <w:szCs w:val="24"/>
          <w:lang w:val="en-GB"/>
        </w:rPr>
      </w:pPr>
    </w:p>
    <w:p w:rsidR="00915161" w:rsidRPr="00181CF2" w:rsidRDefault="00915161" w:rsidP="00DE5BD5">
      <w:pPr>
        <w:tabs>
          <w:tab w:val="left" w:pos="993"/>
        </w:tabs>
        <w:adjustRightInd w:val="0"/>
        <w:snapToGrid w:val="0"/>
        <w:spacing w:afterLines="50" w:after="180"/>
        <w:jc w:val="both"/>
        <w:rPr>
          <w:rFonts w:ascii="Arial" w:hAnsi="Arial" w:cs="Arial"/>
          <w:szCs w:val="24"/>
          <w:lang w:val="en-GB"/>
        </w:rPr>
      </w:pPr>
      <w:r w:rsidRPr="0028108F">
        <w:rPr>
          <w:rFonts w:ascii="Arial" w:hAnsi="Arial" w:cs="Arial"/>
          <w:szCs w:val="24"/>
          <w:lang w:val="en-GB"/>
        </w:rPr>
        <w:t>1.1</w:t>
      </w:r>
      <w:r w:rsidR="009B57AC" w:rsidRPr="0028108F">
        <w:rPr>
          <w:rFonts w:ascii="Arial" w:hAnsi="Arial" w:cs="Arial"/>
          <w:szCs w:val="24"/>
          <w:lang w:val="en-GB"/>
        </w:rPr>
        <w:t>9</w:t>
      </w:r>
      <w:r w:rsidRPr="0028108F">
        <w:rPr>
          <w:rFonts w:ascii="Arial" w:hAnsi="Arial" w:cs="Arial"/>
          <w:szCs w:val="24"/>
          <w:lang w:val="en-GB"/>
        </w:rPr>
        <w:tab/>
      </w:r>
      <w:r w:rsidRPr="0028108F">
        <w:rPr>
          <w:rFonts w:ascii="Arial" w:hAnsi="Arial" w:cs="Arial"/>
          <w:szCs w:val="24"/>
          <w:lang w:val="en-GB"/>
        </w:rPr>
        <w:tab/>
        <w:t>According to the World Professional Association for Transgender Health (</w:t>
      </w:r>
      <w:r w:rsidR="00E3210C" w:rsidRPr="0028108F">
        <w:rPr>
          <w:rFonts w:ascii="Arial" w:hAnsi="Arial" w:cs="Arial"/>
          <w:szCs w:val="24"/>
          <w:lang w:val="en-GB"/>
        </w:rPr>
        <w:t>“</w:t>
      </w:r>
      <w:r w:rsidRPr="0028108F">
        <w:rPr>
          <w:rFonts w:ascii="Arial" w:hAnsi="Arial" w:cs="Arial"/>
          <w:i/>
          <w:szCs w:val="24"/>
          <w:lang w:val="en-GB"/>
        </w:rPr>
        <w:t>WPATH</w:t>
      </w:r>
      <w:r w:rsidR="00E3210C" w:rsidRPr="00181CF2">
        <w:rPr>
          <w:rFonts w:ascii="Arial" w:hAnsi="Arial" w:cs="Arial"/>
          <w:szCs w:val="24"/>
          <w:lang w:val="en-GB"/>
        </w:rPr>
        <w:t>”</w:t>
      </w:r>
      <w:r w:rsidRPr="00C57CE1">
        <w:rPr>
          <w:rFonts w:ascii="Arial" w:hAnsi="Arial" w:cs="Arial"/>
          <w:szCs w:val="24"/>
          <w:lang w:val="en-GB"/>
        </w:rPr>
        <w:t>):</w:t>
      </w:r>
      <w:r w:rsidRPr="00181CF2">
        <w:rPr>
          <w:rStyle w:val="FootnoteReference"/>
          <w:rFonts w:ascii="Arial" w:hAnsi="Arial" w:cs="Arial"/>
          <w:szCs w:val="24"/>
          <w:lang w:val="en-GB"/>
        </w:rPr>
        <w:footnoteReference w:id="31"/>
      </w:r>
    </w:p>
    <w:p w:rsidR="00915161" w:rsidRPr="00181CF2" w:rsidRDefault="00915161" w:rsidP="00DE5BD5">
      <w:pPr>
        <w:adjustRightInd w:val="0"/>
        <w:snapToGrid w:val="0"/>
        <w:ind w:left="709" w:rightChars="271" w:right="650"/>
        <w:jc w:val="both"/>
        <w:rPr>
          <w:rFonts w:ascii="Arial" w:hAnsi="Arial" w:cs="Arial"/>
          <w:szCs w:val="24"/>
          <w:lang w:val="en-GB"/>
        </w:rPr>
      </w:pPr>
      <w:r w:rsidRPr="00C57CE1">
        <w:rPr>
          <w:rFonts w:ascii="Arial" w:hAnsi="Arial" w:cs="Arial"/>
          <w:i/>
          <w:szCs w:val="24"/>
          <w:lang w:val="en-GB"/>
        </w:rPr>
        <w:t xml:space="preserve">“Gender dysphoria refers to discomfort or distress that is caused </w:t>
      </w:r>
      <w:r w:rsidRPr="00C57CE1">
        <w:rPr>
          <w:rFonts w:ascii="Arial" w:hAnsi="Arial" w:cs="Arial"/>
          <w:i/>
          <w:szCs w:val="24"/>
          <w:lang w:val="en-GB"/>
        </w:rPr>
        <w:lastRenderedPageBreak/>
        <w:t>by a discrepancy between a person</w:t>
      </w:r>
      <w:r w:rsidR="00E43A27">
        <w:rPr>
          <w:rFonts w:ascii="Arial" w:hAnsi="Arial" w:cs="Arial"/>
          <w:i/>
          <w:szCs w:val="24"/>
          <w:lang w:val="en-GB"/>
        </w:rPr>
        <w:t>’</w:t>
      </w:r>
      <w:r w:rsidRPr="00C57CE1">
        <w:rPr>
          <w:rFonts w:ascii="Arial" w:hAnsi="Arial" w:cs="Arial"/>
          <w:i/>
          <w:szCs w:val="24"/>
          <w:lang w:val="en-GB"/>
        </w:rPr>
        <w:t>s gende</w:t>
      </w:r>
      <w:r w:rsidRPr="0028108F">
        <w:rPr>
          <w:rFonts w:ascii="Arial" w:hAnsi="Arial" w:cs="Arial"/>
          <w:i/>
          <w:szCs w:val="24"/>
          <w:lang w:val="en-GB"/>
        </w:rPr>
        <w:t>r identity and that person</w:t>
      </w:r>
      <w:r w:rsidR="00E43A27">
        <w:rPr>
          <w:rFonts w:ascii="Arial" w:hAnsi="Arial" w:cs="Arial"/>
          <w:i/>
          <w:szCs w:val="24"/>
          <w:lang w:val="en-GB"/>
        </w:rPr>
        <w:t>’</w:t>
      </w:r>
      <w:r w:rsidRPr="0028108F">
        <w:rPr>
          <w:rFonts w:ascii="Arial" w:hAnsi="Arial" w:cs="Arial"/>
          <w:i/>
          <w:szCs w:val="24"/>
          <w:lang w:val="en-GB"/>
        </w:rPr>
        <w:t>s sex assigned at birth (and the associated gender role and/or primary and secondary sex characteristics).”</w:t>
      </w:r>
      <w:r w:rsidRPr="00181CF2">
        <w:rPr>
          <w:rStyle w:val="FootnoteReference"/>
          <w:rFonts w:ascii="Arial" w:hAnsi="Arial" w:cs="Arial"/>
          <w:szCs w:val="24"/>
          <w:lang w:val="en-GB"/>
        </w:rPr>
        <w:footnoteReference w:id="32"/>
      </w:r>
    </w:p>
    <w:p w:rsidR="00915161" w:rsidRPr="00C57CE1" w:rsidRDefault="00915161" w:rsidP="00DE5BD5">
      <w:pPr>
        <w:tabs>
          <w:tab w:val="left" w:pos="993"/>
        </w:tabs>
        <w:adjustRightInd w:val="0"/>
        <w:snapToGrid w:val="0"/>
        <w:jc w:val="both"/>
        <w:rPr>
          <w:rFonts w:ascii="Arial" w:hAnsi="Arial" w:cs="Arial"/>
          <w:szCs w:val="24"/>
          <w:lang w:val="en-GB"/>
        </w:rPr>
      </w:pPr>
    </w:p>
    <w:p w:rsidR="00252DBF" w:rsidRDefault="00252DBF" w:rsidP="00DE5BD5">
      <w:pPr>
        <w:tabs>
          <w:tab w:val="left" w:pos="993"/>
        </w:tabs>
        <w:adjustRightInd w:val="0"/>
        <w:snapToGrid w:val="0"/>
        <w:jc w:val="both"/>
        <w:rPr>
          <w:rFonts w:ascii="Arial" w:hAnsi="Arial" w:cs="Arial"/>
          <w:szCs w:val="24"/>
          <w:lang w:val="en-GB"/>
        </w:rPr>
      </w:pPr>
      <w:r>
        <w:rPr>
          <w:rFonts w:ascii="Arial" w:hAnsi="Arial" w:cs="Arial"/>
          <w:szCs w:val="24"/>
          <w:lang w:val="en-GB"/>
        </w:rPr>
        <w:t>1.20</w:t>
      </w:r>
      <w:r>
        <w:rPr>
          <w:rFonts w:ascii="Arial" w:hAnsi="Arial" w:cs="Arial"/>
          <w:szCs w:val="24"/>
          <w:lang w:val="en-GB"/>
        </w:rPr>
        <w:tab/>
      </w:r>
      <w:r>
        <w:rPr>
          <w:rFonts w:ascii="Arial" w:hAnsi="Arial" w:cs="Arial"/>
          <w:szCs w:val="24"/>
          <w:lang w:val="en-GB"/>
        </w:rPr>
        <w:tab/>
      </w:r>
      <w:r w:rsidRPr="0028108F">
        <w:rPr>
          <w:rFonts w:ascii="Arial" w:hAnsi="Arial" w:cs="Arial"/>
          <w:szCs w:val="24"/>
          <w:lang w:val="en-GB"/>
        </w:rPr>
        <w:t>It is stated in DSM-5 that</w:t>
      </w:r>
      <w:r>
        <w:rPr>
          <w:rFonts w:ascii="Arial" w:hAnsi="Arial" w:cs="Arial"/>
          <w:szCs w:val="24"/>
          <w:lang w:val="en-GB"/>
        </w:rPr>
        <w:t>:</w:t>
      </w:r>
    </w:p>
    <w:p w:rsidR="00252DBF" w:rsidRDefault="00252DBF" w:rsidP="00DE5BD5">
      <w:pPr>
        <w:tabs>
          <w:tab w:val="left" w:pos="993"/>
        </w:tabs>
        <w:adjustRightInd w:val="0"/>
        <w:snapToGrid w:val="0"/>
        <w:jc w:val="both"/>
        <w:rPr>
          <w:rFonts w:ascii="Arial" w:hAnsi="Arial" w:cs="Arial"/>
          <w:szCs w:val="24"/>
          <w:lang w:val="en-GB"/>
        </w:rPr>
      </w:pPr>
    </w:p>
    <w:p w:rsidR="00252DBF" w:rsidRDefault="00252DBF" w:rsidP="008813DE">
      <w:pPr>
        <w:tabs>
          <w:tab w:val="left" w:pos="709"/>
        </w:tabs>
        <w:adjustRightInd w:val="0"/>
        <w:snapToGrid w:val="0"/>
        <w:ind w:leftChars="295" w:left="708" w:rightChars="271" w:right="650"/>
        <w:jc w:val="both"/>
        <w:rPr>
          <w:rFonts w:ascii="Arial" w:hAnsi="Arial" w:cs="Arial"/>
          <w:szCs w:val="24"/>
          <w:lang w:val="en-GB"/>
        </w:rPr>
      </w:pPr>
      <w:r>
        <w:rPr>
          <w:rFonts w:ascii="Arial" w:hAnsi="Arial" w:cs="Arial"/>
          <w:szCs w:val="24"/>
          <w:lang w:val="en-GB"/>
        </w:rPr>
        <w:tab/>
        <w:t>“</w:t>
      </w:r>
      <w:r w:rsidRPr="008813DE">
        <w:rPr>
          <w:rFonts w:ascii="Arial" w:hAnsi="Arial" w:cs="Arial"/>
          <w:i/>
          <w:szCs w:val="24"/>
          <w:lang w:val="en-GB"/>
        </w:rPr>
        <w:t>Gender dysphoria refers to the distress that may accompany the incongruence between one’s experienced or expressed gender and one’s assigned gender.  Although not all individuals will experience distress as a result of such incongruence, many are distressed if the desired physical interventions by means of hormones and/or surgery are not available.</w:t>
      </w:r>
      <w:r>
        <w:rPr>
          <w:rFonts w:ascii="Arial" w:hAnsi="Arial" w:cs="Arial"/>
          <w:szCs w:val="24"/>
          <w:lang w:val="en-GB"/>
        </w:rPr>
        <w:t>”</w:t>
      </w:r>
      <w:r w:rsidR="00E43A27" w:rsidRPr="0028108F">
        <w:rPr>
          <w:rStyle w:val="FootnoteReference"/>
          <w:rFonts w:ascii="Arial" w:hAnsi="Arial" w:cs="Arial"/>
          <w:szCs w:val="24"/>
          <w:lang w:val="en-GB"/>
        </w:rPr>
        <w:footnoteReference w:id="33"/>
      </w:r>
    </w:p>
    <w:p w:rsidR="00252DBF" w:rsidRDefault="00252DBF" w:rsidP="008813DE">
      <w:pPr>
        <w:tabs>
          <w:tab w:val="left" w:pos="709"/>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w:t>
      </w:r>
      <w:r w:rsidR="009B57AC" w:rsidRPr="0028108F">
        <w:rPr>
          <w:rFonts w:ascii="Arial" w:hAnsi="Arial" w:cs="Arial"/>
          <w:szCs w:val="24"/>
          <w:lang w:val="en-GB"/>
        </w:rPr>
        <w:t>2</w:t>
      </w:r>
      <w:r w:rsidR="00252DBF">
        <w:rPr>
          <w:rFonts w:ascii="Arial" w:hAnsi="Arial" w:cs="Arial"/>
          <w:szCs w:val="24"/>
          <w:lang w:val="en-GB"/>
        </w:rPr>
        <w:t>1</w:t>
      </w:r>
      <w:r w:rsidRPr="0028108F">
        <w:rPr>
          <w:rFonts w:ascii="Arial" w:hAnsi="Arial" w:cs="Arial"/>
          <w:szCs w:val="24"/>
          <w:lang w:val="en-GB"/>
        </w:rPr>
        <w:tab/>
      </w:r>
      <w:r w:rsidRPr="0028108F">
        <w:rPr>
          <w:rFonts w:ascii="Arial" w:hAnsi="Arial" w:cs="Arial"/>
          <w:szCs w:val="24"/>
          <w:lang w:val="en-GB"/>
        </w:rPr>
        <w:tab/>
        <w:t>Some commentators have observed that:</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“Gender dysphoria almost always has a social component; a sense of discomfort or distress associated with identifying as a gender other than the one that society recognises one to be (the social dysphoria).</w:t>
      </w:r>
    </w:p>
    <w:p w:rsidR="00915161" w:rsidRPr="0028108F" w:rsidRDefault="00915161" w:rsidP="00DE5BD5">
      <w:pPr>
        <w:adjustRightInd w:val="0"/>
        <w:snapToGrid w:val="0"/>
        <w:ind w:left="709" w:rightChars="271" w:right="650"/>
        <w:jc w:val="both"/>
        <w:rPr>
          <w:rFonts w:ascii="Arial" w:hAnsi="Arial" w:cs="Arial"/>
          <w:i/>
          <w:szCs w:val="24"/>
          <w:lang w:val="en-GB"/>
        </w:rPr>
      </w:pPr>
    </w:p>
    <w:p w:rsidR="00915161" w:rsidRPr="0028108F" w:rsidRDefault="00915161" w:rsidP="00DE5BD5">
      <w:pPr>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It may also have a physical component; discomfort or distress about one</w:t>
      </w:r>
      <w:r w:rsidR="00B0783A">
        <w:rPr>
          <w:rFonts w:ascii="Arial" w:hAnsi="Arial" w:cs="Arial"/>
          <w:i/>
          <w:szCs w:val="24"/>
          <w:lang w:val="en-GB"/>
        </w:rPr>
        <w:t>’</w:t>
      </w:r>
      <w:r w:rsidRPr="0028108F">
        <w:rPr>
          <w:rFonts w:ascii="Arial" w:hAnsi="Arial" w:cs="Arial"/>
          <w:i/>
          <w:szCs w:val="24"/>
          <w:lang w:val="en-GB"/>
        </w:rPr>
        <w:t>s physical sexual characteristics, primary and/or secondary (the physical dysphoria, sometimes called bodily or anatomic dysphoria).</w:t>
      </w:r>
    </w:p>
    <w:p w:rsidR="00915161" w:rsidRPr="0028108F" w:rsidRDefault="00915161" w:rsidP="00DE5BD5">
      <w:pPr>
        <w:adjustRightInd w:val="0"/>
        <w:snapToGrid w:val="0"/>
        <w:ind w:left="709" w:rightChars="271" w:right="650"/>
        <w:jc w:val="both"/>
        <w:rPr>
          <w:rFonts w:ascii="Arial" w:hAnsi="Arial" w:cs="Arial"/>
          <w:i/>
          <w:szCs w:val="24"/>
          <w:lang w:val="en-GB"/>
        </w:rPr>
      </w:pPr>
    </w:p>
    <w:p w:rsidR="00915161" w:rsidRPr="0028108F" w:rsidRDefault="00915161" w:rsidP="00DE5BD5">
      <w:pPr>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Clearly these two can be related; a trans person who feels that his/her body undermines his/her ability to be recognised in his her experienced gender will inevitably also experience physical dysphoria.</w:t>
      </w:r>
    </w:p>
    <w:p w:rsidR="00915161" w:rsidRPr="0028108F" w:rsidRDefault="00915161" w:rsidP="00DE5BD5">
      <w:pPr>
        <w:adjustRightInd w:val="0"/>
        <w:snapToGrid w:val="0"/>
        <w:ind w:left="709" w:rightChars="271" w:right="650"/>
        <w:jc w:val="both"/>
        <w:rPr>
          <w:rFonts w:ascii="Arial" w:hAnsi="Arial" w:cs="Arial"/>
          <w:i/>
          <w:szCs w:val="24"/>
          <w:lang w:val="en-GB"/>
        </w:rPr>
      </w:pPr>
    </w:p>
    <w:p w:rsidR="00915161" w:rsidRPr="00181CF2" w:rsidRDefault="00915161" w:rsidP="005C685F">
      <w:pPr>
        <w:widowControl/>
        <w:adjustRightInd w:val="0"/>
        <w:snapToGrid w:val="0"/>
        <w:ind w:left="706" w:rightChars="271" w:right="650"/>
        <w:jc w:val="both"/>
        <w:rPr>
          <w:rFonts w:ascii="Arial" w:hAnsi="Arial" w:cs="Arial"/>
          <w:szCs w:val="24"/>
          <w:lang w:val="en-GB"/>
        </w:rPr>
      </w:pPr>
      <w:r w:rsidRPr="0028108F">
        <w:rPr>
          <w:rFonts w:ascii="Arial" w:hAnsi="Arial" w:cs="Arial"/>
          <w:i/>
          <w:szCs w:val="24"/>
          <w:lang w:val="en-GB"/>
        </w:rPr>
        <w:t>Note that a trans person may experience social dysphoria without experiencing physical dysphoria. Such persons may not seek hormonal or surgical treatment, except in so far as they may help the person become better recognised in the experienced gender.”</w:t>
      </w:r>
      <w:r w:rsidR="007911B8" w:rsidRPr="0028108F">
        <w:rPr>
          <w:rStyle w:val="FootnoteReference"/>
          <w:rFonts w:ascii="Arial" w:hAnsi="Arial" w:cs="Arial"/>
          <w:szCs w:val="24"/>
          <w:lang w:val="en-GB"/>
        </w:rPr>
        <w:footnoteReference w:id="34"/>
      </w:r>
    </w:p>
    <w:p w:rsidR="00915161" w:rsidRPr="0028108F" w:rsidRDefault="00915161" w:rsidP="00DE5BD5">
      <w:pPr>
        <w:tabs>
          <w:tab w:val="left" w:pos="993"/>
        </w:tabs>
        <w:adjustRightInd w:val="0"/>
        <w:snapToGrid w:val="0"/>
        <w:jc w:val="both"/>
        <w:rPr>
          <w:rFonts w:ascii="Arial" w:hAnsi="Arial" w:cs="Arial"/>
          <w:szCs w:val="24"/>
          <w:lang w:val="en-GB"/>
        </w:rPr>
      </w:pPr>
      <w:r w:rsidRPr="0028108F" w:rsidDel="0021252F">
        <w:rPr>
          <w:rFonts w:ascii="Arial" w:hAnsi="Arial" w:cs="Arial"/>
          <w:b/>
          <w:i/>
          <w:color w:val="FF0000"/>
          <w:szCs w:val="24"/>
          <w:lang w:val="en-GB"/>
        </w:rPr>
        <w:t xml:space="preserve"> </w:t>
      </w:r>
    </w:p>
    <w:p w:rsidR="00915161" w:rsidRPr="0028108F" w:rsidRDefault="00915161" w:rsidP="008813DE">
      <w:pPr>
        <w:tabs>
          <w:tab w:val="left" w:pos="993"/>
        </w:tabs>
        <w:adjustRightInd w:val="0"/>
        <w:snapToGrid w:val="0"/>
        <w:jc w:val="both"/>
        <w:rPr>
          <w:rFonts w:ascii="Arial" w:hAnsi="Arial" w:cs="Arial"/>
          <w:b/>
          <w:i/>
          <w:sz w:val="28"/>
          <w:szCs w:val="28"/>
          <w:lang w:val="en-GB"/>
        </w:rPr>
      </w:pPr>
      <w:r w:rsidRPr="008813DE">
        <w:rPr>
          <w:rFonts w:ascii="Arial" w:hAnsi="Arial" w:cs="Arial"/>
          <w:b/>
          <w:i/>
          <w:szCs w:val="24"/>
          <w:lang w:val="en-GB"/>
        </w:rPr>
        <w:t>Distinction</w:t>
      </w:r>
      <w:r w:rsidR="00CF0C0E" w:rsidRPr="008813DE">
        <w:rPr>
          <w:rFonts w:ascii="Arial" w:hAnsi="Arial" w:cs="Arial"/>
          <w:b/>
          <w:i/>
          <w:szCs w:val="24"/>
          <w:lang w:val="en-GB"/>
        </w:rPr>
        <w:t xml:space="preserve"> </w:t>
      </w:r>
      <w:r w:rsidRPr="008813DE">
        <w:rPr>
          <w:rFonts w:ascii="Arial" w:hAnsi="Arial" w:cs="Arial"/>
          <w:b/>
          <w:i/>
          <w:szCs w:val="24"/>
          <w:lang w:val="en-GB"/>
        </w:rPr>
        <w:t>between the terms “transsexual” and “transgender”</w:t>
      </w:r>
    </w:p>
    <w:p w:rsidR="00915161" w:rsidRPr="0028108F" w:rsidRDefault="00915161" w:rsidP="00DE5BD5">
      <w:pPr>
        <w:adjustRightInd w:val="0"/>
        <w:snapToGrid w:val="0"/>
        <w:jc w:val="both"/>
        <w:rPr>
          <w:rFonts w:ascii="Arial" w:hAnsi="Arial" w:cs="Arial"/>
          <w:b/>
          <w:szCs w:val="24"/>
          <w:lang w:val="en-GB"/>
        </w:rPr>
      </w:pPr>
    </w:p>
    <w:p w:rsidR="00915161" w:rsidRPr="0028108F" w:rsidRDefault="00915161" w:rsidP="00DE5BD5">
      <w:pPr>
        <w:adjustRightInd w:val="0"/>
        <w:snapToGrid w:val="0"/>
        <w:jc w:val="both"/>
        <w:rPr>
          <w:rFonts w:ascii="Arial" w:hAnsi="Arial" w:cs="Arial"/>
          <w:szCs w:val="24"/>
          <w:lang w:val="en-GB"/>
        </w:rPr>
      </w:pPr>
      <w:r w:rsidRPr="0028108F">
        <w:rPr>
          <w:rFonts w:ascii="Arial" w:hAnsi="Arial" w:cs="Arial"/>
          <w:szCs w:val="24"/>
          <w:lang w:val="en-GB"/>
        </w:rPr>
        <w:t>1.2</w:t>
      </w:r>
      <w:r w:rsidR="00FC7ECF">
        <w:rPr>
          <w:rFonts w:ascii="Arial" w:hAnsi="Arial" w:cs="Arial"/>
          <w:szCs w:val="24"/>
          <w:lang w:val="en-GB"/>
        </w:rPr>
        <w:t>2</w:t>
      </w:r>
      <w:r w:rsidRPr="0028108F">
        <w:rPr>
          <w:rFonts w:ascii="Arial" w:hAnsi="Arial" w:cs="Arial"/>
          <w:szCs w:val="24"/>
          <w:lang w:val="en-GB"/>
        </w:rPr>
        <w:tab/>
      </w:r>
      <w:r w:rsidRPr="0028108F">
        <w:rPr>
          <w:rFonts w:ascii="Arial" w:hAnsi="Arial" w:cs="Arial"/>
          <w:szCs w:val="24"/>
          <w:lang w:val="en-GB"/>
        </w:rPr>
        <w:tab/>
        <w:t>There are no universally accepted definitions of the terms “</w:t>
      </w:r>
      <w:r w:rsidRPr="0028108F">
        <w:rPr>
          <w:rFonts w:ascii="Arial" w:hAnsi="Arial" w:cs="Arial"/>
          <w:i/>
          <w:szCs w:val="24"/>
          <w:lang w:val="en-GB"/>
        </w:rPr>
        <w:t>transsexual</w:t>
      </w:r>
      <w:r w:rsidRPr="0028108F">
        <w:rPr>
          <w:rFonts w:ascii="Arial" w:hAnsi="Arial" w:cs="Arial"/>
          <w:szCs w:val="24"/>
          <w:lang w:val="en-GB"/>
        </w:rPr>
        <w:t>” and “</w:t>
      </w:r>
      <w:r w:rsidRPr="0028108F">
        <w:rPr>
          <w:rFonts w:ascii="Arial" w:hAnsi="Arial" w:cs="Arial"/>
          <w:i/>
          <w:szCs w:val="24"/>
          <w:lang w:val="en-GB"/>
        </w:rPr>
        <w:t>transgender</w:t>
      </w:r>
      <w:r w:rsidRPr="0028108F">
        <w:rPr>
          <w:rFonts w:ascii="Arial" w:hAnsi="Arial" w:cs="Arial"/>
          <w:szCs w:val="24"/>
          <w:lang w:val="en-GB"/>
        </w:rPr>
        <w:t xml:space="preserve">”.  Some consider that the terms should be treated as synonymous.  However, </w:t>
      </w:r>
      <w:r w:rsidR="00CF0671">
        <w:rPr>
          <w:rFonts w:ascii="Arial" w:hAnsi="Arial" w:cs="Arial"/>
          <w:szCs w:val="24"/>
          <w:lang w:val="en-GB"/>
        </w:rPr>
        <w:t xml:space="preserve">others </w:t>
      </w:r>
      <w:r w:rsidRPr="0028108F">
        <w:rPr>
          <w:rFonts w:ascii="Arial" w:hAnsi="Arial" w:cs="Arial"/>
          <w:szCs w:val="24"/>
          <w:lang w:val="en-GB"/>
        </w:rPr>
        <w:t xml:space="preserve">consider </w:t>
      </w:r>
      <w:r w:rsidRPr="0028108F">
        <w:rPr>
          <w:rFonts w:ascii="Arial" w:hAnsi="Arial" w:cs="Arial"/>
          <w:i/>
          <w:szCs w:val="24"/>
          <w:lang w:val="en-GB"/>
        </w:rPr>
        <w:t>“transsexual”</w:t>
      </w:r>
      <w:r w:rsidRPr="0028108F">
        <w:rPr>
          <w:rFonts w:ascii="Arial" w:hAnsi="Arial" w:cs="Arial"/>
          <w:szCs w:val="24"/>
          <w:lang w:val="en-GB"/>
        </w:rPr>
        <w:t xml:space="preserve"> to refer to a </w:t>
      </w:r>
      <w:r w:rsidRPr="0028108F">
        <w:rPr>
          <w:rFonts w:ascii="Arial" w:hAnsi="Arial" w:cs="Arial"/>
          <w:szCs w:val="24"/>
          <w:lang w:val="en-GB"/>
        </w:rPr>
        <w:lastRenderedPageBreak/>
        <w:t xml:space="preserve">more restricted class of persons who usually desire to undergo hormonal treatment and </w:t>
      </w:r>
      <w:r w:rsidR="00F71C21" w:rsidRPr="0028108F">
        <w:rPr>
          <w:rFonts w:ascii="Arial" w:hAnsi="Arial" w:cs="Arial"/>
          <w:szCs w:val="24"/>
          <w:lang w:val="en-GB"/>
        </w:rPr>
        <w:t>SRS</w:t>
      </w:r>
      <w:r w:rsidRPr="0028108F">
        <w:rPr>
          <w:rFonts w:ascii="Arial" w:hAnsi="Arial" w:cs="Arial"/>
          <w:szCs w:val="24"/>
          <w:lang w:val="en-GB"/>
        </w:rPr>
        <w:t xml:space="preserve">, as in </w:t>
      </w:r>
      <w:r w:rsidRPr="0028108F">
        <w:rPr>
          <w:rFonts w:ascii="Arial" w:hAnsi="Arial" w:cs="Arial"/>
          <w:i/>
          <w:szCs w:val="24"/>
          <w:lang w:val="en-GB"/>
        </w:rPr>
        <w:t>W</w:t>
      </w:r>
      <w:r w:rsidRPr="0028108F">
        <w:rPr>
          <w:rFonts w:ascii="Arial" w:hAnsi="Arial" w:cs="Arial"/>
          <w:szCs w:val="24"/>
          <w:lang w:val="en-GB"/>
        </w:rPr>
        <w:t>’s case, while “</w:t>
      </w:r>
      <w:r w:rsidRPr="0028108F">
        <w:rPr>
          <w:rFonts w:ascii="Arial" w:hAnsi="Arial" w:cs="Arial"/>
          <w:i/>
          <w:szCs w:val="24"/>
          <w:lang w:val="en-GB"/>
        </w:rPr>
        <w:t>transgender</w:t>
      </w:r>
      <w:r w:rsidRPr="0028108F">
        <w:rPr>
          <w:rFonts w:ascii="Arial" w:hAnsi="Arial" w:cs="Arial"/>
          <w:szCs w:val="24"/>
          <w:lang w:val="en-GB"/>
        </w:rPr>
        <w:t>” tends to be more loosely defined and used to describe a wide range of gender nonconforming phenomena collectively.  Some of the differing views on how these two terms should be defined are set out below.</w:t>
      </w:r>
    </w:p>
    <w:p w:rsidR="00915161" w:rsidRPr="0028108F" w:rsidRDefault="00915161" w:rsidP="00DE5BD5">
      <w:pPr>
        <w:adjustRightInd w:val="0"/>
        <w:snapToGrid w:val="0"/>
        <w:jc w:val="both"/>
        <w:rPr>
          <w:rFonts w:ascii="Arial" w:hAnsi="Arial" w:cs="Arial"/>
          <w:b/>
          <w:szCs w:val="24"/>
          <w:lang w:val="en-GB"/>
        </w:rPr>
      </w:pPr>
    </w:p>
    <w:p w:rsidR="00915161" w:rsidRPr="0028108F" w:rsidRDefault="00915161" w:rsidP="00DE5BD5">
      <w:pPr>
        <w:tabs>
          <w:tab w:val="left" w:pos="709"/>
        </w:tabs>
        <w:adjustRightInd w:val="0"/>
        <w:snapToGrid w:val="0"/>
        <w:jc w:val="both"/>
        <w:rPr>
          <w:rFonts w:ascii="Arial" w:hAnsi="Arial" w:cs="Arial"/>
          <w:b/>
          <w:i/>
          <w:szCs w:val="24"/>
          <w:lang w:val="en-GB"/>
        </w:rPr>
      </w:pPr>
      <w:r w:rsidRPr="008813DE">
        <w:rPr>
          <w:rFonts w:ascii="Arial" w:hAnsi="Arial" w:cs="Arial"/>
          <w:i/>
          <w:szCs w:val="24"/>
          <w:lang w:val="en-GB"/>
        </w:rPr>
        <w:t>References in W’s case</w:t>
      </w:r>
    </w:p>
    <w:p w:rsidR="00915161" w:rsidRPr="0028108F" w:rsidRDefault="00915161" w:rsidP="00DE5BD5">
      <w:pPr>
        <w:adjustRightInd w:val="0"/>
        <w:snapToGrid w:val="0"/>
        <w:jc w:val="both"/>
        <w:rPr>
          <w:rFonts w:ascii="Arial" w:hAnsi="Arial" w:cs="Arial"/>
          <w:b/>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1.2</w:t>
      </w:r>
      <w:r w:rsidR="00FC7ECF">
        <w:rPr>
          <w:rFonts w:ascii="Arial" w:hAnsi="Arial" w:cs="Arial"/>
          <w:szCs w:val="24"/>
          <w:lang w:val="en-GB"/>
        </w:rPr>
        <w:t>3</w:t>
      </w:r>
      <w:r w:rsidRPr="0028108F">
        <w:rPr>
          <w:rFonts w:ascii="Arial" w:hAnsi="Arial" w:cs="Arial"/>
          <w:szCs w:val="24"/>
          <w:lang w:val="en-GB"/>
        </w:rPr>
        <w:tab/>
      </w:r>
      <w:r w:rsidRPr="0028108F">
        <w:rPr>
          <w:rFonts w:ascii="Arial" w:hAnsi="Arial" w:cs="Arial"/>
          <w:szCs w:val="24"/>
          <w:lang w:val="en-GB"/>
        </w:rPr>
        <w:tab/>
        <w:t xml:space="preserve">In </w:t>
      </w:r>
      <w:r w:rsidRPr="0028108F">
        <w:rPr>
          <w:rFonts w:ascii="Arial" w:hAnsi="Arial" w:cs="Arial"/>
          <w:i/>
          <w:szCs w:val="24"/>
          <w:lang w:val="en-GB"/>
        </w:rPr>
        <w:t>W</w:t>
      </w:r>
      <w:r w:rsidRPr="0028108F">
        <w:rPr>
          <w:rFonts w:ascii="Arial" w:hAnsi="Arial" w:cs="Arial"/>
          <w:szCs w:val="24"/>
          <w:lang w:val="en-GB"/>
        </w:rPr>
        <w:t xml:space="preserve">’s case, the </w:t>
      </w:r>
      <w:r w:rsidR="00C45C23" w:rsidRPr="0028108F">
        <w:rPr>
          <w:rFonts w:ascii="Arial" w:hAnsi="Arial" w:cs="Arial"/>
          <w:szCs w:val="24"/>
          <w:lang w:val="en-GB"/>
        </w:rPr>
        <w:t xml:space="preserve">CFI </w:t>
      </w:r>
      <w:r w:rsidRPr="0028108F">
        <w:rPr>
          <w:rFonts w:ascii="Arial" w:hAnsi="Arial" w:cs="Arial"/>
          <w:szCs w:val="24"/>
          <w:lang w:val="en-GB"/>
        </w:rPr>
        <w:t>described the distinction between the terms</w:t>
      </w:r>
      <w:r w:rsidRPr="0028108F">
        <w:rPr>
          <w:rFonts w:ascii="Arial" w:hAnsi="Arial" w:cs="Arial"/>
          <w:i/>
          <w:szCs w:val="24"/>
          <w:lang w:val="en-GB"/>
        </w:rPr>
        <w:t xml:space="preserve"> “transsexual”</w:t>
      </w:r>
      <w:r w:rsidRPr="0028108F">
        <w:rPr>
          <w:rFonts w:ascii="Arial" w:hAnsi="Arial" w:cs="Arial"/>
          <w:szCs w:val="24"/>
          <w:lang w:val="en-GB"/>
        </w:rPr>
        <w:t xml:space="preserve"> and </w:t>
      </w:r>
      <w:r w:rsidRPr="0028108F">
        <w:rPr>
          <w:rFonts w:ascii="Arial" w:hAnsi="Arial" w:cs="Arial"/>
          <w:i/>
          <w:szCs w:val="24"/>
          <w:lang w:val="en-GB"/>
        </w:rPr>
        <w:t>“transgender”</w:t>
      </w:r>
      <w:r w:rsidRPr="0028108F">
        <w:rPr>
          <w:rFonts w:ascii="Arial" w:hAnsi="Arial" w:cs="Arial"/>
          <w:szCs w:val="24"/>
          <w:lang w:val="en-GB"/>
        </w:rPr>
        <w:t xml:space="preserve"> as follows:</w:t>
      </w:r>
    </w:p>
    <w:p w:rsidR="00915161" w:rsidRPr="0028108F" w:rsidRDefault="00915161" w:rsidP="00DE5BD5">
      <w:pPr>
        <w:adjustRightInd w:val="0"/>
        <w:snapToGrid w:val="0"/>
        <w:ind w:left="709" w:rightChars="271" w:right="650"/>
        <w:jc w:val="both"/>
        <w:rPr>
          <w:rFonts w:ascii="Arial" w:hAnsi="Arial" w:cs="Arial"/>
          <w:szCs w:val="24"/>
          <w:lang w:val="en-GB"/>
        </w:rPr>
      </w:pPr>
    </w:p>
    <w:p w:rsidR="00915161" w:rsidRPr="00181CF2" w:rsidRDefault="00915161" w:rsidP="00DE5BD5">
      <w:pPr>
        <w:adjustRightInd w:val="0"/>
        <w:snapToGrid w:val="0"/>
        <w:ind w:left="709" w:rightChars="271" w:right="650"/>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‘Transgender’ is a medically non-specific, broad term describing a wide spectrum of cross-gender experience by different people.  It is not a medical diagnosis or condition.  A transgender individual may be taken as somebody who seeks to take on the social role of the other gender, either full time or part time, often with the assistance of hormone therapy, but who may not desire sex reassignment surgery.  On the other hand, transsexuals usually desire full hormonal transition and SRS.</w:t>
      </w:r>
      <w:r w:rsidRPr="0028108F">
        <w:rPr>
          <w:rFonts w:ascii="Arial" w:hAnsi="Arial" w:cs="Arial"/>
          <w:szCs w:val="24"/>
          <w:lang w:val="en-GB"/>
        </w:rPr>
        <w:t>”</w:t>
      </w:r>
      <w:r w:rsidRPr="00181CF2">
        <w:rPr>
          <w:rStyle w:val="FootnoteReference"/>
          <w:rFonts w:ascii="Arial" w:hAnsi="Arial" w:cs="Arial"/>
          <w:szCs w:val="24"/>
          <w:lang w:val="en-GB"/>
        </w:rPr>
        <w:footnoteReference w:id="35"/>
      </w:r>
      <w:r w:rsidRPr="00181CF2">
        <w:rPr>
          <w:rFonts w:ascii="Arial" w:hAnsi="Arial" w:cs="Arial"/>
          <w:szCs w:val="24"/>
          <w:lang w:val="en-GB"/>
        </w:rPr>
        <w:t xml:space="preserve"> </w:t>
      </w:r>
    </w:p>
    <w:p w:rsidR="00915161" w:rsidRPr="00C57CE1" w:rsidRDefault="00915161" w:rsidP="00DE5BD5">
      <w:pPr>
        <w:tabs>
          <w:tab w:val="left" w:pos="709"/>
        </w:tabs>
        <w:adjustRightInd w:val="0"/>
        <w:snapToGrid w:val="0"/>
        <w:jc w:val="both"/>
        <w:rPr>
          <w:rFonts w:ascii="Arial" w:hAnsi="Arial" w:cs="Arial"/>
          <w:i/>
          <w:szCs w:val="24"/>
          <w:lang w:val="en-GB"/>
        </w:rPr>
      </w:pPr>
    </w:p>
    <w:p w:rsidR="00915161" w:rsidRPr="0028108F" w:rsidRDefault="00915161" w:rsidP="00DE5BD5">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 xml:space="preserve">Academics’ approaches </w:t>
      </w:r>
    </w:p>
    <w:p w:rsidR="00915161" w:rsidRPr="0028108F" w:rsidRDefault="00915161" w:rsidP="00DE5BD5">
      <w:pPr>
        <w:adjustRightInd w:val="0"/>
        <w:snapToGrid w:val="0"/>
        <w:jc w:val="both"/>
        <w:rPr>
          <w:rFonts w:ascii="Arial" w:hAnsi="Arial" w:cs="Arial"/>
          <w:b/>
          <w:szCs w:val="24"/>
          <w:lang w:val="en-GB"/>
        </w:rPr>
      </w:pPr>
    </w:p>
    <w:p w:rsidR="00915161" w:rsidRPr="00181CF2" w:rsidRDefault="00915161" w:rsidP="00DE5BD5">
      <w:pPr>
        <w:tabs>
          <w:tab w:val="left" w:pos="993"/>
        </w:tabs>
        <w:adjustRightInd w:val="0"/>
        <w:snapToGrid w:val="0"/>
        <w:jc w:val="both"/>
        <w:rPr>
          <w:rFonts w:ascii="Arial" w:hAnsi="Arial" w:cs="Arial"/>
          <w:color w:val="000000"/>
          <w:szCs w:val="24"/>
          <w:lang w:val="en-GB"/>
        </w:rPr>
      </w:pPr>
      <w:r w:rsidRPr="0028108F">
        <w:rPr>
          <w:rFonts w:ascii="Arial" w:hAnsi="Arial" w:cs="Arial"/>
          <w:szCs w:val="24"/>
          <w:lang w:val="en-GB"/>
        </w:rPr>
        <w:t>1.2</w:t>
      </w:r>
      <w:r w:rsidR="00FC7ECF">
        <w:rPr>
          <w:rFonts w:ascii="Arial" w:hAnsi="Arial" w:cs="Arial"/>
          <w:szCs w:val="24"/>
          <w:lang w:val="en-GB"/>
        </w:rPr>
        <w:t>4</w:t>
      </w:r>
      <w:r w:rsidRPr="0028108F">
        <w:rPr>
          <w:rFonts w:ascii="Arial" w:hAnsi="Arial" w:cs="Arial"/>
          <w:szCs w:val="24"/>
          <w:lang w:val="en-GB"/>
        </w:rPr>
        <w:tab/>
      </w:r>
      <w:r w:rsidRPr="0028108F">
        <w:rPr>
          <w:rFonts w:ascii="Arial" w:hAnsi="Arial" w:cs="Arial"/>
          <w:szCs w:val="24"/>
          <w:lang w:val="en-GB"/>
        </w:rPr>
        <w:tab/>
      </w:r>
      <w:r w:rsidRPr="0028108F">
        <w:rPr>
          <w:rFonts w:ascii="Arial" w:hAnsi="Arial" w:cs="Arial"/>
          <w:color w:val="000000"/>
          <w:szCs w:val="24"/>
          <w:lang w:val="en-GB"/>
        </w:rPr>
        <w:t xml:space="preserve">The </w:t>
      </w:r>
      <w:r w:rsidR="00C45C23" w:rsidRPr="0028108F">
        <w:rPr>
          <w:rFonts w:ascii="Arial" w:hAnsi="Arial" w:cs="Arial"/>
          <w:color w:val="000000"/>
          <w:szCs w:val="24"/>
          <w:lang w:val="en-GB"/>
        </w:rPr>
        <w:t xml:space="preserve">CFI </w:t>
      </w:r>
      <w:r w:rsidRPr="0028108F">
        <w:rPr>
          <w:rFonts w:ascii="Arial" w:hAnsi="Arial" w:cs="Arial"/>
          <w:color w:val="000000"/>
          <w:szCs w:val="24"/>
          <w:lang w:val="en-GB"/>
        </w:rPr>
        <w:t xml:space="preserve">in </w:t>
      </w:r>
      <w:r w:rsidRPr="0028108F">
        <w:rPr>
          <w:rFonts w:ascii="Arial" w:hAnsi="Arial" w:cs="Arial"/>
          <w:i/>
          <w:color w:val="000000"/>
          <w:szCs w:val="24"/>
          <w:lang w:val="en-GB"/>
        </w:rPr>
        <w:t>W</w:t>
      </w:r>
      <w:r w:rsidRPr="0028108F">
        <w:rPr>
          <w:rFonts w:ascii="Arial" w:hAnsi="Arial" w:cs="Arial"/>
          <w:color w:val="000000"/>
          <w:szCs w:val="24"/>
          <w:lang w:val="en-GB"/>
        </w:rPr>
        <w:t>’s case referred to two articles by Robyn Emerton</w:t>
      </w:r>
      <w:r w:rsidR="00A10445">
        <w:rPr>
          <w:rFonts w:ascii="Arial" w:hAnsi="Arial" w:cs="Arial"/>
          <w:color w:val="000000"/>
          <w:szCs w:val="24"/>
          <w:lang w:val="en-GB"/>
        </w:rPr>
        <w:t xml:space="preserve">, </w:t>
      </w:r>
      <w:r w:rsidR="00797389">
        <w:rPr>
          <w:rFonts w:ascii="Arial" w:hAnsi="Arial" w:cs="Arial"/>
          <w:color w:val="000000"/>
          <w:szCs w:val="24"/>
          <w:lang w:val="en-GB"/>
        </w:rPr>
        <w:t xml:space="preserve">former </w:t>
      </w:r>
      <w:r w:rsidR="00A10445">
        <w:rPr>
          <w:rFonts w:ascii="Arial" w:hAnsi="Arial" w:cs="Arial"/>
          <w:color w:val="000000"/>
          <w:szCs w:val="24"/>
          <w:lang w:val="en-GB"/>
        </w:rPr>
        <w:t>Research Assistant Professor, Faculty of Law, University of Hong Kong,</w:t>
      </w:r>
      <w:r w:rsidRPr="0028108F">
        <w:rPr>
          <w:rFonts w:ascii="Arial" w:hAnsi="Arial" w:cs="Arial"/>
          <w:color w:val="000000"/>
          <w:szCs w:val="24"/>
          <w:lang w:val="en-GB"/>
        </w:rPr>
        <w:t xml:space="preserve"> on the law relating to </w:t>
      </w:r>
      <w:r w:rsidRPr="0028108F">
        <w:rPr>
          <w:rFonts w:ascii="Arial" w:hAnsi="Arial" w:cs="Arial"/>
          <w:i/>
          <w:color w:val="000000"/>
          <w:szCs w:val="24"/>
          <w:lang w:val="en-GB"/>
        </w:rPr>
        <w:t>“transsexual and other transgender persons”</w:t>
      </w:r>
      <w:r w:rsidRPr="0028108F">
        <w:rPr>
          <w:rFonts w:ascii="Arial" w:hAnsi="Arial" w:cs="Arial"/>
          <w:color w:val="000000"/>
          <w:szCs w:val="24"/>
          <w:lang w:val="en-GB"/>
        </w:rPr>
        <w:t xml:space="preserve"> in Hong Kong.</w:t>
      </w:r>
      <w:r w:rsidRPr="00181CF2">
        <w:rPr>
          <w:rStyle w:val="FootnoteReference"/>
          <w:rFonts w:ascii="Arial" w:hAnsi="Arial" w:cs="Arial"/>
          <w:color w:val="000000"/>
          <w:szCs w:val="24"/>
          <w:lang w:val="en-GB"/>
        </w:rPr>
        <w:footnoteReference w:id="36"/>
      </w:r>
    </w:p>
    <w:p w:rsidR="00915161" w:rsidRPr="00B351D4" w:rsidRDefault="00915161" w:rsidP="00DE5BD5">
      <w:pPr>
        <w:adjustRightInd w:val="0"/>
        <w:snapToGrid w:val="0"/>
        <w:jc w:val="both"/>
        <w:rPr>
          <w:rFonts w:ascii="Arial" w:hAnsi="Arial" w:cs="Arial"/>
          <w:b/>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1.2</w:t>
      </w:r>
      <w:r w:rsidR="00FC7ECF">
        <w:rPr>
          <w:rFonts w:ascii="Arial" w:hAnsi="Arial" w:cs="Arial"/>
          <w:szCs w:val="24"/>
          <w:lang w:val="en-GB"/>
        </w:rPr>
        <w:t>5</w:t>
      </w:r>
      <w:r w:rsidRPr="0028108F">
        <w:rPr>
          <w:rFonts w:ascii="Arial" w:hAnsi="Arial" w:cs="Arial"/>
          <w:szCs w:val="24"/>
          <w:lang w:val="en-GB"/>
        </w:rPr>
        <w:tab/>
      </w:r>
      <w:r w:rsidRPr="0028108F">
        <w:rPr>
          <w:rFonts w:ascii="Arial" w:hAnsi="Arial" w:cs="Arial"/>
          <w:szCs w:val="24"/>
          <w:lang w:val="en-GB"/>
        </w:rPr>
        <w:tab/>
        <w:t>In both articles, namely, “</w:t>
      </w:r>
      <w:r w:rsidRPr="0028108F">
        <w:rPr>
          <w:rFonts w:ascii="Arial" w:hAnsi="Arial" w:cs="Arial"/>
          <w:i/>
          <w:szCs w:val="24"/>
          <w:lang w:val="en-GB"/>
        </w:rPr>
        <w:t xml:space="preserve">Neither </w:t>
      </w:r>
      <w:r w:rsidR="00005627">
        <w:rPr>
          <w:rFonts w:ascii="Arial" w:hAnsi="Arial" w:cs="Arial" w:hint="eastAsia"/>
          <w:i/>
          <w:szCs w:val="24"/>
          <w:lang w:val="en-GB"/>
        </w:rPr>
        <w:t>H</w:t>
      </w:r>
      <w:r w:rsidR="00005627" w:rsidRPr="0028108F">
        <w:rPr>
          <w:rFonts w:ascii="Arial" w:hAnsi="Arial" w:cs="Arial"/>
          <w:i/>
          <w:szCs w:val="24"/>
          <w:lang w:val="en-GB"/>
        </w:rPr>
        <w:t xml:space="preserve">ere </w:t>
      </w:r>
      <w:r w:rsidR="00005627">
        <w:rPr>
          <w:rFonts w:ascii="Arial" w:hAnsi="Arial" w:cs="Arial" w:hint="eastAsia"/>
          <w:i/>
          <w:szCs w:val="24"/>
          <w:lang w:val="en-GB"/>
        </w:rPr>
        <w:t>N</w:t>
      </w:r>
      <w:r w:rsidR="00005627" w:rsidRPr="0028108F">
        <w:rPr>
          <w:rFonts w:ascii="Arial" w:hAnsi="Arial" w:cs="Arial"/>
          <w:i/>
          <w:szCs w:val="24"/>
          <w:lang w:val="en-GB"/>
        </w:rPr>
        <w:t xml:space="preserve">or </w:t>
      </w:r>
      <w:r w:rsidR="00005627">
        <w:rPr>
          <w:rFonts w:ascii="Arial" w:hAnsi="Arial" w:cs="Arial" w:hint="eastAsia"/>
          <w:i/>
          <w:szCs w:val="24"/>
          <w:lang w:val="en-GB"/>
        </w:rPr>
        <w:t>T</w:t>
      </w:r>
      <w:r w:rsidR="00005627" w:rsidRPr="0028108F">
        <w:rPr>
          <w:rFonts w:ascii="Arial" w:hAnsi="Arial" w:cs="Arial"/>
          <w:i/>
          <w:szCs w:val="24"/>
          <w:lang w:val="en-GB"/>
        </w:rPr>
        <w:t>here</w:t>
      </w:r>
      <w:r w:rsidRPr="0028108F">
        <w:rPr>
          <w:rFonts w:ascii="Arial" w:hAnsi="Arial" w:cs="Arial"/>
          <w:i/>
          <w:szCs w:val="24"/>
          <w:lang w:val="en-GB"/>
        </w:rPr>
        <w:t xml:space="preserve">: The </w:t>
      </w:r>
      <w:r w:rsidR="00005627">
        <w:rPr>
          <w:rFonts w:ascii="Arial" w:hAnsi="Arial" w:cs="Arial" w:hint="eastAsia"/>
          <w:i/>
          <w:szCs w:val="24"/>
          <w:lang w:val="en-GB"/>
        </w:rPr>
        <w:t>C</w:t>
      </w:r>
      <w:r w:rsidR="00005627" w:rsidRPr="0028108F">
        <w:rPr>
          <w:rFonts w:ascii="Arial" w:hAnsi="Arial" w:cs="Arial"/>
          <w:i/>
          <w:szCs w:val="24"/>
          <w:lang w:val="en-GB"/>
        </w:rPr>
        <w:t xml:space="preserve">urrent </w:t>
      </w:r>
      <w:r w:rsidR="00005627">
        <w:rPr>
          <w:rFonts w:ascii="Arial" w:hAnsi="Arial" w:cs="Arial" w:hint="eastAsia"/>
          <w:i/>
          <w:szCs w:val="24"/>
          <w:lang w:val="en-GB"/>
        </w:rPr>
        <w:t>S</w:t>
      </w:r>
      <w:r w:rsidR="00005627" w:rsidRPr="0028108F">
        <w:rPr>
          <w:rFonts w:ascii="Arial" w:hAnsi="Arial" w:cs="Arial"/>
          <w:i/>
          <w:szCs w:val="24"/>
          <w:lang w:val="en-GB"/>
        </w:rPr>
        <w:t xml:space="preserve">tatus </w:t>
      </w:r>
      <w:r w:rsidR="00005627">
        <w:rPr>
          <w:rFonts w:ascii="Arial" w:hAnsi="Arial" w:cs="Arial" w:hint="eastAsia"/>
          <w:i/>
          <w:szCs w:val="24"/>
          <w:lang w:val="en-GB"/>
        </w:rPr>
        <w:t>O</w:t>
      </w:r>
      <w:r w:rsidRPr="0028108F">
        <w:rPr>
          <w:rFonts w:ascii="Arial" w:hAnsi="Arial" w:cs="Arial"/>
          <w:i/>
          <w:szCs w:val="24"/>
          <w:lang w:val="en-GB"/>
        </w:rPr>
        <w:t xml:space="preserve">f </w:t>
      </w:r>
      <w:r w:rsidR="00005627">
        <w:rPr>
          <w:rFonts w:ascii="Arial" w:hAnsi="Arial" w:cs="Arial" w:hint="eastAsia"/>
          <w:i/>
          <w:szCs w:val="24"/>
          <w:lang w:val="en-GB"/>
        </w:rPr>
        <w:t>T</w:t>
      </w:r>
      <w:r w:rsidRPr="0028108F">
        <w:rPr>
          <w:rFonts w:ascii="Arial" w:hAnsi="Arial" w:cs="Arial"/>
          <w:i/>
          <w:szCs w:val="24"/>
          <w:lang w:val="en-GB"/>
        </w:rPr>
        <w:t xml:space="preserve">ranssexual </w:t>
      </w:r>
      <w:r w:rsidR="00005627">
        <w:rPr>
          <w:rFonts w:ascii="Arial" w:hAnsi="Arial" w:cs="Arial" w:hint="eastAsia"/>
          <w:i/>
          <w:szCs w:val="24"/>
          <w:lang w:val="en-GB"/>
        </w:rPr>
        <w:t>A</w:t>
      </w:r>
      <w:r w:rsidRPr="0028108F">
        <w:rPr>
          <w:rFonts w:ascii="Arial" w:hAnsi="Arial" w:cs="Arial"/>
          <w:i/>
          <w:szCs w:val="24"/>
          <w:lang w:val="en-GB"/>
        </w:rPr>
        <w:t xml:space="preserve">nd </w:t>
      </w:r>
      <w:r w:rsidR="00005627">
        <w:rPr>
          <w:rFonts w:ascii="Arial" w:hAnsi="Arial" w:cs="Arial" w:hint="eastAsia"/>
          <w:i/>
          <w:szCs w:val="24"/>
          <w:lang w:val="en-GB"/>
        </w:rPr>
        <w:t>O</w:t>
      </w:r>
      <w:r w:rsidRPr="0028108F">
        <w:rPr>
          <w:rFonts w:ascii="Arial" w:hAnsi="Arial" w:cs="Arial"/>
          <w:i/>
          <w:szCs w:val="24"/>
          <w:lang w:val="en-GB"/>
        </w:rPr>
        <w:t xml:space="preserve">ther </w:t>
      </w:r>
      <w:r w:rsidR="00005627">
        <w:rPr>
          <w:rFonts w:ascii="Arial" w:hAnsi="Arial" w:cs="Arial" w:hint="eastAsia"/>
          <w:i/>
          <w:szCs w:val="24"/>
          <w:lang w:val="en-GB"/>
        </w:rPr>
        <w:t>T</w:t>
      </w:r>
      <w:r w:rsidRPr="0028108F">
        <w:rPr>
          <w:rFonts w:ascii="Arial" w:hAnsi="Arial" w:cs="Arial"/>
          <w:i/>
          <w:szCs w:val="24"/>
          <w:lang w:val="en-GB"/>
        </w:rPr>
        <w:t xml:space="preserve">ransgender </w:t>
      </w:r>
      <w:r w:rsidR="00005627">
        <w:rPr>
          <w:rFonts w:ascii="Arial" w:hAnsi="Arial" w:cs="Arial" w:hint="eastAsia"/>
          <w:i/>
          <w:szCs w:val="24"/>
          <w:lang w:val="en-GB"/>
        </w:rPr>
        <w:t>P</w:t>
      </w:r>
      <w:r w:rsidRPr="0028108F">
        <w:rPr>
          <w:rFonts w:ascii="Arial" w:hAnsi="Arial" w:cs="Arial"/>
          <w:i/>
          <w:szCs w:val="24"/>
          <w:lang w:val="en-GB"/>
        </w:rPr>
        <w:t xml:space="preserve">ersons </w:t>
      </w:r>
      <w:r w:rsidR="00005627">
        <w:rPr>
          <w:rFonts w:ascii="Arial" w:hAnsi="Arial" w:cs="Arial" w:hint="eastAsia"/>
          <w:i/>
          <w:szCs w:val="24"/>
          <w:lang w:val="en-GB"/>
        </w:rPr>
        <w:t>U</w:t>
      </w:r>
      <w:r w:rsidRPr="0028108F">
        <w:rPr>
          <w:rFonts w:ascii="Arial" w:hAnsi="Arial" w:cs="Arial"/>
          <w:i/>
          <w:szCs w:val="24"/>
          <w:lang w:val="en-GB"/>
        </w:rPr>
        <w:t>nder Hong Kong Law</w:t>
      </w:r>
      <w:r w:rsidRPr="0028108F">
        <w:rPr>
          <w:rFonts w:ascii="Arial" w:hAnsi="Arial" w:cs="Arial"/>
          <w:szCs w:val="24"/>
          <w:lang w:val="en-GB"/>
        </w:rPr>
        <w:t>”</w:t>
      </w:r>
      <w:r w:rsidRPr="00181CF2">
        <w:rPr>
          <w:rStyle w:val="FootnoteReference"/>
          <w:rFonts w:ascii="Arial" w:hAnsi="Arial" w:cs="Arial"/>
          <w:szCs w:val="24"/>
          <w:lang w:val="en-GB"/>
        </w:rPr>
        <w:footnoteReference w:id="37"/>
      </w:r>
      <w:r w:rsidRPr="00181CF2">
        <w:rPr>
          <w:rFonts w:ascii="Arial" w:hAnsi="Arial" w:cs="Arial"/>
          <w:color w:val="000000"/>
          <w:szCs w:val="24"/>
          <w:lang w:val="en-GB"/>
        </w:rPr>
        <w:t xml:space="preserve"> and </w:t>
      </w:r>
      <w:r w:rsidRPr="00C57CE1">
        <w:rPr>
          <w:rFonts w:ascii="Arial" w:hAnsi="Arial" w:cs="Arial"/>
          <w:szCs w:val="24"/>
          <w:lang w:val="en-GB"/>
        </w:rPr>
        <w:t>“</w:t>
      </w:r>
      <w:r w:rsidRPr="0028108F">
        <w:rPr>
          <w:rFonts w:ascii="Arial" w:hAnsi="Arial" w:cs="Arial"/>
          <w:i/>
          <w:szCs w:val="24"/>
          <w:lang w:val="en-GB"/>
        </w:rPr>
        <w:t xml:space="preserve">Time </w:t>
      </w:r>
      <w:r w:rsidR="00005627">
        <w:rPr>
          <w:rFonts w:ascii="Arial" w:hAnsi="Arial" w:cs="Arial" w:hint="eastAsia"/>
          <w:i/>
          <w:szCs w:val="24"/>
          <w:lang w:val="en-GB"/>
        </w:rPr>
        <w:t>F</w:t>
      </w:r>
      <w:r w:rsidRPr="0028108F">
        <w:rPr>
          <w:rFonts w:ascii="Arial" w:hAnsi="Arial" w:cs="Arial"/>
          <w:i/>
          <w:szCs w:val="24"/>
          <w:lang w:val="en-GB"/>
        </w:rPr>
        <w:t xml:space="preserve">or </w:t>
      </w:r>
      <w:r w:rsidR="00005627">
        <w:rPr>
          <w:rFonts w:ascii="Arial" w:hAnsi="Arial" w:cs="Arial" w:hint="eastAsia"/>
          <w:i/>
          <w:szCs w:val="24"/>
          <w:lang w:val="en-GB"/>
        </w:rPr>
        <w:t>C</w:t>
      </w:r>
      <w:r w:rsidRPr="0028108F">
        <w:rPr>
          <w:rFonts w:ascii="Arial" w:hAnsi="Arial" w:cs="Arial"/>
          <w:i/>
          <w:szCs w:val="24"/>
          <w:lang w:val="en-GB"/>
        </w:rPr>
        <w:t xml:space="preserve">hange: A </w:t>
      </w:r>
      <w:r w:rsidR="00005627">
        <w:rPr>
          <w:rFonts w:ascii="Arial" w:hAnsi="Arial" w:cs="Arial" w:hint="eastAsia"/>
          <w:i/>
          <w:szCs w:val="24"/>
          <w:lang w:val="en-GB"/>
        </w:rPr>
        <w:t>C</w:t>
      </w:r>
      <w:r w:rsidRPr="0028108F">
        <w:rPr>
          <w:rFonts w:ascii="Arial" w:hAnsi="Arial" w:cs="Arial"/>
          <w:i/>
          <w:szCs w:val="24"/>
          <w:lang w:val="en-GB"/>
        </w:rPr>
        <w:t xml:space="preserve">all </w:t>
      </w:r>
      <w:r w:rsidR="00005627">
        <w:rPr>
          <w:rFonts w:ascii="Arial" w:hAnsi="Arial" w:cs="Arial" w:hint="eastAsia"/>
          <w:i/>
          <w:szCs w:val="24"/>
          <w:lang w:val="en-GB"/>
        </w:rPr>
        <w:t>F</w:t>
      </w:r>
      <w:r w:rsidRPr="0028108F">
        <w:rPr>
          <w:rFonts w:ascii="Arial" w:hAnsi="Arial" w:cs="Arial"/>
          <w:i/>
          <w:szCs w:val="24"/>
          <w:lang w:val="en-GB"/>
        </w:rPr>
        <w:t xml:space="preserve">or </w:t>
      </w:r>
      <w:r w:rsidR="00005627">
        <w:rPr>
          <w:rFonts w:ascii="Arial" w:hAnsi="Arial" w:cs="Arial" w:hint="eastAsia"/>
          <w:i/>
          <w:szCs w:val="24"/>
          <w:lang w:val="en-GB"/>
        </w:rPr>
        <w:t>T</w:t>
      </w:r>
      <w:r w:rsidRPr="0028108F">
        <w:rPr>
          <w:rFonts w:ascii="Arial" w:hAnsi="Arial" w:cs="Arial"/>
          <w:i/>
          <w:szCs w:val="24"/>
          <w:lang w:val="en-GB"/>
        </w:rPr>
        <w:t xml:space="preserve">he </w:t>
      </w:r>
      <w:r w:rsidR="00005627">
        <w:rPr>
          <w:rFonts w:ascii="Arial" w:hAnsi="Arial" w:cs="Arial" w:hint="eastAsia"/>
          <w:i/>
          <w:szCs w:val="24"/>
          <w:lang w:val="en-GB"/>
        </w:rPr>
        <w:t>L</w:t>
      </w:r>
      <w:r w:rsidRPr="0028108F">
        <w:rPr>
          <w:rFonts w:ascii="Arial" w:hAnsi="Arial" w:cs="Arial"/>
          <w:i/>
          <w:szCs w:val="24"/>
          <w:lang w:val="en-GB"/>
        </w:rPr>
        <w:t xml:space="preserve">egal </w:t>
      </w:r>
      <w:r w:rsidR="00005627">
        <w:rPr>
          <w:rFonts w:ascii="Arial" w:hAnsi="Arial" w:cs="Arial" w:hint="eastAsia"/>
          <w:i/>
          <w:szCs w:val="24"/>
          <w:lang w:val="en-GB"/>
        </w:rPr>
        <w:t>R</w:t>
      </w:r>
      <w:r w:rsidRPr="0028108F">
        <w:rPr>
          <w:rFonts w:ascii="Arial" w:hAnsi="Arial" w:cs="Arial"/>
          <w:i/>
          <w:szCs w:val="24"/>
          <w:lang w:val="en-GB"/>
        </w:rPr>
        <w:t xml:space="preserve">ecognition </w:t>
      </w:r>
      <w:r w:rsidR="00005627">
        <w:rPr>
          <w:rFonts w:ascii="Arial" w:hAnsi="Arial" w:cs="Arial" w:hint="eastAsia"/>
          <w:i/>
          <w:szCs w:val="24"/>
          <w:lang w:val="en-GB"/>
        </w:rPr>
        <w:t>O</w:t>
      </w:r>
      <w:r w:rsidRPr="0028108F">
        <w:rPr>
          <w:rFonts w:ascii="Arial" w:hAnsi="Arial" w:cs="Arial"/>
          <w:i/>
          <w:szCs w:val="24"/>
          <w:lang w:val="en-GB"/>
        </w:rPr>
        <w:t xml:space="preserve">f </w:t>
      </w:r>
      <w:r w:rsidR="00005627">
        <w:rPr>
          <w:rFonts w:ascii="Arial" w:hAnsi="Arial" w:cs="Arial" w:hint="eastAsia"/>
          <w:i/>
          <w:szCs w:val="24"/>
          <w:lang w:val="en-GB"/>
        </w:rPr>
        <w:t>T</w:t>
      </w:r>
      <w:r w:rsidRPr="0028108F">
        <w:rPr>
          <w:rFonts w:ascii="Arial" w:hAnsi="Arial" w:cs="Arial"/>
          <w:i/>
          <w:szCs w:val="24"/>
          <w:lang w:val="en-GB"/>
        </w:rPr>
        <w:t xml:space="preserve">ranssexual </w:t>
      </w:r>
      <w:r w:rsidR="00005627">
        <w:rPr>
          <w:rFonts w:ascii="Arial" w:hAnsi="Arial" w:cs="Arial" w:hint="eastAsia"/>
          <w:i/>
          <w:szCs w:val="24"/>
          <w:lang w:val="en-GB"/>
        </w:rPr>
        <w:t>A</w:t>
      </w:r>
      <w:r w:rsidRPr="0028108F">
        <w:rPr>
          <w:rFonts w:ascii="Arial" w:hAnsi="Arial" w:cs="Arial"/>
          <w:i/>
          <w:szCs w:val="24"/>
          <w:lang w:val="en-GB"/>
        </w:rPr>
        <w:t xml:space="preserve">nd </w:t>
      </w:r>
      <w:r w:rsidR="00005627">
        <w:rPr>
          <w:rFonts w:ascii="Arial" w:hAnsi="Arial" w:cs="Arial" w:hint="eastAsia"/>
          <w:i/>
          <w:szCs w:val="24"/>
          <w:lang w:val="en-GB"/>
        </w:rPr>
        <w:t>O</w:t>
      </w:r>
      <w:r w:rsidRPr="0028108F">
        <w:rPr>
          <w:rFonts w:ascii="Arial" w:hAnsi="Arial" w:cs="Arial"/>
          <w:i/>
          <w:szCs w:val="24"/>
          <w:lang w:val="en-GB"/>
        </w:rPr>
        <w:t xml:space="preserve">ther </w:t>
      </w:r>
      <w:r w:rsidR="00005627">
        <w:rPr>
          <w:rFonts w:ascii="Arial" w:hAnsi="Arial" w:cs="Arial" w:hint="eastAsia"/>
          <w:i/>
          <w:szCs w:val="24"/>
          <w:lang w:val="en-GB"/>
        </w:rPr>
        <w:t>T</w:t>
      </w:r>
      <w:r w:rsidRPr="0028108F">
        <w:rPr>
          <w:rFonts w:ascii="Arial" w:hAnsi="Arial" w:cs="Arial"/>
          <w:i/>
          <w:szCs w:val="24"/>
          <w:lang w:val="en-GB"/>
        </w:rPr>
        <w:t xml:space="preserve">ransgender </w:t>
      </w:r>
      <w:r w:rsidR="00005627">
        <w:rPr>
          <w:rFonts w:ascii="Arial" w:hAnsi="Arial" w:cs="Arial" w:hint="eastAsia"/>
          <w:i/>
          <w:szCs w:val="24"/>
          <w:lang w:val="en-GB"/>
        </w:rPr>
        <w:t>P</w:t>
      </w:r>
      <w:r w:rsidRPr="0028108F">
        <w:rPr>
          <w:rFonts w:ascii="Arial" w:hAnsi="Arial" w:cs="Arial"/>
          <w:i/>
          <w:szCs w:val="24"/>
          <w:lang w:val="en-GB"/>
        </w:rPr>
        <w:t xml:space="preserve">ersons </w:t>
      </w:r>
      <w:r w:rsidR="00005627">
        <w:rPr>
          <w:rFonts w:ascii="Arial" w:hAnsi="Arial" w:cs="Arial" w:hint="eastAsia"/>
          <w:i/>
          <w:szCs w:val="24"/>
          <w:lang w:val="en-GB"/>
        </w:rPr>
        <w:t>I</w:t>
      </w:r>
      <w:r w:rsidRPr="0028108F">
        <w:rPr>
          <w:rFonts w:ascii="Arial" w:hAnsi="Arial" w:cs="Arial"/>
          <w:i/>
          <w:szCs w:val="24"/>
          <w:lang w:val="en-GB"/>
        </w:rPr>
        <w:t>n Hong Kong</w:t>
      </w:r>
      <w:r w:rsidRPr="0028108F">
        <w:rPr>
          <w:rFonts w:ascii="Arial" w:hAnsi="Arial" w:cs="Arial"/>
          <w:szCs w:val="24"/>
          <w:lang w:val="en-GB"/>
        </w:rPr>
        <w:t>”,</w:t>
      </w:r>
      <w:r w:rsidRPr="00181CF2">
        <w:rPr>
          <w:rStyle w:val="FootnoteReference"/>
          <w:rFonts w:ascii="Arial" w:hAnsi="Arial" w:cs="Arial"/>
          <w:szCs w:val="24"/>
          <w:lang w:val="en-GB"/>
        </w:rPr>
        <w:footnoteReference w:id="38"/>
      </w:r>
      <w:r w:rsidRPr="00181CF2">
        <w:rPr>
          <w:rFonts w:ascii="Arial" w:hAnsi="Arial" w:cs="Arial"/>
          <w:szCs w:val="24"/>
          <w:lang w:val="en-GB"/>
        </w:rPr>
        <w:t xml:space="preserve"> </w:t>
      </w:r>
      <w:r w:rsidRPr="00C57CE1">
        <w:rPr>
          <w:rFonts w:ascii="Arial" w:hAnsi="Arial" w:cs="Arial"/>
          <w:color w:val="000000"/>
          <w:szCs w:val="24"/>
          <w:lang w:val="en-GB"/>
        </w:rPr>
        <w:t xml:space="preserve">Emerton gave a similar description of </w:t>
      </w:r>
      <w:r w:rsidRPr="00C57CE1">
        <w:rPr>
          <w:rFonts w:ascii="Arial" w:hAnsi="Arial" w:cs="Arial"/>
          <w:szCs w:val="24"/>
          <w:lang w:val="en-GB"/>
        </w:rPr>
        <w:t xml:space="preserve">the terms </w:t>
      </w:r>
      <w:r w:rsidRPr="0028108F">
        <w:rPr>
          <w:rFonts w:ascii="Arial" w:hAnsi="Arial" w:cs="Arial"/>
          <w:i/>
          <w:szCs w:val="24"/>
          <w:lang w:val="en-GB"/>
        </w:rPr>
        <w:t>“transgender”</w:t>
      </w:r>
      <w:r w:rsidRPr="0028108F">
        <w:rPr>
          <w:rFonts w:ascii="Arial" w:hAnsi="Arial" w:cs="Arial"/>
          <w:szCs w:val="24"/>
          <w:lang w:val="en-GB"/>
        </w:rPr>
        <w:t xml:space="preserve"> and </w:t>
      </w:r>
      <w:r w:rsidRPr="0028108F">
        <w:rPr>
          <w:rFonts w:ascii="Arial" w:hAnsi="Arial" w:cs="Arial"/>
          <w:i/>
          <w:szCs w:val="24"/>
          <w:lang w:val="en-GB"/>
        </w:rPr>
        <w:t>“transsexual”</w:t>
      </w:r>
      <w:r w:rsidRPr="0028108F">
        <w:rPr>
          <w:rFonts w:ascii="Arial" w:hAnsi="Arial" w:cs="Arial"/>
          <w:szCs w:val="24"/>
          <w:lang w:val="en-GB"/>
        </w:rPr>
        <w:t xml:space="preserve"> as follows:</w:t>
      </w:r>
    </w:p>
    <w:p w:rsidR="00915161" w:rsidRPr="0028108F" w:rsidRDefault="00915161" w:rsidP="00DE5BD5">
      <w:pPr>
        <w:tabs>
          <w:tab w:val="left" w:pos="716"/>
        </w:tabs>
        <w:adjustRightInd w:val="0"/>
        <w:snapToGrid w:val="0"/>
        <w:ind w:left="720" w:hanging="720"/>
        <w:jc w:val="both"/>
        <w:rPr>
          <w:rFonts w:ascii="Arial" w:hAnsi="Arial" w:cs="Arial"/>
          <w:szCs w:val="24"/>
          <w:lang w:val="en-GB"/>
        </w:rPr>
      </w:pPr>
    </w:p>
    <w:p w:rsidR="00915161" w:rsidRPr="00181CF2" w:rsidRDefault="00915161" w:rsidP="00DE5BD5">
      <w:pPr>
        <w:adjustRightInd w:val="0"/>
        <w:snapToGrid w:val="0"/>
        <w:ind w:left="709" w:rightChars="271" w:right="650"/>
        <w:jc w:val="both"/>
        <w:rPr>
          <w:rFonts w:ascii="Arial" w:hAnsi="Arial" w:cs="Arial"/>
          <w:szCs w:val="24"/>
          <w:lang w:val="en-GB"/>
        </w:rPr>
      </w:pPr>
      <w:r w:rsidRPr="0028108F">
        <w:rPr>
          <w:rFonts w:ascii="Arial" w:hAnsi="Arial" w:cs="Arial"/>
          <w:i/>
          <w:szCs w:val="24"/>
          <w:lang w:val="en-GB"/>
        </w:rPr>
        <w:t xml:space="preserve">“… the term ‘transgender’ is used as an umbrella term for all those persons who have a deep conviction that their biological sex, as designated at birth, is incompatible with their gender, that is, their psychological or inner sense of being male or female, and who have an overwhelming desire permanently to live and function in the opposite gender to their biological sex (their ‘chosen gender’). It includes transsexual persons, who intend to undergo surgical procedures to bring their physical self in alignment with their gender identity (usually referred to as ‘pre-operative transsexual persons’), and those who have already undergone such gender reassignment surgery (‘post-operative transsexual persons’). It also encompasses those other transgender persons who, for whatever reason, be it </w:t>
      </w:r>
      <w:r w:rsidRPr="0028108F">
        <w:rPr>
          <w:rFonts w:ascii="Arial" w:hAnsi="Arial" w:cs="Arial"/>
          <w:i/>
          <w:szCs w:val="24"/>
          <w:lang w:val="en-GB"/>
        </w:rPr>
        <w:lastRenderedPageBreak/>
        <w:t>health-related or otherwise, do not intend to undergo surgery (although they may be receiving hormonal treatment), but who have nevertheless permanently adopted the opposite gender to their biological sex or have an overwhelming desire to do so. Sometimes, a broader meaning of the term ‘transgender’ is adopted in the literature, which also includes cross-dressers (colloquially referred to as ‘transvestites’). …”</w:t>
      </w:r>
      <w:r w:rsidRPr="00181CF2">
        <w:rPr>
          <w:rStyle w:val="FootnoteReference"/>
          <w:rFonts w:ascii="Arial" w:hAnsi="Arial" w:cs="Arial"/>
          <w:szCs w:val="24"/>
          <w:lang w:val="en-GB"/>
        </w:rPr>
        <w:footnoteReference w:id="39"/>
      </w:r>
    </w:p>
    <w:p w:rsidR="00915161" w:rsidRPr="00C57CE1" w:rsidRDefault="00915161" w:rsidP="00DE5BD5">
      <w:pPr>
        <w:tabs>
          <w:tab w:val="left" w:pos="720"/>
        </w:tabs>
        <w:adjustRightInd w:val="0"/>
        <w:snapToGrid w:val="0"/>
        <w:jc w:val="both"/>
        <w:rPr>
          <w:rFonts w:ascii="Arial" w:hAnsi="Arial" w:cs="Arial"/>
          <w:szCs w:val="24"/>
          <w:lang w:val="en-GB"/>
        </w:rPr>
      </w:pPr>
    </w:p>
    <w:p w:rsidR="00915161" w:rsidRPr="00181CF2" w:rsidRDefault="00915161" w:rsidP="00915161">
      <w:pPr>
        <w:tabs>
          <w:tab w:val="left" w:pos="0"/>
        </w:tabs>
        <w:adjustRightInd w:val="0"/>
        <w:snapToGrid w:val="0"/>
        <w:jc w:val="both"/>
        <w:rPr>
          <w:rFonts w:ascii="Arial" w:hAnsi="Arial" w:cs="Arial"/>
          <w:szCs w:val="24"/>
          <w:lang w:val="en-GB"/>
        </w:rPr>
      </w:pPr>
      <w:r w:rsidRPr="0028108F">
        <w:rPr>
          <w:rFonts w:ascii="Arial" w:hAnsi="Arial" w:cs="Arial"/>
          <w:szCs w:val="24"/>
          <w:lang w:val="en-GB"/>
        </w:rPr>
        <w:t>1.2</w:t>
      </w:r>
      <w:r w:rsidR="00FC7ECF">
        <w:rPr>
          <w:rFonts w:ascii="Arial" w:hAnsi="Arial" w:cs="Arial"/>
          <w:szCs w:val="24"/>
          <w:lang w:val="en-GB"/>
        </w:rPr>
        <w:t>6</w:t>
      </w:r>
      <w:r w:rsidRPr="0028108F">
        <w:rPr>
          <w:rFonts w:ascii="Arial" w:hAnsi="Arial" w:cs="Arial"/>
          <w:szCs w:val="24"/>
          <w:lang w:val="en-GB"/>
        </w:rPr>
        <w:tab/>
      </w:r>
      <w:r w:rsidRPr="0028108F">
        <w:rPr>
          <w:rFonts w:ascii="Arial" w:hAnsi="Arial" w:cs="Arial"/>
          <w:szCs w:val="24"/>
          <w:lang w:val="en-GB"/>
        </w:rPr>
        <w:tab/>
        <w:t xml:space="preserve">In his </w:t>
      </w:r>
      <w:r w:rsidR="006E7969" w:rsidRPr="0028108F">
        <w:rPr>
          <w:rFonts w:ascii="Arial" w:hAnsi="Arial" w:cs="Arial"/>
          <w:szCs w:val="24"/>
          <w:lang w:val="en-GB"/>
        </w:rPr>
        <w:t xml:space="preserve">2015 </w:t>
      </w:r>
      <w:r w:rsidRPr="0028108F">
        <w:rPr>
          <w:rFonts w:ascii="Arial" w:hAnsi="Arial" w:cs="Arial"/>
          <w:szCs w:val="24"/>
          <w:lang w:val="en-GB"/>
        </w:rPr>
        <w:t xml:space="preserve">book, </w:t>
      </w:r>
      <w:r w:rsidRPr="0028108F">
        <w:rPr>
          <w:rFonts w:ascii="Arial" w:hAnsi="Arial" w:cs="Arial"/>
          <w:i/>
          <w:szCs w:val="24"/>
          <w:lang w:val="en-GB"/>
        </w:rPr>
        <w:t>The Legal Status of Transsexual and Transgender Persons</w:t>
      </w:r>
      <w:r w:rsidRPr="0028108F">
        <w:rPr>
          <w:rFonts w:ascii="Arial" w:hAnsi="Arial" w:cs="Arial"/>
          <w:szCs w:val="24"/>
          <w:lang w:val="en-GB"/>
        </w:rPr>
        <w:t>, Dr Jens Scherpe</w:t>
      </w:r>
      <w:r w:rsidRPr="00181CF2">
        <w:rPr>
          <w:rStyle w:val="FootnoteReference"/>
          <w:rFonts w:ascii="Arial" w:hAnsi="Arial" w:cs="Arial"/>
          <w:szCs w:val="24"/>
          <w:lang w:val="en-GB"/>
        </w:rPr>
        <w:footnoteReference w:id="40"/>
      </w:r>
      <w:r w:rsidRPr="00181CF2">
        <w:rPr>
          <w:rFonts w:ascii="Arial" w:hAnsi="Arial" w:cs="Arial"/>
          <w:szCs w:val="24"/>
          <w:lang w:val="en-GB"/>
        </w:rPr>
        <w:t xml:space="preserve"> adopted the terminology coined by Professor Stephen Whittle OBE of Manchester Metropolitan</w:t>
      </w:r>
      <w:r w:rsidRPr="00C57CE1">
        <w:rPr>
          <w:rFonts w:ascii="Arial" w:hAnsi="Arial" w:cs="Arial"/>
          <w:szCs w:val="24"/>
          <w:lang w:val="en-GB"/>
        </w:rPr>
        <w:t xml:space="preserve"> University who defined “</w:t>
      </w:r>
      <w:r w:rsidR="00C04D73">
        <w:rPr>
          <w:rFonts w:ascii="Arial" w:hAnsi="Arial" w:cs="Arial"/>
          <w:i/>
          <w:szCs w:val="24"/>
          <w:lang w:val="en-GB"/>
        </w:rPr>
        <w:t>t</w:t>
      </w:r>
      <w:r w:rsidRPr="0028108F">
        <w:rPr>
          <w:rFonts w:ascii="Arial" w:hAnsi="Arial" w:cs="Arial"/>
          <w:i/>
          <w:szCs w:val="24"/>
          <w:lang w:val="en-GB"/>
        </w:rPr>
        <w:t xml:space="preserve">ransgender </w:t>
      </w:r>
      <w:r w:rsidR="00C04D73">
        <w:rPr>
          <w:rFonts w:ascii="Arial" w:hAnsi="Arial" w:cs="Arial"/>
          <w:i/>
          <w:szCs w:val="24"/>
          <w:lang w:val="en-GB"/>
        </w:rPr>
        <w:t>p</w:t>
      </w:r>
      <w:r w:rsidRPr="0028108F">
        <w:rPr>
          <w:rFonts w:ascii="Arial" w:hAnsi="Arial" w:cs="Arial"/>
          <w:i/>
          <w:szCs w:val="24"/>
          <w:lang w:val="en-GB"/>
        </w:rPr>
        <w:t>erson</w:t>
      </w:r>
      <w:r w:rsidRPr="0028108F">
        <w:rPr>
          <w:rFonts w:ascii="Arial" w:hAnsi="Arial" w:cs="Arial"/>
          <w:szCs w:val="24"/>
          <w:lang w:val="en-GB"/>
        </w:rPr>
        <w:t xml:space="preserve">” to indicate all persons who live, or desire to live, in the role of a gender which is not </w:t>
      </w:r>
      <w:r w:rsidR="00C04D73">
        <w:rPr>
          <w:rFonts w:ascii="Arial" w:hAnsi="Arial" w:cs="Arial"/>
          <w:szCs w:val="24"/>
          <w:lang w:val="en-GB"/>
        </w:rPr>
        <w:t xml:space="preserve">the one </w:t>
      </w:r>
      <w:r w:rsidRPr="0028108F">
        <w:rPr>
          <w:rFonts w:ascii="Arial" w:hAnsi="Arial" w:cs="Arial"/>
          <w:szCs w:val="24"/>
          <w:lang w:val="en-GB"/>
        </w:rPr>
        <w:t>designated to that person at birth, while “</w:t>
      </w:r>
      <w:r w:rsidRPr="0028108F">
        <w:rPr>
          <w:rFonts w:ascii="Arial" w:hAnsi="Arial" w:cs="Arial"/>
          <w:i/>
          <w:szCs w:val="24"/>
          <w:lang w:val="en-GB"/>
        </w:rPr>
        <w:t>transsexual person</w:t>
      </w:r>
      <w:r w:rsidRPr="0028108F">
        <w:rPr>
          <w:rFonts w:ascii="Arial" w:hAnsi="Arial" w:cs="Arial"/>
          <w:szCs w:val="24"/>
          <w:lang w:val="en-GB"/>
        </w:rPr>
        <w:t>” is meant to refer to those transgender persons who desire or have undergone gender reassignment treatment/surgery.</w:t>
      </w:r>
      <w:r w:rsidRPr="00181CF2">
        <w:rPr>
          <w:rStyle w:val="FootnoteReference"/>
          <w:rFonts w:ascii="Arial" w:hAnsi="Arial" w:cs="Arial"/>
          <w:szCs w:val="24"/>
          <w:lang w:val="en-GB"/>
        </w:rPr>
        <w:footnoteReference w:id="41"/>
      </w:r>
    </w:p>
    <w:p w:rsidR="00915161" w:rsidRPr="0091534D"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1.2</w:t>
      </w:r>
      <w:r w:rsidR="00FC7ECF">
        <w:rPr>
          <w:rFonts w:ascii="Arial" w:hAnsi="Arial" w:cs="Arial"/>
          <w:szCs w:val="24"/>
          <w:lang w:val="en-GB"/>
        </w:rPr>
        <w:t>7</w:t>
      </w:r>
      <w:r w:rsidRPr="0028108F">
        <w:rPr>
          <w:rFonts w:ascii="Arial" w:hAnsi="Arial" w:cs="Arial"/>
          <w:szCs w:val="24"/>
          <w:lang w:val="en-GB"/>
        </w:rPr>
        <w:tab/>
      </w:r>
      <w:r w:rsidRPr="0028108F">
        <w:rPr>
          <w:rFonts w:ascii="Arial" w:hAnsi="Arial" w:cs="Arial"/>
          <w:szCs w:val="24"/>
          <w:lang w:val="en-GB"/>
        </w:rPr>
        <w:tab/>
        <w:t>Another academic, Dr Sam Winter</w:t>
      </w:r>
      <w:r w:rsidRPr="00181CF2">
        <w:rPr>
          <w:rFonts w:ascii="Arial" w:hAnsi="Arial" w:cs="Arial"/>
          <w:szCs w:val="24"/>
          <w:lang w:val="en-GB"/>
        </w:rPr>
        <w:t>,</w:t>
      </w:r>
      <w:r w:rsidR="00C45C23" w:rsidRPr="00181CF2">
        <w:rPr>
          <w:rStyle w:val="FootnoteReference"/>
          <w:rFonts w:ascii="Arial" w:hAnsi="Arial" w:cs="Arial"/>
          <w:kern w:val="0"/>
          <w:szCs w:val="24"/>
          <w:lang w:val="en-GB"/>
        </w:rPr>
        <w:footnoteReference w:id="42"/>
      </w:r>
      <w:r w:rsidRPr="00181CF2">
        <w:rPr>
          <w:rFonts w:ascii="Arial" w:hAnsi="Arial" w:cs="Arial"/>
          <w:szCs w:val="24"/>
          <w:lang w:val="en-GB"/>
        </w:rPr>
        <w:t xml:space="preserve"> takes a different view </w:t>
      </w:r>
      <w:r w:rsidRPr="00C57CE1">
        <w:rPr>
          <w:rFonts w:ascii="Arial" w:hAnsi="Arial" w:cs="Arial"/>
          <w:color w:val="000000"/>
          <w:szCs w:val="24"/>
          <w:lang w:val="en-GB"/>
        </w:rPr>
        <w:t xml:space="preserve">on </w:t>
      </w:r>
      <w:r w:rsidRPr="0028108F">
        <w:rPr>
          <w:rFonts w:ascii="Arial" w:hAnsi="Arial" w:cs="Arial"/>
          <w:szCs w:val="24"/>
          <w:lang w:val="en-GB"/>
        </w:rPr>
        <w:t xml:space="preserve">the scope of the terms </w:t>
      </w:r>
      <w:r w:rsidRPr="0028108F">
        <w:rPr>
          <w:rFonts w:ascii="Arial" w:hAnsi="Arial" w:cs="Arial"/>
          <w:i/>
          <w:szCs w:val="24"/>
          <w:lang w:val="en-GB"/>
        </w:rPr>
        <w:t>“transgender”</w:t>
      </w:r>
      <w:r w:rsidRPr="0028108F">
        <w:rPr>
          <w:rFonts w:ascii="Arial" w:hAnsi="Arial" w:cs="Arial"/>
          <w:szCs w:val="24"/>
          <w:lang w:val="en-GB"/>
        </w:rPr>
        <w:t xml:space="preserve"> and </w:t>
      </w:r>
      <w:r w:rsidRPr="0028108F">
        <w:rPr>
          <w:rFonts w:ascii="Arial" w:hAnsi="Arial" w:cs="Arial"/>
          <w:i/>
          <w:szCs w:val="24"/>
          <w:lang w:val="en-GB"/>
        </w:rPr>
        <w:t>“transsexual”</w:t>
      </w:r>
      <w:r w:rsidR="00DC56CF" w:rsidRPr="0028108F">
        <w:rPr>
          <w:rFonts w:ascii="Arial" w:hAnsi="Arial" w:cs="Arial"/>
          <w:szCs w:val="24"/>
          <w:lang w:val="en-GB"/>
        </w:rPr>
        <w:t>.</w:t>
      </w:r>
      <w:r w:rsidRPr="00181CF2">
        <w:rPr>
          <w:rFonts w:ascii="Arial" w:hAnsi="Arial" w:cs="Arial"/>
          <w:szCs w:val="24"/>
          <w:lang w:val="en-GB"/>
        </w:rPr>
        <w:t xml:space="preserve">  He </w:t>
      </w:r>
      <w:r w:rsidRPr="00C57CE1">
        <w:rPr>
          <w:rFonts w:ascii="Arial" w:hAnsi="Arial" w:cs="Arial"/>
          <w:color w:val="000000"/>
          <w:szCs w:val="24"/>
          <w:lang w:val="en-GB"/>
        </w:rPr>
        <w:t>said:</w:t>
      </w:r>
    </w:p>
    <w:p w:rsidR="00915161" w:rsidRPr="0028108F" w:rsidRDefault="00915161" w:rsidP="00DE5BD5">
      <w:pPr>
        <w:tabs>
          <w:tab w:val="left" w:pos="720"/>
        </w:tabs>
        <w:adjustRightInd w:val="0"/>
        <w:snapToGrid w:val="0"/>
        <w:ind w:left="709" w:rightChars="271" w:right="650"/>
        <w:jc w:val="both"/>
        <w:rPr>
          <w:rFonts w:ascii="Arial" w:hAnsi="Arial" w:cs="Arial"/>
          <w:szCs w:val="24"/>
          <w:lang w:val="en-GB"/>
        </w:rPr>
      </w:pPr>
      <w:r w:rsidRPr="0028108F" w:rsidDel="00B51C39">
        <w:rPr>
          <w:rFonts w:ascii="Arial" w:hAnsi="Arial" w:cs="Arial"/>
          <w:szCs w:val="24"/>
          <w:lang w:val="en-GB"/>
        </w:rPr>
        <w:t xml:space="preserve"> </w:t>
      </w: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8.</w:t>
      </w:r>
      <w:r w:rsidRPr="0028108F">
        <w:rPr>
          <w:rFonts w:ascii="Arial" w:hAnsi="Arial" w:cs="Arial"/>
          <w:i/>
          <w:szCs w:val="24"/>
          <w:lang w:val="en-GB"/>
        </w:rPr>
        <w:tab/>
        <w:t>I emphasise that this paper, and the case presented for a [Gender Recognition Ordinance (GRO)], only concerns transsexual people. The term ‘Transsexualism’ here is used in the way it is described in ICD-10 (the tenth revision of the International Statistical Classification of Diseases and Related Health Problems), published by the World Health Organisation. ICD-10 limits the transsexualism diagnosis to persons who display ‘a desire to live and be accepted as a member of the opposite sex, usually accompanied by a sense of discomfort with, or inappropriateness of, one</w:t>
      </w:r>
      <w:r w:rsidR="00E82065">
        <w:rPr>
          <w:rFonts w:ascii="Arial" w:hAnsi="Arial" w:cs="Arial"/>
          <w:i/>
          <w:szCs w:val="24"/>
          <w:lang w:val="en-GB"/>
        </w:rPr>
        <w:t>’</w:t>
      </w:r>
      <w:r w:rsidRPr="0028108F">
        <w:rPr>
          <w:rFonts w:ascii="Arial" w:hAnsi="Arial" w:cs="Arial"/>
          <w:i/>
          <w:szCs w:val="24"/>
          <w:lang w:val="en-GB"/>
        </w:rPr>
        <w:t xml:space="preserve">s anatomic sex and a wish to have hormonal treatment and surgery to make </w:t>
      </w:r>
      <w:r w:rsidR="005F7078" w:rsidRPr="0028108F">
        <w:rPr>
          <w:rFonts w:ascii="Arial" w:hAnsi="Arial" w:cs="Arial"/>
          <w:i/>
          <w:szCs w:val="24"/>
          <w:lang w:val="en-GB"/>
        </w:rPr>
        <w:t>one</w:t>
      </w:r>
      <w:r w:rsidR="005F7078">
        <w:rPr>
          <w:rFonts w:ascii="Arial" w:hAnsi="Arial" w:cs="Arial"/>
          <w:i/>
          <w:szCs w:val="24"/>
          <w:lang w:val="en-GB"/>
        </w:rPr>
        <w:t>’</w:t>
      </w:r>
      <w:r w:rsidR="005F7078" w:rsidRPr="0028108F">
        <w:rPr>
          <w:rFonts w:ascii="Arial" w:hAnsi="Arial" w:cs="Arial"/>
          <w:i/>
          <w:szCs w:val="24"/>
          <w:lang w:val="en-GB"/>
        </w:rPr>
        <w:t xml:space="preserve">s </w:t>
      </w:r>
      <w:r w:rsidRPr="0028108F">
        <w:rPr>
          <w:rFonts w:ascii="Arial" w:hAnsi="Arial" w:cs="Arial"/>
          <w:i/>
          <w:szCs w:val="24"/>
          <w:lang w:val="en-GB"/>
        </w:rPr>
        <w:t>body as congruent as possible with one’s preferred sex’.</w:t>
      </w:r>
    </w:p>
    <w:p w:rsidR="00915161" w:rsidRPr="0028108F" w:rsidRDefault="00915161" w:rsidP="00DE5BD5">
      <w:pPr>
        <w:tabs>
          <w:tab w:val="left" w:pos="720"/>
        </w:tabs>
        <w:adjustRightInd w:val="0"/>
        <w:snapToGrid w:val="0"/>
        <w:ind w:left="720"/>
        <w:jc w:val="both"/>
        <w:rPr>
          <w:rFonts w:ascii="Arial" w:hAnsi="Arial" w:cs="Arial"/>
          <w:i/>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9.</w:t>
      </w:r>
      <w:r w:rsidRPr="0028108F">
        <w:rPr>
          <w:rFonts w:ascii="Arial" w:hAnsi="Arial" w:cs="Arial"/>
          <w:i/>
          <w:szCs w:val="24"/>
          <w:lang w:val="en-GB"/>
        </w:rPr>
        <w:tab/>
        <w:t xml:space="preserve">ICD-10’s description of the transsexualism diagnosis spotlights the clinically core characteristic. It is an incongruence between, on one hand, an individual’s experienced (or affirmed) gender) and, on the other hand, the gender assigned, along with the individual’s sex, at birth (sometimes called assigned gender). It is this fact (not hormones or surgery) that sets transsexual people apart from those other sexual and gender minorities; for example, individuals who for whatever reasons enjoy crossdressing (transvestites, drag queens </w:t>
      </w:r>
      <w:r w:rsidR="00BE259B" w:rsidRPr="0028108F">
        <w:rPr>
          <w:rFonts w:ascii="Arial" w:hAnsi="Arial" w:cs="Arial"/>
          <w:i/>
          <w:szCs w:val="24"/>
          <w:lang w:val="en-GB"/>
        </w:rPr>
        <w:t>etc.</w:t>
      </w:r>
      <w:r w:rsidRPr="0028108F">
        <w:rPr>
          <w:rFonts w:ascii="Arial" w:hAnsi="Arial" w:cs="Arial"/>
          <w:i/>
          <w:szCs w:val="24"/>
          <w:lang w:val="en-GB"/>
        </w:rPr>
        <w:t xml:space="preserve">), and gays and </w:t>
      </w:r>
      <w:r w:rsidRPr="0028108F">
        <w:rPr>
          <w:rFonts w:ascii="Arial" w:hAnsi="Arial" w:cs="Arial"/>
          <w:i/>
          <w:szCs w:val="24"/>
          <w:lang w:val="en-GB"/>
        </w:rPr>
        <w:lastRenderedPageBreak/>
        <w:t>lesbians (whose distinguishing features concern patterns of sexual attraction).</w:t>
      </w:r>
    </w:p>
    <w:p w:rsidR="00915161" w:rsidRPr="0028108F" w:rsidRDefault="00915161" w:rsidP="00DE5BD5">
      <w:pPr>
        <w:tabs>
          <w:tab w:val="left" w:pos="720"/>
        </w:tabs>
        <w:adjustRightInd w:val="0"/>
        <w:snapToGrid w:val="0"/>
        <w:ind w:left="720"/>
        <w:jc w:val="both"/>
        <w:rPr>
          <w:rFonts w:ascii="Arial" w:hAnsi="Arial" w:cs="Arial"/>
          <w:i/>
          <w:szCs w:val="24"/>
          <w:lang w:val="en-GB"/>
        </w:rPr>
      </w:pPr>
    </w:p>
    <w:p w:rsidR="00915161" w:rsidRPr="00181CF2"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10.</w:t>
      </w:r>
      <w:r w:rsidRPr="0028108F">
        <w:rPr>
          <w:rFonts w:ascii="Arial" w:hAnsi="Arial" w:cs="Arial"/>
          <w:i/>
          <w:szCs w:val="24"/>
          <w:lang w:val="en-GB"/>
        </w:rPr>
        <w:tab/>
        <w:t>ICD-10’s focus on the incongruence between experienced and assigned gender highlights the fact that, while many transsexual people may wish to undergo medical procedures aimed at bringing their bodies into line with their personal gender identity (indeed some may experience a need so deeply felt that for them such medical procedures constitute medical necessity), others do not. In the recent LegCo debate some of the speakers appeared entirely unaware of this fact, instead viewing genital and gonadal surgery (‘sex reassignment surgery’) as a defining feature of transsexualism, with all those who do not undergo such surgery being consigned to another group called ‘transgender people’ (who, it appeared, did not merit legal gender recognition). To define transsexualism in terms of surgical history (or surgical intention) is to make an error. ‘Transsexual’ does not equal hormones and sex reassignment surgery. This point is of fundamental importance for the GRO case being made in this paper.</w:t>
      </w:r>
      <w:r w:rsidRPr="0028108F">
        <w:rPr>
          <w:rFonts w:ascii="Arial" w:hAnsi="Arial" w:cs="Arial"/>
          <w:szCs w:val="24"/>
          <w:lang w:val="en-GB"/>
        </w:rPr>
        <w:t>”</w:t>
      </w:r>
      <w:r w:rsidRPr="00181CF2">
        <w:rPr>
          <w:rStyle w:val="FootnoteReference"/>
          <w:rFonts w:ascii="Arial" w:hAnsi="Arial" w:cs="Arial"/>
          <w:szCs w:val="24"/>
          <w:lang w:val="en-GB"/>
        </w:rPr>
        <w:footnoteReference w:id="43"/>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709"/>
        </w:tabs>
        <w:adjustRightInd w:val="0"/>
        <w:snapToGrid w:val="0"/>
        <w:jc w:val="both"/>
        <w:rPr>
          <w:rFonts w:ascii="Arial" w:hAnsi="Arial" w:cs="Arial"/>
          <w:b/>
          <w:i/>
          <w:szCs w:val="24"/>
          <w:lang w:val="en-GB"/>
        </w:rPr>
      </w:pPr>
      <w:r w:rsidRPr="008813DE">
        <w:rPr>
          <w:rFonts w:ascii="Arial" w:hAnsi="Arial" w:cs="Arial"/>
          <w:i/>
          <w:szCs w:val="24"/>
          <w:lang w:val="en-GB"/>
        </w:rPr>
        <w:t>References in other overseas publications</w:t>
      </w:r>
    </w:p>
    <w:p w:rsidR="00915161" w:rsidRPr="0028108F" w:rsidRDefault="00915161" w:rsidP="00DE5BD5">
      <w:pPr>
        <w:tabs>
          <w:tab w:val="left" w:pos="720"/>
        </w:tabs>
        <w:adjustRightInd w:val="0"/>
        <w:snapToGrid w:val="0"/>
        <w:ind w:left="709" w:hanging="709"/>
        <w:jc w:val="both"/>
        <w:rPr>
          <w:rFonts w:ascii="Arial" w:hAnsi="Arial" w:cs="Arial"/>
          <w:szCs w:val="24"/>
          <w:lang w:val="en-GB"/>
        </w:rPr>
      </w:pPr>
    </w:p>
    <w:p w:rsidR="00915161" w:rsidRPr="0028108F" w:rsidRDefault="00915161" w:rsidP="00DE5BD5">
      <w:pPr>
        <w:tabs>
          <w:tab w:val="left" w:pos="993"/>
        </w:tabs>
        <w:adjustRightInd w:val="0"/>
        <w:snapToGrid w:val="0"/>
        <w:jc w:val="both"/>
        <w:rPr>
          <w:rFonts w:ascii="Arial" w:hAnsi="Arial" w:cs="Arial"/>
          <w:szCs w:val="24"/>
          <w:lang w:val="en-GB"/>
        </w:rPr>
      </w:pPr>
      <w:r w:rsidRPr="0028108F">
        <w:rPr>
          <w:rFonts w:ascii="Arial" w:hAnsi="Arial" w:cs="Arial"/>
          <w:szCs w:val="24"/>
          <w:lang w:val="en-GB"/>
        </w:rPr>
        <w:t>1.2</w:t>
      </w:r>
      <w:r w:rsidR="00FC7ECF">
        <w:rPr>
          <w:rFonts w:ascii="Arial" w:hAnsi="Arial" w:cs="Arial"/>
          <w:szCs w:val="24"/>
          <w:lang w:val="en-GB"/>
        </w:rPr>
        <w:t>8</w:t>
      </w:r>
      <w:r w:rsidRPr="0028108F">
        <w:rPr>
          <w:rFonts w:ascii="Arial" w:hAnsi="Arial" w:cs="Arial"/>
          <w:szCs w:val="24"/>
          <w:lang w:val="en-GB"/>
        </w:rPr>
        <w:tab/>
      </w:r>
      <w:r w:rsidRPr="0028108F">
        <w:rPr>
          <w:rFonts w:ascii="Arial" w:hAnsi="Arial" w:cs="Arial"/>
          <w:szCs w:val="24"/>
          <w:lang w:val="en-GB"/>
        </w:rPr>
        <w:tab/>
        <w:t xml:space="preserve">The terms </w:t>
      </w:r>
      <w:r w:rsidRPr="0028108F">
        <w:rPr>
          <w:rFonts w:ascii="Arial" w:hAnsi="Arial" w:cs="Arial"/>
          <w:i/>
          <w:szCs w:val="24"/>
          <w:lang w:val="en-GB"/>
        </w:rPr>
        <w:t>“transsexual”</w:t>
      </w:r>
      <w:r w:rsidRPr="0028108F">
        <w:rPr>
          <w:rFonts w:ascii="Arial" w:hAnsi="Arial" w:cs="Arial"/>
          <w:szCs w:val="24"/>
          <w:lang w:val="en-GB"/>
        </w:rPr>
        <w:t xml:space="preserve"> and </w:t>
      </w:r>
      <w:r w:rsidRPr="0028108F">
        <w:rPr>
          <w:rFonts w:ascii="Arial" w:hAnsi="Arial" w:cs="Arial"/>
          <w:i/>
          <w:szCs w:val="24"/>
          <w:lang w:val="en-GB"/>
        </w:rPr>
        <w:t>“transgender”</w:t>
      </w:r>
      <w:r w:rsidRPr="0028108F">
        <w:rPr>
          <w:rFonts w:ascii="Arial" w:hAnsi="Arial" w:cs="Arial"/>
          <w:szCs w:val="24"/>
          <w:lang w:val="en-GB"/>
        </w:rPr>
        <w:t xml:space="preserve"> have been defined in other publications as </w:t>
      </w:r>
      <w:r w:rsidR="0045358B">
        <w:rPr>
          <w:rFonts w:ascii="Arial" w:hAnsi="Arial" w:cs="Arial" w:hint="eastAsia"/>
          <w:szCs w:val="24"/>
          <w:lang w:val="en-GB"/>
        </w:rPr>
        <w:t xml:space="preserve">set out </w:t>
      </w:r>
      <w:r w:rsidRPr="0028108F">
        <w:rPr>
          <w:rFonts w:ascii="Arial" w:hAnsi="Arial" w:cs="Arial"/>
          <w:szCs w:val="24"/>
          <w:lang w:val="en-GB"/>
        </w:rPr>
        <w:t>below.</w:t>
      </w:r>
    </w:p>
    <w:p w:rsidR="00915161" w:rsidRPr="0028108F" w:rsidRDefault="00915161" w:rsidP="00DE5BD5">
      <w:pPr>
        <w:tabs>
          <w:tab w:val="left" w:pos="720"/>
        </w:tabs>
        <w:adjustRightInd w:val="0"/>
        <w:snapToGrid w:val="0"/>
        <w:ind w:left="709" w:hanging="709"/>
        <w:jc w:val="both"/>
        <w:rPr>
          <w:rFonts w:ascii="Arial" w:hAnsi="Arial" w:cs="Arial"/>
          <w:szCs w:val="24"/>
          <w:lang w:val="en-GB"/>
        </w:rPr>
      </w:pPr>
    </w:p>
    <w:p w:rsidR="00915161" w:rsidRPr="0028108F" w:rsidRDefault="00915161" w:rsidP="00DE5BD5">
      <w:pPr>
        <w:tabs>
          <w:tab w:val="left" w:pos="720"/>
        </w:tabs>
        <w:adjustRightInd w:val="0"/>
        <w:snapToGrid w:val="0"/>
        <w:ind w:left="709" w:hanging="709"/>
        <w:jc w:val="both"/>
        <w:rPr>
          <w:rFonts w:ascii="Arial" w:hAnsi="Arial" w:cs="Arial"/>
          <w:i/>
          <w:szCs w:val="24"/>
          <w:lang w:val="en-GB"/>
        </w:rPr>
      </w:pPr>
      <w:r w:rsidRPr="0028108F">
        <w:rPr>
          <w:rFonts w:ascii="Arial" w:hAnsi="Arial" w:cs="Arial"/>
          <w:i/>
          <w:szCs w:val="24"/>
          <w:lang w:val="en-GB"/>
        </w:rPr>
        <w:t>International Commission of Jurists</w:t>
      </w:r>
    </w:p>
    <w:p w:rsidR="00915161" w:rsidRPr="0028108F" w:rsidRDefault="00915161" w:rsidP="00DE5BD5">
      <w:pPr>
        <w:tabs>
          <w:tab w:val="left" w:pos="720"/>
        </w:tabs>
        <w:adjustRightInd w:val="0"/>
        <w:snapToGrid w:val="0"/>
        <w:ind w:left="709" w:hanging="709"/>
        <w:jc w:val="both"/>
        <w:rPr>
          <w:rFonts w:ascii="Arial" w:hAnsi="Arial" w:cs="Arial"/>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“A transgender person is someone whose deeply held sense of gender is different from their physical characteristics at the time of birth. A person may be a female-to-male transgender (FTM) in that he has a gender identity that is predominantly male, even though he was born with a female body. Similarly, a person may be male-to-female transgender (MTF) in that she has a gender identity that is predominantly female, even though she was born with a male body or physical characteristics.</w:t>
      </w:r>
    </w:p>
    <w:p w:rsidR="00915161" w:rsidRPr="0028108F" w:rsidRDefault="00915161" w:rsidP="00DE5BD5">
      <w:pPr>
        <w:tabs>
          <w:tab w:val="left" w:pos="-720"/>
          <w:tab w:val="left" w:pos="0"/>
          <w:tab w:val="left" w:pos="720"/>
          <w:tab w:val="left" w:pos="1440"/>
          <w:tab w:val="left" w:pos="2160"/>
          <w:tab w:val="left" w:pos="2880"/>
          <w:tab w:val="left" w:pos="3600"/>
          <w:tab w:val="left" w:pos="4320"/>
        </w:tabs>
        <w:autoSpaceDE w:val="0"/>
        <w:autoSpaceDN w:val="0"/>
        <w:adjustRightInd w:val="0"/>
        <w:snapToGrid w:val="0"/>
        <w:ind w:left="720"/>
        <w:jc w:val="both"/>
        <w:rPr>
          <w:rFonts w:ascii="Arial" w:hAnsi="Arial" w:cs="Arial"/>
          <w:i/>
          <w:szCs w:val="24"/>
          <w:lang w:val="en-GB"/>
        </w:rPr>
      </w:pPr>
    </w:p>
    <w:p w:rsidR="00915161" w:rsidRPr="00181CF2"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A transsexual person is one who has undergone physical or hormonal alterations by surgery or therapy, in order to assume new physical gender characteristics.”</w:t>
      </w:r>
      <w:r w:rsidRPr="00181CF2">
        <w:rPr>
          <w:rStyle w:val="FootnoteReference"/>
          <w:rFonts w:ascii="Arial" w:hAnsi="Arial" w:cs="Arial"/>
          <w:szCs w:val="24"/>
          <w:lang w:val="en-GB"/>
        </w:rPr>
        <w:footnoteReference w:id="44"/>
      </w:r>
    </w:p>
    <w:p w:rsidR="00915161" w:rsidRPr="00C57CE1"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jc w:val="both"/>
        <w:rPr>
          <w:rFonts w:ascii="Arial" w:hAnsi="Arial" w:cs="Arial"/>
          <w:i/>
          <w:szCs w:val="24"/>
          <w:lang w:val="en-GB"/>
        </w:rPr>
      </w:pPr>
      <w:r w:rsidRPr="0028108F">
        <w:rPr>
          <w:rFonts w:ascii="Arial" w:hAnsi="Arial" w:cs="Arial"/>
          <w:i/>
          <w:szCs w:val="24"/>
          <w:lang w:val="en-GB"/>
        </w:rPr>
        <w:t>Council of Europe Parliamentary Assembly</w:t>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 xml:space="preserve">The term ‘transgender people’ (or just ‘trans people’) includes those people who have a gender identity which is different from </w:t>
      </w:r>
      <w:r w:rsidRPr="0028108F">
        <w:rPr>
          <w:rFonts w:ascii="Arial" w:hAnsi="Arial" w:cs="Arial"/>
          <w:i/>
          <w:szCs w:val="24"/>
          <w:lang w:val="en-GB"/>
        </w:rPr>
        <w:lastRenderedPageBreak/>
        <w:t>the gender assigned at birth and those people who wish to portray their gender identity in a different way to the gender assigned at birth; it includes those people who feel they have to, or prefer or choose to, whether by clothing, accessories, cosmetics or body modification, present themselves differently from the expectations of the gender role assigned to them at birth;</w:t>
      </w:r>
    </w:p>
    <w:p w:rsidR="00915161" w:rsidRPr="0028108F" w:rsidRDefault="00915161" w:rsidP="00DE5BD5">
      <w:pPr>
        <w:adjustRightInd w:val="0"/>
        <w:snapToGrid w:val="0"/>
        <w:jc w:val="both"/>
        <w:rPr>
          <w:rFonts w:ascii="Arial" w:hAnsi="Arial" w:cs="Arial"/>
          <w:szCs w:val="24"/>
          <w:lang w:val="en-GB"/>
        </w:rPr>
      </w:pPr>
    </w:p>
    <w:p w:rsidR="00915161" w:rsidRPr="00181CF2"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A transsexual is a person who prefers another gender than his/her birth gender and feels the need to undergo physical alterations to the body to express this feeling, such as hormone treatment and/or surgery</w:t>
      </w:r>
      <w:r w:rsidRPr="0028108F">
        <w:rPr>
          <w:rFonts w:ascii="Arial" w:hAnsi="Arial" w:cs="Arial"/>
          <w:szCs w:val="24"/>
          <w:lang w:val="en-GB"/>
        </w:rPr>
        <w:t>”</w:t>
      </w:r>
      <w:r w:rsidRPr="00181CF2">
        <w:rPr>
          <w:rStyle w:val="FootnoteReference"/>
          <w:rFonts w:ascii="Arial" w:hAnsi="Arial" w:cs="Arial"/>
          <w:szCs w:val="24"/>
          <w:lang w:val="en-GB"/>
        </w:rPr>
        <w:footnoteReference w:id="45"/>
      </w:r>
    </w:p>
    <w:p w:rsidR="00915161" w:rsidRPr="00C57CE1"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i/>
          <w:szCs w:val="24"/>
          <w:lang w:val="en-GB"/>
        </w:rPr>
      </w:pPr>
      <w:r w:rsidRPr="0028108F">
        <w:rPr>
          <w:rFonts w:ascii="Arial" w:hAnsi="Arial" w:cs="Arial"/>
          <w:i/>
          <w:szCs w:val="24"/>
          <w:lang w:val="en-GB"/>
        </w:rPr>
        <w:t>European Commission, European Union</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Transsexual people identify with the gender role opposite to the sex assigned to them at birth and seek to live permanently in the preferred gender role. This is often accompanied by strong rejection of their physical primary and secondary sex characteristics and a wish to align their body with their preferred gender. Transsexual people might intend to undergo, be undergoing or have undergone gender reassignment treatment (which may or may not involve hormone therapy or surgery).  Men and women with a transsexual past fully identify with their acquired gender and seek to be recognised in it without any references to their previous sex and/or the transition process that they undertook to align their sex with their gender.</w:t>
      </w:r>
    </w:p>
    <w:p w:rsidR="00915161" w:rsidRPr="0028108F" w:rsidRDefault="00915161" w:rsidP="00DE5BD5">
      <w:pPr>
        <w:adjustRightInd w:val="0"/>
        <w:snapToGrid w:val="0"/>
        <w:jc w:val="both"/>
        <w:rPr>
          <w:rFonts w:ascii="Arial" w:hAnsi="Arial" w:cs="Arial"/>
          <w:szCs w:val="24"/>
          <w:lang w:val="en-GB"/>
        </w:rPr>
      </w:pPr>
    </w:p>
    <w:p w:rsidR="00915161" w:rsidRPr="00181CF2"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Transgender people live permanently in their preferred gender. Unlike transsexuals, however, they may not necessarily wish to or need to undergo any medical interventions. [Footnote: Until recently, this term was also the primary umbrella term referring to all trans people, but this use is now losing favour to the term ‘trans’ which is perceived to be more inclusive of all trans communities.]</w:t>
      </w:r>
      <w:r w:rsidRPr="0028108F">
        <w:rPr>
          <w:rFonts w:ascii="Arial" w:hAnsi="Arial" w:cs="Arial"/>
          <w:szCs w:val="24"/>
          <w:lang w:val="en-GB"/>
        </w:rPr>
        <w:t>”</w:t>
      </w:r>
      <w:r w:rsidRPr="00181CF2">
        <w:rPr>
          <w:rStyle w:val="FootnoteReference"/>
          <w:rFonts w:ascii="Arial" w:hAnsi="Arial" w:cs="Arial"/>
          <w:szCs w:val="24"/>
          <w:lang w:val="en-GB"/>
        </w:rPr>
        <w:footnoteReference w:id="46"/>
      </w:r>
    </w:p>
    <w:p w:rsidR="00915161" w:rsidRPr="00C57CE1" w:rsidRDefault="00915161" w:rsidP="00DE5BD5">
      <w:pPr>
        <w:adjustRightInd w:val="0"/>
        <w:snapToGrid w:val="0"/>
        <w:jc w:val="both"/>
        <w:rPr>
          <w:rFonts w:ascii="Arial" w:hAnsi="Arial" w:cs="Arial"/>
          <w:b/>
          <w:szCs w:val="24"/>
          <w:lang w:val="en-GB"/>
        </w:rPr>
      </w:pPr>
    </w:p>
    <w:p w:rsidR="00915161" w:rsidRPr="0028108F" w:rsidRDefault="00915161" w:rsidP="00DE5BD5">
      <w:pPr>
        <w:adjustRightInd w:val="0"/>
        <w:snapToGrid w:val="0"/>
        <w:jc w:val="both"/>
        <w:rPr>
          <w:rFonts w:ascii="Arial" w:hAnsi="Arial" w:cs="Arial"/>
          <w:i/>
          <w:lang w:val="en-GB"/>
        </w:rPr>
      </w:pPr>
      <w:r w:rsidRPr="0028108F">
        <w:rPr>
          <w:rFonts w:ascii="Arial" w:hAnsi="Arial" w:cs="Arial"/>
          <w:szCs w:val="24"/>
          <w:lang w:val="en-GB"/>
        </w:rPr>
        <w:t>1.2</w:t>
      </w:r>
      <w:r w:rsidR="00FC7ECF">
        <w:rPr>
          <w:rFonts w:ascii="Arial" w:hAnsi="Arial" w:cs="Arial"/>
          <w:szCs w:val="24"/>
          <w:lang w:val="en-GB"/>
        </w:rPr>
        <w:t>9</w:t>
      </w:r>
      <w:r w:rsidRPr="0028108F">
        <w:rPr>
          <w:rFonts w:ascii="Arial" w:hAnsi="Arial" w:cs="Arial"/>
          <w:szCs w:val="24"/>
          <w:lang w:val="en-GB"/>
        </w:rPr>
        <w:tab/>
      </w:r>
      <w:r w:rsidRPr="0028108F">
        <w:rPr>
          <w:rFonts w:ascii="Arial" w:hAnsi="Arial" w:cs="Arial"/>
          <w:szCs w:val="24"/>
          <w:lang w:val="en-GB"/>
        </w:rPr>
        <w:tab/>
        <w:t xml:space="preserve">As already noted in the Preface </w:t>
      </w:r>
      <w:r w:rsidR="00CE3070">
        <w:rPr>
          <w:rFonts w:ascii="Arial" w:hAnsi="Arial" w:cs="Arial"/>
          <w:szCs w:val="24"/>
          <w:lang w:val="en-GB"/>
        </w:rPr>
        <w:t>of</w:t>
      </w:r>
      <w:r w:rsidRPr="0028108F">
        <w:rPr>
          <w:rFonts w:ascii="Arial" w:hAnsi="Arial" w:cs="Arial"/>
          <w:szCs w:val="24"/>
          <w:lang w:val="en-GB"/>
        </w:rPr>
        <w:t xml:space="preserve"> this paper, </w:t>
      </w:r>
      <w:r w:rsidRPr="0028108F">
        <w:rPr>
          <w:rFonts w:ascii="Arial" w:hAnsi="Arial" w:cs="Arial"/>
          <w:lang w:val="en-GB"/>
        </w:rPr>
        <w:t>without prejudice to the different meaning of the terms “</w:t>
      </w:r>
      <w:r w:rsidRPr="0028108F">
        <w:rPr>
          <w:rFonts w:ascii="Arial" w:hAnsi="Arial" w:cs="Arial"/>
          <w:i/>
          <w:lang w:val="en-GB"/>
        </w:rPr>
        <w:t>transsexual</w:t>
      </w:r>
      <w:r w:rsidRPr="0028108F">
        <w:rPr>
          <w:rFonts w:ascii="Arial" w:hAnsi="Arial" w:cs="Arial"/>
          <w:lang w:val="en-GB"/>
        </w:rPr>
        <w:t>” and “</w:t>
      </w:r>
      <w:r w:rsidRPr="0028108F">
        <w:rPr>
          <w:rFonts w:ascii="Arial" w:hAnsi="Arial" w:cs="Arial"/>
          <w:i/>
          <w:lang w:val="en-GB"/>
        </w:rPr>
        <w:t>transgender</w:t>
      </w:r>
      <w:r w:rsidRPr="0028108F">
        <w:rPr>
          <w:rFonts w:ascii="Arial" w:hAnsi="Arial" w:cs="Arial"/>
          <w:lang w:val="en-GB"/>
        </w:rPr>
        <w:t>”, the term “</w:t>
      </w:r>
      <w:r w:rsidRPr="0028108F">
        <w:rPr>
          <w:rFonts w:ascii="Arial" w:hAnsi="Arial" w:cs="Arial"/>
          <w:i/>
          <w:lang w:val="en-GB"/>
        </w:rPr>
        <w:t>transsexual persons</w:t>
      </w:r>
      <w:r w:rsidRPr="0028108F">
        <w:rPr>
          <w:rFonts w:ascii="Arial" w:hAnsi="Arial" w:cs="Arial"/>
          <w:lang w:val="en-GB"/>
        </w:rPr>
        <w:t xml:space="preserve">” is used in a generic sense in this Consultation Paper to refer to persons </w:t>
      </w:r>
      <w:r w:rsidR="00626EBA">
        <w:rPr>
          <w:rFonts w:ascii="Arial" w:hAnsi="Arial" w:cs="Arial" w:hint="eastAsia"/>
          <w:lang w:val="en-GB"/>
        </w:rPr>
        <w:t>experiencing</w:t>
      </w:r>
      <w:r w:rsidRPr="0028108F">
        <w:rPr>
          <w:rFonts w:ascii="Arial" w:hAnsi="Arial" w:cs="Arial"/>
          <w:lang w:val="en-GB"/>
        </w:rPr>
        <w:t xml:space="preserve"> transsexualism as defined by the </w:t>
      </w:r>
      <w:r w:rsidR="00C45C23" w:rsidRPr="0028108F">
        <w:rPr>
          <w:rFonts w:ascii="Arial" w:hAnsi="Arial" w:cs="Arial"/>
          <w:lang w:val="en-GB"/>
        </w:rPr>
        <w:t xml:space="preserve">WHO </w:t>
      </w:r>
      <w:r w:rsidRPr="0028108F">
        <w:rPr>
          <w:rFonts w:ascii="Arial" w:hAnsi="Arial" w:cs="Arial"/>
          <w:lang w:val="en-GB"/>
        </w:rPr>
        <w:t>and adopted</w:t>
      </w:r>
      <w:r w:rsidRPr="0028108F">
        <w:rPr>
          <w:rFonts w:ascii="Arial" w:hAnsi="Arial" w:cs="Arial"/>
          <w:szCs w:val="24"/>
          <w:lang w:val="en-GB"/>
        </w:rPr>
        <w:t xml:space="preserve"> by the CFA</w:t>
      </w:r>
      <w:r w:rsidRPr="0028108F">
        <w:rPr>
          <w:rFonts w:ascii="Arial" w:hAnsi="Arial" w:cs="Arial"/>
          <w:lang w:val="en-GB"/>
        </w:rPr>
        <w:t xml:space="preserve"> in </w:t>
      </w:r>
      <w:r w:rsidRPr="0028108F">
        <w:rPr>
          <w:rFonts w:ascii="Arial" w:hAnsi="Arial" w:cs="Arial"/>
          <w:i/>
          <w:lang w:val="en-GB"/>
        </w:rPr>
        <w:t>W</w:t>
      </w:r>
      <w:r w:rsidRPr="0028108F">
        <w:rPr>
          <w:rFonts w:ascii="Arial" w:hAnsi="Arial" w:cs="Arial"/>
          <w:lang w:val="en-GB"/>
        </w:rPr>
        <w:t>’s case, whereas the term “</w:t>
      </w:r>
      <w:r w:rsidRPr="0028108F">
        <w:rPr>
          <w:rFonts w:ascii="Arial" w:hAnsi="Arial" w:cs="Arial"/>
          <w:i/>
          <w:lang w:val="en-GB"/>
        </w:rPr>
        <w:t>transgender persons</w:t>
      </w:r>
      <w:r w:rsidRPr="0028108F">
        <w:rPr>
          <w:rFonts w:ascii="Arial" w:hAnsi="Arial" w:cs="Arial"/>
          <w:lang w:val="en-GB"/>
        </w:rPr>
        <w:t xml:space="preserve">” is used in a generic sense in this Consultation Paper to refer to a broader range </w:t>
      </w:r>
      <w:r w:rsidRPr="0028108F">
        <w:rPr>
          <w:rFonts w:ascii="Arial" w:hAnsi="Arial" w:cs="Arial"/>
          <w:lang w:val="en-GB"/>
        </w:rPr>
        <w:lastRenderedPageBreak/>
        <w:t>of people than “</w:t>
      </w:r>
      <w:r w:rsidRPr="0028108F">
        <w:rPr>
          <w:rFonts w:ascii="Arial" w:hAnsi="Arial" w:cs="Arial"/>
          <w:i/>
          <w:lang w:val="en-GB"/>
        </w:rPr>
        <w:t>transsexual persons</w:t>
      </w:r>
      <w:r w:rsidRPr="0028108F">
        <w:rPr>
          <w:rFonts w:ascii="Arial" w:hAnsi="Arial" w:cs="Arial"/>
          <w:lang w:val="en-GB"/>
        </w:rPr>
        <w:t>”, including any person who live, or have a desire to live, in the role of a gender which is not the one assigned to that person at birth, with or without the necessity to have an intention to undergo any medical interventions to bring his or her physical self in alignment with his or her gender identity.</w:t>
      </w:r>
    </w:p>
    <w:p w:rsidR="00915161" w:rsidRPr="0028108F" w:rsidRDefault="00915161" w:rsidP="00DE5BD5">
      <w:pPr>
        <w:adjustRightInd w:val="0"/>
        <w:snapToGrid w:val="0"/>
        <w:jc w:val="both"/>
        <w:rPr>
          <w:rFonts w:ascii="Arial" w:hAnsi="Arial" w:cs="Arial"/>
          <w:i/>
          <w:lang w:val="en-GB"/>
        </w:rPr>
      </w:pPr>
    </w:p>
    <w:p w:rsidR="00915161" w:rsidRPr="008813DE" w:rsidRDefault="00915161" w:rsidP="008813DE">
      <w:pPr>
        <w:tabs>
          <w:tab w:val="left" w:pos="993"/>
        </w:tabs>
        <w:adjustRightInd w:val="0"/>
        <w:snapToGrid w:val="0"/>
        <w:jc w:val="both"/>
        <w:rPr>
          <w:rFonts w:ascii="Arial" w:hAnsi="Arial" w:cs="Arial"/>
          <w:b/>
          <w:i/>
          <w:szCs w:val="24"/>
          <w:lang w:val="en-GB"/>
        </w:rPr>
      </w:pPr>
      <w:r w:rsidRPr="008813DE">
        <w:rPr>
          <w:rFonts w:ascii="Arial" w:hAnsi="Arial" w:cs="Arial"/>
          <w:b/>
          <w:i/>
          <w:szCs w:val="24"/>
          <w:lang w:val="en-GB"/>
        </w:rPr>
        <w:t>Distinction between “gender identity” and “sexual orientation”</w:t>
      </w:r>
    </w:p>
    <w:p w:rsidR="00915161" w:rsidRPr="0028108F" w:rsidRDefault="00915161" w:rsidP="00DE5BD5">
      <w:pPr>
        <w:adjustRightInd w:val="0"/>
        <w:snapToGrid w:val="0"/>
        <w:jc w:val="both"/>
        <w:rPr>
          <w:rFonts w:ascii="Arial" w:hAnsi="Arial" w:cs="Arial"/>
          <w:szCs w:val="24"/>
          <w:lang w:val="en-GB"/>
        </w:rPr>
      </w:pPr>
    </w:p>
    <w:p w:rsidR="00915161" w:rsidRPr="00181CF2" w:rsidRDefault="00915161" w:rsidP="00DE5BD5">
      <w:pPr>
        <w:adjustRightInd w:val="0"/>
        <w:snapToGrid w:val="0"/>
        <w:jc w:val="both"/>
        <w:rPr>
          <w:rFonts w:ascii="Arial" w:hAnsi="Arial" w:cs="Arial"/>
          <w:szCs w:val="24"/>
          <w:lang w:val="en-GB"/>
        </w:rPr>
      </w:pPr>
      <w:r w:rsidRPr="0028108F">
        <w:rPr>
          <w:rFonts w:ascii="Arial" w:hAnsi="Arial" w:cs="Arial"/>
          <w:szCs w:val="24"/>
          <w:lang w:val="en-GB"/>
        </w:rPr>
        <w:t>1.</w:t>
      </w:r>
      <w:r w:rsidR="00FC7ECF">
        <w:rPr>
          <w:rFonts w:ascii="Arial" w:hAnsi="Arial" w:cs="Arial"/>
          <w:szCs w:val="24"/>
          <w:lang w:val="en-GB"/>
        </w:rPr>
        <w:t>30</w:t>
      </w:r>
      <w:r w:rsidRPr="0028108F">
        <w:rPr>
          <w:rFonts w:ascii="Arial" w:hAnsi="Arial" w:cs="Arial"/>
          <w:szCs w:val="24"/>
          <w:lang w:val="en-GB"/>
        </w:rPr>
        <w:tab/>
      </w:r>
      <w:r w:rsidRPr="0028108F">
        <w:rPr>
          <w:rFonts w:ascii="Arial" w:hAnsi="Arial" w:cs="Arial"/>
          <w:szCs w:val="24"/>
          <w:lang w:val="en-GB"/>
        </w:rPr>
        <w:tab/>
        <w:t xml:space="preserve">It has been noted that a complicating issue in this area is the </w:t>
      </w:r>
      <w:r w:rsidR="00630048">
        <w:rPr>
          <w:rFonts w:ascii="Arial" w:hAnsi="Arial" w:cs="Arial"/>
          <w:i/>
          <w:szCs w:val="24"/>
          <w:lang w:val="en-GB"/>
        </w:rPr>
        <w:t>“</w:t>
      </w:r>
      <w:r w:rsidRPr="0028108F">
        <w:rPr>
          <w:rFonts w:ascii="Arial" w:hAnsi="Arial" w:cs="Arial"/>
          <w:i/>
          <w:szCs w:val="24"/>
          <w:lang w:val="en-GB"/>
        </w:rPr>
        <w:t>unhelpful conflation of issues of gender identity [how one feels about oneself] and sexual orientation [how one feels about another person].”</w:t>
      </w:r>
      <w:r w:rsidRPr="00181CF2">
        <w:rPr>
          <w:rStyle w:val="FootnoteReference"/>
          <w:rFonts w:ascii="Arial" w:hAnsi="Arial" w:cs="Arial"/>
          <w:szCs w:val="24"/>
          <w:lang w:val="en-GB"/>
        </w:rPr>
        <w:footnoteReference w:id="47"/>
      </w:r>
      <w:r w:rsidRPr="00181CF2">
        <w:rPr>
          <w:rFonts w:ascii="Arial" w:hAnsi="Arial" w:cs="Arial"/>
          <w:szCs w:val="24"/>
          <w:lang w:val="en-GB"/>
        </w:rPr>
        <w:t xml:space="preserve">  Dr Sam Winter has commented:</w:t>
      </w:r>
    </w:p>
    <w:p w:rsidR="00915161" w:rsidRPr="00C57CE1" w:rsidRDefault="00915161" w:rsidP="00DE5BD5">
      <w:pPr>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“It is usual to talk of trans women (assigned males who grow up identifying as female) and trans men (assigned females who grow up identifying as male). The terms ‘MtF’ and ‘FtM’ are sometimes used.</w:t>
      </w: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szCs w:val="24"/>
          <w:lang w:val="en-GB"/>
        </w:rPr>
      </w:pPr>
      <w:r w:rsidRPr="0028108F">
        <w:rPr>
          <w:rFonts w:ascii="Arial" w:hAnsi="Arial" w:cs="Arial"/>
          <w:i/>
          <w:szCs w:val="24"/>
          <w:lang w:val="en-GB"/>
        </w:rPr>
        <w:t xml:space="preserve">Trans people are a gender minority, not a sexual minority.  Gender identity is unrelated to sexual orientation.  The former is about </w:t>
      </w:r>
      <w:r w:rsidR="00B11867" w:rsidRPr="0028108F">
        <w:rPr>
          <w:rFonts w:ascii="Arial" w:hAnsi="Arial" w:cs="Arial"/>
          <w:i/>
          <w:szCs w:val="24"/>
          <w:lang w:val="en-GB"/>
        </w:rPr>
        <w:t>one</w:t>
      </w:r>
      <w:r w:rsidR="00B11867">
        <w:rPr>
          <w:rFonts w:ascii="Arial" w:hAnsi="Arial" w:cs="Arial"/>
          <w:i/>
          <w:szCs w:val="24"/>
          <w:lang w:val="en-GB"/>
        </w:rPr>
        <w:t>’</w:t>
      </w:r>
      <w:r w:rsidR="00B11867" w:rsidRPr="0028108F">
        <w:rPr>
          <w:rFonts w:ascii="Arial" w:hAnsi="Arial" w:cs="Arial"/>
          <w:i/>
          <w:szCs w:val="24"/>
          <w:lang w:val="en-GB"/>
        </w:rPr>
        <w:t xml:space="preserve">s </w:t>
      </w:r>
      <w:r w:rsidRPr="0028108F">
        <w:rPr>
          <w:rFonts w:ascii="Arial" w:hAnsi="Arial" w:cs="Arial"/>
          <w:i/>
          <w:szCs w:val="24"/>
          <w:lang w:val="en-GB"/>
        </w:rPr>
        <w:t xml:space="preserve">sense of </w:t>
      </w:r>
      <w:r w:rsidR="00B11867" w:rsidRPr="0028108F">
        <w:rPr>
          <w:rFonts w:ascii="Arial" w:hAnsi="Arial" w:cs="Arial"/>
          <w:i/>
          <w:szCs w:val="24"/>
          <w:lang w:val="en-GB"/>
        </w:rPr>
        <w:t>one</w:t>
      </w:r>
      <w:r w:rsidR="00B11867">
        <w:rPr>
          <w:rFonts w:ascii="Arial" w:hAnsi="Arial" w:cs="Arial"/>
          <w:i/>
          <w:szCs w:val="24"/>
          <w:lang w:val="en-GB"/>
        </w:rPr>
        <w:t>’</w:t>
      </w:r>
      <w:r w:rsidR="00B11867" w:rsidRPr="0028108F">
        <w:rPr>
          <w:rFonts w:ascii="Arial" w:hAnsi="Arial" w:cs="Arial"/>
          <w:i/>
          <w:szCs w:val="24"/>
          <w:lang w:val="en-GB"/>
        </w:rPr>
        <w:t xml:space="preserve">s </w:t>
      </w:r>
      <w:r w:rsidRPr="0028108F">
        <w:rPr>
          <w:rFonts w:ascii="Arial" w:hAnsi="Arial" w:cs="Arial"/>
          <w:i/>
          <w:szCs w:val="24"/>
          <w:lang w:val="en-GB"/>
        </w:rPr>
        <w:t>gender, the latter about who one happens to be attracted to. Some trans people are heterosexual. Some are homosexual. A trans woman who was attracted to men (as in the recent case of W) may be described as heterosexual.  If she is attracted to other women she may be described as homosexual.”</w:t>
      </w:r>
      <w:r w:rsidRPr="0028108F">
        <w:rPr>
          <w:rStyle w:val="FootnoteReference"/>
          <w:rFonts w:ascii="Arial" w:hAnsi="Arial" w:cs="Arial"/>
          <w:szCs w:val="24"/>
          <w:lang w:val="en-GB"/>
        </w:rPr>
        <w:footnoteReference w:id="48"/>
      </w:r>
    </w:p>
    <w:p w:rsidR="00915161" w:rsidRPr="0028108F" w:rsidRDefault="00915161" w:rsidP="00DE5BD5">
      <w:pPr>
        <w:tabs>
          <w:tab w:val="left" w:pos="720"/>
        </w:tabs>
        <w:adjustRightInd w:val="0"/>
        <w:snapToGrid w:val="0"/>
        <w:ind w:left="709" w:rightChars="271" w:right="650"/>
        <w:jc w:val="both"/>
        <w:rPr>
          <w:rFonts w:ascii="Arial" w:hAnsi="Arial" w:cs="Arial"/>
          <w:lang w:val="en-GB"/>
        </w:rPr>
      </w:pPr>
    </w:p>
    <w:p w:rsidR="00915161" w:rsidRPr="0028108F" w:rsidRDefault="00915161" w:rsidP="00915161">
      <w:pPr>
        <w:adjustRightInd w:val="0"/>
        <w:snapToGrid w:val="0"/>
        <w:jc w:val="both"/>
        <w:rPr>
          <w:rFonts w:ascii="Arial" w:hAnsi="Arial" w:cs="Arial"/>
          <w:szCs w:val="24"/>
          <w:lang w:val="en-GB"/>
        </w:rPr>
      </w:pPr>
      <w:r w:rsidRPr="0028108F">
        <w:rPr>
          <w:rFonts w:ascii="Arial" w:hAnsi="Arial" w:cs="Arial"/>
          <w:szCs w:val="24"/>
          <w:lang w:val="en-GB"/>
        </w:rPr>
        <w:t>1.</w:t>
      </w:r>
      <w:r w:rsidR="009B57AC" w:rsidRPr="0028108F">
        <w:rPr>
          <w:rFonts w:ascii="Arial" w:hAnsi="Arial" w:cs="Arial"/>
          <w:szCs w:val="24"/>
          <w:lang w:val="en-GB"/>
        </w:rPr>
        <w:t>3</w:t>
      </w:r>
      <w:r w:rsidR="00FC7ECF">
        <w:rPr>
          <w:rFonts w:ascii="Arial" w:hAnsi="Arial" w:cs="Arial"/>
          <w:szCs w:val="24"/>
          <w:lang w:val="en-GB"/>
        </w:rPr>
        <w:t>1</w:t>
      </w:r>
      <w:r w:rsidRPr="0028108F">
        <w:rPr>
          <w:rFonts w:ascii="Arial" w:hAnsi="Arial" w:cs="Arial"/>
          <w:szCs w:val="24"/>
          <w:lang w:val="en-GB"/>
        </w:rPr>
        <w:tab/>
      </w:r>
      <w:r w:rsidRPr="0028108F">
        <w:rPr>
          <w:rFonts w:ascii="Arial" w:hAnsi="Arial" w:cs="Arial"/>
          <w:szCs w:val="24"/>
          <w:lang w:val="en-GB"/>
        </w:rPr>
        <w:tab/>
        <w:t xml:space="preserve">The </w:t>
      </w:r>
      <w:r w:rsidR="0045358B">
        <w:rPr>
          <w:rFonts w:ascii="Arial" w:hAnsi="Arial" w:cs="Arial" w:hint="eastAsia"/>
          <w:szCs w:val="24"/>
          <w:lang w:val="en-GB"/>
        </w:rPr>
        <w:t>above</w:t>
      </w:r>
      <w:r w:rsidR="0045358B" w:rsidRPr="0028108F">
        <w:rPr>
          <w:rFonts w:ascii="Arial" w:hAnsi="Arial" w:cs="Arial"/>
          <w:szCs w:val="24"/>
          <w:lang w:val="en-GB"/>
        </w:rPr>
        <w:t xml:space="preserve"> </w:t>
      </w:r>
      <w:r w:rsidRPr="0028108F">
        <w:rPr>
          <w:rFonts w:ascii="Arial" w:hAnsi="Arial" w:cs="Arial"/>
          <w:szCs w:val="24"/>
          <w:lang w:val="en-GB"/>
        </w:rPr>
        <w:t xml:space="preserve">discussion of terminology </w:t>
      </w:r>
      <w:r w:rsidR="006F4818">
        <w:rPr>
          <w:rFonts w:ascii="Arial" w:hAnsi="Arial" w:cs="Arial" w:hint="eastAsia"/>
          <w:szCs w:val="24"/>
          <w:lang w:val="en-GB"/>
        </w:rPr>
        <w:t xml:space="preserve">aims to </w:t>
      </w:r>
      <w:r w:rsidRPr="0028108F">
        <w:rPr>
          <w:rFonts w:ascii="Arial" w:hAnsi="Arial" w:cs="Arial"/>
          <w:szCs w:val="24"/>
          <w:lang w:val="en-GB"/>
        </w:rPr>
        <w:t xml:space="preserve">provide </w:t>
      </w:r>
      <w:r w:rsidR="0045358B">
        <w:rPr>
          <w:rFonts w:ascii="Arial" w:hAnsi="Arial" w:cs="Arial" w:hint="eastAsia"/>
          <w:szCs w:val="24"/>
          <w:lang w:val="en-GB"/>
        </w:rPr>
        <w:t>a better understanding of</w:t>
      </w:r>
      <w:r w:rsidRPr="0028108F">
        <w:rPr>
          <w:rFonts w:ascii="Arial" w:hAnsi="Arial" w:cs="Arial"/>
          <w:szCs w:val="24"/>
          <w:lang w:val="en-GB"/>
        </w:rPr>
        <w:t xml:space="preserve"> the wide range of concepts and distinctions </w:t>
      </w:r>
      <w:r w:rsidR="006F4818">
        <w:rPr>
          <w:rFonts w:ascii="Arial" w:hAnsi="Arial" w:cs="Arial" w:hint="eastAsia"/>
          <w:szCs w:val="24"/>
          <w:lang w:val="en-GB"/>
        </w:rPr>
        <w:t xml:space="preserve">that </w:t>
      </w:r>
      <w:r w:rsidRPr="0028108F">
        <w:rPr>
          <w:rFonts w:ascii="Arial" w:hAnsi="Arial" w:cs="Arial"/>
          <w:szCs w:val="24"/>
          <w:lang w:val="en-GB"/>
        </w:rPr>
        <w:t>must be kept in view when considering the complex question of gender recognition</w:t>
      </w:r>
      <w:r w:rsidR="006F4818">
        <w:rPr>
          <w:rFonts w:ascii="Arial" w:hAnsi="Arial" w:cs="Arial" w:hint="eastAsia"/>
          <w:szCs w:val="24"/>
          <w:lang w:val="en-GB"/>
        </w:rPr>
        <w:t>, which will be discussed later in this Consultation Paper</w:t>
      </w:r>
      <w:r w:rsidRPr="0028108F">
        <w:rPr>
          <w:rFonts w:ascii="Arial" w:hAnsi="Arial" w:cs="Arial"/>
          <w:szCs w:val="24"/>
          <w:lang w:val="en-GB"/>
        </w:rPr>
        <w:t>.</w:t>
      </w:r>
    </w:p>
    <w:p w:rsidR="00915161" w:rsidRPr="0028108F" w:rsidRDefault="00915161">
      <w:pPr>
        <w:widowControl/>
        <w:rPr>
          <w:rFonts w:ascii="Arial" w:hAnsi="Arial" w:cs="Arial"/>
          <w:szCs w:val="24"/>
          <w:lang w:val="en-GB"/>
        </w:rPr>
      </w:pPr>
      <w:r w:rsidRPr="0028108F">
        <w:rPr>
          <w:rFonts w:ascii="Arial" w:hAnsi="Arial" w:cs="Arial"/>
          <w:szCs w:val="24"/>
          <w:lang w:val="en-GB"/>
        </w:rPr>
        <w:br w:type="page"/>
      </w:r>
    </w:p>
    <w:p w:rsidR="00915161" w:rsidRPr="0028108F" w:rsidRDefault="00915161"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lastRenderedPageBreak/>
        <w:t>CHAPTER 2</w:t>
      </w:r>
    </w:p>
    <w:p w:rsidR="00915161" w:rsidRPr="0028108F" w:rsidRDefault="00915161" w:rsidP="00DE5BD5">
      <w:pPr>
        <w:adjustRightInd w:val="0"/>
        <w:snapToGrid w:val="0"/>
        <w:rPr>
          <w:rFonts w:ascii="Arial" w:hAnsi="Arial" w:cs="Arial"/>
          <w:b/>
          <w:sz w:val="32"/>
          <w:szCs w:val="32"/>
          <w:lang w:val="en-GB"/>
        </w:rPr>
      </w:pPr>
    </w:p>
    <w:p w:rsidR="00915161" w:rsidRPr="0028108F" w:rsidRDefault="00915161" w:rsidP="00DE5BD5">
      <w:pPr>
        <w:adjustRightInd w:val="0"/>
        <w:snapToGrid w:val="0"/>
        <w:spacing w:afterLines="50" w:after="180"/>
        <w:rPr>
          <w:rFonts w:ascii="Arial" w:hAnsi="Arial" w:cs="Arial"/>
          <w:b/>
          <w:sz w:val="32"/>
          <w:szCs w:val="32"/>
          <w:lang w:val="en-GB"/>
        </w:rPr>
      </w:pPr>
      <w:r w:rsidRPr="0028108F">
        <w:rPr>
          <w:rFonts w:ascii="Arial" w:hAnsi="Arial" w:cs="Arial"/>
          <w:b/>
          <w:sz w:val="32"/>
          <w:szCs w:val="32"/>
          <w:lang w:val="en-GB"/>
        </w:rPr>
        <w:t>THE CURRENT SITUATION IN HONG KONG</w:t>
      </w:r>
    </w:p>
    <w:p w:rsidR="00915161" w:rsidRPr="0028108F" w:rsidRDefault="00915161"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_____________________________________</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915161" w:rsidRPr="0028108F" w:rsidRDefault="00915161" w:rsidP="00DE5BD5">
      <w:pPr>
        <w:adjustRightInd w:val="0"/>
        <w:snapToGrid w:val="0"/>
        <w:jc w:val="both"/>
        <w:rPr>
          <w:rFonts w:ascii="Arial" w:hAnsi="Arial" w:cs="Arial"/>
          <w:szCs w:val="24"/>
          <w:lang w:val="en-GB"/>
        </w:rPr>
      </w:pPr>
    </w:p>
    <w:p w:rsidR="00915161" w:rsidRPr="00C57CE1"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At present, there is no legislation </w:t>
      </w:r>
      <w:r w:rsidR="008F5CF0">
        <w:rPr>
          <w:rFonts w:ascii="Arial" w:hAnsi="Arial" w:cs="Arial" w:hint="eastAsia"/>
          <w:szCs w:val="24"/>
          <w:lang w:val="en-GB"/>
        </w:rPr>
        <w:t xml:space="preserve">in </w:t>
      </w:r>
      <w:r w:rsidRPr="0028108F">
        <w:rPr>
          <w:rFonts w:ascii="Arial" w:hAnsi="Arial" w:cs="Arial"/>
          <w:szCs w:val="24"/>
          <w:lang w:val="en-GB"/>
        </w:rPr>
        <w:t xml:space="preserve">Hong Kong which </w:t>
      </w:r>
      <w:r w:rsidR="008F5CF0" w:rsidRPr="008813DE">
        <w:rPr>
          <w:rFonts w:ascii="Arial" w:hAnsi="Arial" w:cs="Arial"/>
          <w:szCs w:val="24"/>
          <w:lang w:val="en-GB"/>
        </w:rPr>
        <w:t>provides for the recognition of the reassigned, acquired or preferred gender of a person for all legal purposes</w:t>
      </w:r>
      <w:r w:rsidRPr="0028108F">
        <w:rPr>
          <w:rFonts w:ascii="Arial" w:hAnsi="Arial" w:cs="Arial"/>
          <w:szCs w:val="24"/>
          <w:lang w:val="en-GB"/>
        </w:rPr>
        <w:t>.  In certain circumstances, a change of gender is recognised where the issue is one of identification rather than legal status.  Thus, on the production of evidence, a post-operative transsexual person may apply for a change in the sex entry on the</w:t>
      </w:r>
      <w:r w:rsidR="00AE1002" w:rsidRPr="0028108F">
        <w:rPr>
          <w:rFonts w:ascii="Arial" w:hAnsi="Arial" w:cs="Arial"/>
          <w:szCs w:val="24"/>
          <w:lang w:val="en-GB"/>
        </w:rPr>
        <w:t>ir</w:t>
      </w:r>
      <w:r w:rsidRPr="0028108F">
        <w:rPr>
          <w:rFonts w:ascii="Arial" w:hAnsi="Arial" w:cs="Arial"/>
          <w:szCs w:val="24"/>
          <w:lang w:val="en-GB"/>
        </w:rPr>
        <w:t xml:space="preserve"> Hong Kong Identity Card (</w:t>
      </w:r>
      <w:r w:rsidR="00AE1002" w:rsidRPr="0028108F">
        <w:rPr>
          <w:rFonts w:ascii="Arial" w:hAnsi="Arial" w:cs="Arial"/>
          <w:szCs w:val="24"/>
          <w:lang w:val="en-GB"/>
        </w:rPr>
        <w:t>“</w:t>
      </w:r>
      <w:r w:rsidRPr="0028108F">
        <w:rPr>
          <w:rFonts w:ascii="Arial" w:hAnsi="Arial" w:cs="Arial"/>
          <w:i/>
          <w:szCs w:val="24"/>
          <w:lang w:val="en-GB"/>
        </w:rPr>
        <w:t>HKIC</w:t>
      </w:r>
      <w:r w:rsidR="00AE1002" w:rsidRPr="00181CF2">
        <w:rPr>
          <w:rFonts w:ascii="Arial" w:hAnsi="Arial" w:cs="Arial"/>
          <w:szCs w:val="24"/>
          <w:lang w:val="en-GB"/>
        </w:rPr>
        <w:t>”</w:t>
      </w:r>
      <w:r w:rsidRPr="00C57CE1">
        <w:rPr>
          <w:rFonts w:ascii="Arial" w:hAnsi="Arial" w:cs="Arial"/>
          <w:szCs w:val="24"/>
          <w:lang w:val="en-GB"/>
        </w:rPr>
        <w:t xml:space="preserve">).  The current practice requires medical evidence to show that a person’s gender has been changed after completion of the course of treatment.  </w:t>
      </w:r>
    </w:p>
    <w:p w:rsidR="00915161" w:rsidRPr="0028108F" w:rsidRDefault="00915161" w:rsidP="00915161">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This </w:t>
      </w:r>
      <w:r w:rsidR="00AE1002" w:rsidRPr="0028108F">
        <w:rPr>
          <w:rFonts w:ascii="Arial" w:hAnsi="Arial" w:cs="Arial"/>
          <w:szCs w:val="24"/>
          <w:lang w:val="en-GB"/>
        </w:rPr>
        <w:t>c</w:t>
      </w:r>
      <w:r w:rsidRPr="0028108F">
        <w:rPr>
          <w:rFonts w:ascii="Arial" w:hAnsi="Arial" w:cs="Arial"/>
          <w:szCs w:val="24"/>
          <w:lang w:val="en-GB"/>
        </w:rPr>
        <w:t xml:space="preserve">hapter examines the current situation in Hong Kong pertaining to: (i) the scope and procedures for post-operative transsexual persons to seek a change in the sex entry on the HKIC under the </w:t>
      </w:r>
      <w:r w:rsidRPr="0028108F">
        <w:rPr>
          <w:rFonts w:ascii="Arial" w:hAnsi="Arial" w:cs="Arial"/>
          <w:color w:val="000000"/>
          <w:kern w:val="0"/>
          <w:szCs w:val="24"/>
          <w:lang w:val="en-GB"/>
        </w:rPr>
        <w:t xml:space="preserve">Registration of Persons Ordinance (Cap 177) and the CFA decision in </w:t>
      </w:r>
      <w:r w:rsidRPr="0028108F">
        <w:rPr>
          <w:rFonts w:ascii="Arial" w:hAnsi="Arial" w:cs="Arial"/>
          <w:i/>
          <w:color w:val="000000"/>
          <w:kern w:val="0"/>
          <w:szCs w:val="24"/>
          <w:lang w:val="en-GB"/>
        </w:rPr>
        <w:t>W</w:t>
      </w:r>
      <w:r w:rsidRPr="0028108F">
        <w:rPr>
          <w:rFonts w:ascii="Arial" w:hAnsi="Arial" w:cs="Arial"/>
          <w:color w:val="000000"/>
          <w:kern w:val="0"/>
          <w:szCs w:val="24"/>
          <w:lang w:val="en-GB"/>
        </w:rPr>
        <w:t>’s case;</w:t>
      </w:r>
      <w:r w:rsidRPr="0028108F">
        <w:rPr>
          <w:rFonts w:ascii="Arial" w:hAnsi="Arial" w:cs="Arial"/>
          <w:szCs w:val="24"/>
          <w:lang w:val="en-GB"/>
        </w:rPr>
        <w:t xml:space="preserve"> and (ii) the diagnostic criteria and various methods of treatment available in Hong Kong for persons experiencing gender identity disorder or gender dysphoria.</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CF0C0E" w:rsidP="00DE5BD5">
      <w:pPr>
        <w:adjustRightInd w:val="0"/>
        <w:snapToGrid w:val="0"/>
        <w:jc w:val="both"/>
        <w:rPr>
          <w:rFonts w:ascii="Arial" w:hAnsi="Arial" w:cs="Arial"/>
          <w:b/>
          <w:sz w:val="28"/>
          <w:szCs w:val="28"/>
          <w:lang w:val="en-GB"/>
        </w:rPr>
      </w:pPr>
      <w:r>
        <w:rPr>
          <w:rFonts w:ascii="Arial" w:hAnsi="Arial" w:cs="Arial" w:hint="eastAsia"/>
          <w:b/>
          <w:sz w:val="28"/>
          <w:szCs w:val="28"/>
          <w:lang w:val="en-GB"/>
        </w:rPr>
        <w:t>Current a</w:t>
      </w:r>
      <w:r w:rsidR="00915161" w:rsidRPr="0028108F">
        <w:rPr>
          <w:rFonts w:ascii="Arial" w:hAnsi="Arial" w:cs="Arial"/>
          <w:b/>
          <w:sz w:val="28"/>
          <w:szCs w:val="28"/>
          <w:lang w:val="en-GB"/>
        </w:rPr>
        <w:t>dministrative system</w:t>
      </w:r>
      <w:r w:rsidR="00915161" w:rsidRPr="0028108F">
        <w:rPr>
          <w:rFonts w:ascii="Arial" w:hAnsi="Arial" w:cs="Arial"/>
          <w:b/>
          <w:color w:val="FF0000"/>
          <w:sz w:val="28"/>
          <w:szCs w:val="28"/>
          <w:lang w:val="en-GB"/>
        </w:rPr>
        <w:t xml:space="preserve"> </w:t>
      </w:r>
    </w:p>
    <w:p w:rsidR="008161D7" w:rsidRPr="0028108F" w:rsidRDefault="008161D7" w:rsidP="001A11D5">
      <w:pPr>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jc w:val="both"/>
        <w:rPr>
          <w:rFonts w:ascii="Arial" w:hAnsi="Arial" w:cs="Arial"/>
          <w:b/>
          <w:i/>
          <w:szCs w:val="24"/>
          <w:lang w:val="en-GB"/>
        </w:rPr>
      </w:pPr>
      <w:r w:rsidRPr="0028108F">
        <w:rPr>
          <w:rFonts w:ascii="Arial" w:hAnsi="Arial" w:cs="Arial"/>
          <w:b/>
          <w:i/>
          <w:szCs w:val="24"/>
          <w:lang w:val="en-GB"/>
        </w:rPr>
        <w:t>Medical Care and Services</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i/>
          <w:szCs w:val="24"/>
          <w:lang w:val="en-GB"/>
        </w:rPr>
      </w:pPr>
      <w:r w:rsidRPr="0028108F">
        <w:rPr>
          <w:rFonts w:ascii="Arial" w:hAnsi="Arial" w:cs="Arial"/>
          <w:szCs w:val="24"/>
          <w:lang w:val="en-GB"/>
        </w:rPr>
        <w:t>The public hospitals under the Hospital Authority (</w:t>
      </w:r>
      <w:r w:rsidR="003F7914" w:rsidRPr="0028108F">
        <w:rPr>
          <w:rFonts w:ascii="Arial" w:hAnsi="Arial" w:cs="Arial"/>
          <w:szCs w:val="24"/>
          <w:lang w:val="en-GB"/>
        </w:rPr>
        <w:t>“</w:t>
      </w:r>
      <w:r w:rsidRPr="0028108F">
        <w:rPr>
          <w:rFonts w:ascii="Arial" w:hAnsi="Arial" w:cs="Arial"/>
          <w:i/>
          <w:szCs w:val="24"/>
          <w:lang w:val="en-GB"/>
        </w:rPr>
        <w:t>HA</w:t>
      </w:r>
      <w:r w:rsidR="003F7914" w:rsidRPr="00181CF2">
        <w:rPr>
          <w:rFonts w:ascii="Arial" w:hAnsi="Arial" w:cs="Arial"/>
          <w:szCs w:val="24"/>
          <w:lang w:val="en-GB"/>
        </w:rPr>
        <w:t>”</w:t>
      </w:r>
      <w:r w:rsidRPr="00C57CE1">
        <w:rPr>
          <w:rFonts w:ascii="Arial" w:hAnsi="Arial" w:cs="Arial"/>
          <w:szCs w:val="24"/>
          <w:lang w:val="en-GB"/>
        </w:rPr>
        <w:t xml:space="preserve">) provide medical care and services for persons experiencing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Management of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patients often involves a multidisciplinary team of healthcare professionals including psychiatrists, surgeons, endocrinologists, clinical psychologists, and other allied health professionals.  A person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will receive comprehensive assessment by a psychiatrist, clinical psychologist and other allied health professionals to ascertain the appropriate psychiatric, medical and/or surgical treatment, as well as counselling services required.  The psychiatrist of the team, in addition to providing the required psychiatric assessment and treatment, will manage the whole patient journey and coordinate the referral(s) to appropriate specialists and/or allied health professionals for treatment/counselling.  The treatment may include medical treatment by endocrinologists and SRS.  Before undergoing SRS, a person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is required to go through </w:t>
      </w:r>
      <w:r w:rsidR="006F091F">
        <w:rPr>
          <w:rFonts w:ascii="Arial" w:hAnsi="Arial" w:cs="Arial"/>
          <w:szCs w:val="24"/>
          <w:lang w:val="en-GB"/>
        </w:rPr>
        <w:t>r</w:t>
      </w:r>
      <w:r w:rsidRPr="0028108F">
        <w:rPr>
          <w:rFonts w:ascii="Arial" w:hAnsi="Arial" w:cs="Arial"/>
          <w:szCs w:val="24"/>
          <w:lang w:val="en-GB"/>
        </w:rPr>
        <w:t xml:space="preserve">eal </w:t>
      </w:r>
      <w:r w:rsidR="006F091F">
        <w:rPr>
          <w:rFonts w:ascii="Arial" w:hAnsi="Arial" w:cs="Arial"/>
          <w:szCs w:val="24"/>
          <w:lang w:val="en-GB"/>
        </w:rPr>
        <w:t>l</w:t>
      </w:r>
      <w:r w:rsidRPr="0028108F">
        <w:rPr>
          <w:rFonts w:ascii="Arial" w:hAnsi="Arial" w:cs="Arial"/>
          <w:szCs w:val="24"/>
          <w:lang w:val="en-GB"/>
        </w:rPr>
        <w:t xml:space="preserve">ife </w:t>
      </w:r>
      <w:r w:rsidR="006F091F">
        <w:rPr>
          <w:rFonts w:ascii="Arial" w:hAnsi="Arial" w:cs="Arial"/>
          <w:szCs w:val="24"/>
          <w:lang w:val="en-GB"/>
        </w:rPr>
        <w:t>e</w:t>
      </w:r>
      <w:r w:rsidRPr="0028108F">
        <w:rPr>
          <w:rFonts w:ascii="Arial" w:hAnsi="Arial" w:cs="Arial"/>
          <w:szCs w:val="24"/>
          <w:lang w:val="en-GB"/>
        </w:rPr>
        <w:t xml:space="preserve">xperience in the preferred </w:t>
      </w:r>
      <w:r w:rsidR="00AE0C30">
        <w:rPr>
          <w:rFonts w:ascii="Arial" w:hAnsi="Arial" w:cs="Arial"/>
          <w:szCs w:val="24"/>
          <w:lang w:val="en-GB"/>
        </w:rPr>
        <w:t xml:space="preserve">gender </w:t>
      </w:r>
      <w:r w:rsidRPr="0028108F">
        <w:rPr>
          <w:rFonts w:ascii="Arial" w:hAnsi="Arial" w:cs="Arial"/>
          <w:szCs w:val="24"/>
          <w:lang w:val="en-GB"/>
        </w:rPr>
        <w:t xml:space="preserve">for a period of time.  </w:t>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lastRenderedPageBreak/>
        <w:t xml:space="preserve">Further details of the system of psychiatric, hormonal and surgical treatment currently provided to persons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in Hong Kong are outlined below in this </w:t>
      </w:r>
      <w:r w:rsidR="00AE1002" w:rsidRPr="0028108F">
        <w:rPr>
          <w:rFonts w:ascii="Arial" w:hAnsi="Arial" w:cs="Arial"/>
          <w:szCs w:val="24"/>
          <w:lang w:val="en-GB"/>
        </w:rPr>
        <w:t>chapter</w:t>
      </w:r>
      <w:r w:rsidRPr="0028108F">
        <w:rPr>
          <w:rFonts w:ascii="Arial" w:hAnsi="Arial" w:cs="Arial"/>
          <w:szCs w:val="24"/>
          <w:lang w:val="en-GB"/>
        </w:rPr>
        <w:t>.</w:t>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jc w:val="both"/>
        <w:rPr>
          <w:rFonts w:ascii="Arial" w:hAnsi="Arial" w:cs="Arial"/>
          <w:b/>
          <w:i/>
          <w:szCs w:val="24"/>
          <w:lang w:val="en-GB"/>
        </w:rPr>
      </w:pPr>
      <w:r w:rsidRPr="0028108F">
        <w:rPr>
          <w:rFonts w:ascii="Arial" w:hAnsi="Arial" w:cs="Arial"/>
          <w:b/>
          <w:i/>
          <w:szCs w:val="24"/>
          <w:lang w:val="en-GB"/>
        </w:rPr>
        <w:t xml:space="preserve">Amendment of sex </w:t>
      </w:r>
      <w:r w:rsidR="005D646F" w:rsidRPr="0028108F">
        <w:rPr>
          <w:rFonts w:ascii="Arial" w:hAnsi="Arial" w:cs="Arial"/>
          <w:b/>
          <w:i/>
          <w:szCs w:val="24"/>
          <w:lang w:val="en-GB"/>
        </w:rPr>
        <w:t xml:space="preserve">entry </w:t>
      </w:r>
      <w:r w:rsidRPr="0028108F">
        <w:rPr>
          <w:rFonts w:ascii="Arial" w:hAnsi="Arial" w:cs="Arial"/>
          <w:b/>
          <w:i/>
          <w:szCs w:val="24"/>
          <w:lang w:val="en-GB"/>
        </w:rPr>
        <w:t>on the HKIC</w:t>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In general, persons who have undergone full SRS (</w:t>
      </w:r>
      <w:r w:rsidR="00D6311F" w:rsidRPr="0028108F">
        <w:rPr>
          <w:rFonts w:ascii="Arial" w:hAnsi="Arial" w:cs="Arial"/>
          <w:kern w:val="0"/>
          <w:szCs w:val="24"/>
          <w:lang w:val="en-GB"/>
        </w:rPr>
        <w:t>ie</w:t>
      </w:r>
      <w:r w:rsidRPr="0028108F">
        <w:rPr>
          <w:rFonts w:ascii="Arial" w:hAnsi="Arial" w:cs="Arial"/>
          <w:kern w:val="0"/>
          <w:szCs w:val="24"/>
          <w:lang w:val="en-GB"/>
        </w:rPr>
        <w:t>, removal of the original genital organs and construction of some form of genital organs of the opposite sex) will be issued a medical certificate by the HA certifying the surgical procedures which they have undergone for the completion of full SRS.  According to the HA, the following procedures of the SRS process have to be completed in order for the medical certificate to be issued in support of the application for amendment of the sex entry on the HKIC:</w:t>
      </w:r>
      <w:r w:rsidR="00797A2C" w:rsidRPr="0028108F">
        <w:rPr>
          <w:rStyle w:val="FootnoteReference"/>
          <w:rFonts w:ascii="Arial" w:hAnsi="Arial" w:cs="Arial"/>
          <w:kern w:val="0"/>
          <w:szCs w:val="24"/>
          <w:lang w:val="en-GB"/>
        </w:rPr>
        <w:footnoteReference w:id="49"/>
      </w:r>
    </w:p>
    <w:p w:rsidR="00915161" w:rsidRPr="0028108F" w:rsidRDefault="00915161" w:rsidP="00915161">
      <w:pPr>
        <w:tabs>
          <w:tab w:val="left" w:pos="1418"/>
        </w:tabs>
        <w:adjustRightInd w:val="0"/>
        <w:snapToGrid w:val="0"/>
        <w:jc w:val="both"/>
        <w:rPr>
          <w:rFonts w:ascii="Arial" w:hAnsi="Arial" w:cs="Arial"/>
          <w:kern w:val="0"/>
          <w:szCs w:val="24"/>
          <w:lang w:val="en-GB"/>
        </w:rPr>
      </w:pPr>
    </w:p>
    <w:p w:rsidR="00915161" w:rsidRPr="0028108F" w:rsidRDefault="00915161" w:rsidP="0028108F">
      <w:pPr>
        <w:tabs>
          <w:tab w:val="left" w:pos="1418"/>
        </w:tabs>
        <w:adjustRightInd w:val="0"/>
        <w:snapToGrid w:val="0"/>
        <w:ind w:leftChars="295" w:left="708"/>
        <w:jc w:val="both"/>
        <w:rPr>
          <w:rFonts w:ascii="Arial" w:hAnsi="Arial" w:cs="Arial"/>
          <w:kern w:val="0"/>
          <w:szCs w:val="24"/>
          <w:lang w:val="en-GB"/>
        </w:rPr>
      </w:pPr>
      <w:r w:rsidRPr="0028108F">
        <w:rPr>
          <w:rFonts w:ascii="Arial" w:hAnsi="Arial" w:cs="Arial"/>
          <w:kern w:val="0"/>
          <w:szCs w:val="24"/>
          <w:lang w:val="en-GB"/>
        </w:rPr>
        <w:t>From female to male:</w:t>
      </w:r>
    </w:p>
    <w:p w:rsidR="00915161" w:rsidRPr="0028108F" w:rsidRDefault="00915161" w:rsidP="0028108F">
      <w:pPr>
        <w:tabs>
          <w:tab w:val="left" w:pos="1418"/>
        </w:tabs>
        <w:adjustRightInd w:val="0"/>
        <w:snapToGrid w:val="0"/>
        <w:ind w:leftChars="295" w:left="708"/>
        <w:jc w:val="both"/>
        <w:rPr>
          <w:rFonts w:ascii="Arial" w:hAnsi="Arial" w:cs="Arial"/>
          <w:kern w:val="0"/>
          <w:szCs w:val="24"/>
          <w:lang w:val="en-GB"/>
        </w:rPr>
      </w:pPr>
    </w:p>
    <w:p w:rsidR="00915161" w:rsidRPr="0028108F" w:rsidRDefault="00915161" w:rsidP="0028108F">
      <w:pPr>
        <w:pStyle w:val="ListParagraph"/>
        <w:numPr>
          <w:ilvl w:val="0"/>
          <w:numId w:val="55"/>
        </w:numPr>
        <w:tabs>
          <w:tab w:val="left" w:pos="1418"/>
        </w:tabs>
        <w:adjustRightInd w:val="0"/>
        <w:snapToGrid w:val="0"/>
        <w:ind w:leftChars="295" w:left="1248"/>
        <w:jc w:val="both"/>
        <w:rPr>
          <w:rFonts w:ascii="Arial" w:hAnsi="Arial" w:cs="Arial"/>
          <w:kern w:val="0"/>
          <w:szCs w:val="24"/>
          <w:lang w:val="en-GB"/>
        </w:rPr>
      </w:pPr>
      <w:r w:rsidRPr="0028108F">
        <w:rPr>
          <w:rFonts w:ascii="Arial" w:hAnsi="Arial" w:cs="Arial"/>
          <w:kern w:val="0"/>
          <w:szCs w:val="24"/>
          <w:lang w:val="en-GB"/>
        </w:rPr>
        <w:t>Hysterectomy (</w:t>
      </w:r>
      <w:r w:rsidRPr="0028108F">
        <w:rPr>
          <w:rFonts w:ascii="Arial" w:hAnsi="Arial" w:cs="Arial"/>
          <w:szCs w:val="24"/>
          <w:lang w:val="en-GB"/>
        </w:rPr>
        <w:t>removal of uterus/ovaries and upper vagina)</w:t>
      </w:r>
      <w:r w:rsidRPr="0028108F">
        <w:rPr>
          <w:rFonts w:ascii="Arial" w:hAnsi="Arial" w:cs="Arial"/>
          <w:kern w:val="0"/>
          <w:szCs w:val="24"/>
          <w:lang w:val="en-GB"/>
        </w:rPr>
        <w:t>; and</w:t>
      </w:r>
    </w:p>
    <w:p w:rsidR="00915161" w:rsidRPr="0028108F" w:rsidRDefault="00915161" w:rsidP="0028108F">
      <w:pPr>
        <w:pStyle w:val="ListParagraph"/>
        <w:numPr>
          <w:ilvl w:val="0"/>
          <w:numId w:val="55"/>
        </w:numPr>
        <w:tabs>
          <w:tab w:val="left" w:pos="1418"/>
        </w:tabs>
        <w:adjustRightInd w:val="0"/>
        <w:snapToGrid w:val="0"/>
        <w:ind w:leftChars="295" w:left="1248"/>
        <w:jc w:val="both"/>
        <w:rPr>
          <w:rFonts w:ascii="Arial" w:hAnsi="Arial" w:cs="Arial"/>
          <w:kern w:val="0"/>
          <w:szCs w:val="24"/>
          <w:lang w:val="en-GB"/>
        </w:rPr>
      </w:pPr>
      <w:r w:rsidRPr="0028108F">
        <w:rPr>
          <w:rFonts w:ascii="Arial" w:hAnsi="Arial" w:cs="Arial"/>
          <w:kern w:val="0"/>
          <w:szCs w:val="24"/>
          <w:lang w:val="en-GB"/>
        </w:rPr>
        <w:t>Phalloplasty (</w:t>
      </w:r>
      <w:r w:rsidRPr="0028108F">
        <w:rPr>
          <w:rFonts w:ascii="Arial" w:hAnsi="Arial" w:cs="Arial"/>
          <w:szCs w:val="24"/>
          <w:lang w:val="en-GB"/>
        </w:rPr>
        <w:t>construction of a phallus like structure)</w:t>
      </w:r>
      <w:r w:rsidRPr="0028108F">
        <w:rPr>
          <w:rFonts w:ascii="Arial" w:hAnsi="Arial" w:cs="Arial"/>
          <w:kern w:val="0"/>
          <w:szCs w:val="24"/>
          <w:lang w:val="en-GB"/>
        </w:rPr>
        <w:t xml:space="preserve"> or metiodiolplasty (</w:t>
      </w:r>
      <w:r w:rsidRPr="0028108F">
        <w:rPr>
          <w:rFonts w:ascii="Arial" w:hAnsi="Arial" w:cs="Arial"/>
          <w:szCs w:val="24"/>
          <w:lang w:val="en-GB"/>
        </w:rPr>
        <w:t>elongating the enlarged clitoris);</w:t>
      </w:r>
    </w:p>
    <w:p w:rsidR="00915161" w:rsidRPr="0028108F" w:rsidRDefault="00915161" w:rsidP="0028108F">
      <w:pPr>
        <w:tabs>
          <w:tab w:val="left" w:pos="1418"/>
        </w:tabs>
        <w:adjustRightInd w:val="0"/>
        <w:snapToGrid w:val="0"/>
        <w:ind w:leftChars="295" w:left="708"/>
        <w:jc w:val="both"/>
        <w:rPr>
          <w:rFonts w:ascii="Arial" w:hAnsi="Arial" w:cs="Arial"/>
          <w:kern w:val="0"/>
          <w:szCs w:val="24"/>
          <w:lang w:val="en-GB"/>
        </w:rPr>
      </w:pPr>
      <w:r w:rsidRPr="0028108F">
        <w:rPr>
          <w:rFonts w:ascii="Arial" w:hAnsi="Arial" w:cs="Arial"/>
          <w:kern w:val="0"/>
          <w:szCs w:val="24"/>
          <w:lang w:val="en-GB"/>
        </w:rPr>
        <w:t xml:space="preserve"> </w:t>
      </w:r>
    </w:p>
    <w:p w:rsidR="00915161" w:rsidRPr="0028108F" w:rsidRDefault="00915161" w:rsidP="0028108F">
      <w:pPr>
        <w:tabs>
          <w:tab w:val="left" w:pos="1418"/>
        </w:tabs>
        <w:adjustRightInd w:val="0"/>
        <w:snapToGrid w:val="0"/>
        <w:ind w:leftChars="295" w:left="708"/>
        <w:jc w:val="both"/>
        <w:rPr>
          <w:rFonts w:ascii="Arial" w:hAnsi="Arial" w:cs="Arial"/>
          <w:kern w:val="0"/>
          <w:szCs w:val="24"/>
          <w:lang w:val="en-GB"/>
        </w:rPr>
      </w:pPr>
      <w:r w:rsidRPr="0028108F">
        <w:rPr>
          <w:rFonts w:ascii="Arial" w:hAnsi="Arial" w:cs="Arial"/>
          <w:kern w:val="0"/>
          <w:szCs w:val="24"/>
          <w:lang w:val="en-GB"/>
        </w:rPr>
        <w:t>From male to female:</w:t>
      </w:r>
    </w:p>
    <w:p w:rsidR="00915161" w:rsidRPr="0028108F" w:rsidRDefault="00915161" w:rsidP="0028108F">
      <w:pPr>
        <w:tabs>
          <w:tab w:val="left" w:pos="1418"/>
        </w:tabs>
        <w:adjustRightInd w:val="0"/>
        <w:snapToGrid w:val="0"/>
        <w:ind w:leftChars="295" w:left="708"/>
        <w:jc w:val="both"/>
        <w:rPr>
          <w:rFonts w:ascii="Arial" w:hAnsi="Arial" w:cs="Arial"/>
          <w:kern w:val="0"/>
          <w:szCs w:val="24"/>
          <w:lang w:val="en-GB"/>
        </w:rPr>
      </w:pPr>
    </w:p>
    <w:p w:rsidR="00915161" w:rsidRPr="0028108F" w:rsidRDefault="00915161" w:rsidP="0028108F">
      <w:pPr>
        <w:pStyle w:val="ListParagraph"/>
        <w:numPr>
          <w:ilvl w:val="0"/>
          <w:numId w:val="56"/>
        </w:numPr>
        <w:tabs>
          <w:tab w:val="left" w:pos="1418"/>
        </w:tabs>
        <w:adjustRightInd w:val="0"/>
        <w:snapToGrid w:val="0"/>
        <w:ind w:leftChars="295" w:left="1275" w:hanging="567"/>
        <w:jc w:val="both"/>
        <w:rPr>
          <w:rFonts w:ascii="Arial" w:hAnsi="Arial" w:cs="Arial"/>
          <w:kern w:val="0"/>
          <w:szCs w:val="24"/>
          <w:lang w:val="en-GB"/>
        </w:rPr>
      </w:pPr>
      <w:r w:rsidRPr="0028108F">
        <w:rPr>
          <w:rFonts w:ascii="Arial" w:hAnsi="Arial" w:cs="Arial"/>
          <w:kern w:val="0"/>
          <w:szCs w:val="24"/>
          <w:lang w:val="en-GB"/>
        </w:rPr>
        <w:t>Bilateral orchiectomy (</w:t>
      </w:r>
      <w:r w:rsidRPr="0028108F">
        <w:rPr>
          <w:rFonts w:ascii="Arial" w:hAnsi="Arial" w:cs="Arial"/>
          <w:szCs w:val="24"/>
          <w:lang w:val="en-GB"/>
        </w:rPr>
        <w:t>removal of testes)</w:t>
      </w:r>
      <w:r w:rsidRPr="0028108F">
        <w:rPr>
          <w:rFonts w:ascii="Arial" w:hAnsi="Arial" w:cs="Arial"/>
          <w:kern w:val="0"/>
          <w:szCs w:val="24"/>
          <w:lang w:val="en-GB"/>
        </w:rPr>
        <w:t xml:space="preserve">; </w:t>
      </w:r>
    </w:p>
    <w:p w:rsidR="00915161" w:rsidRPr="0028108F" w:rsidRDefault="00915161" w:rsidP="0028108F">
      <w:pPr>
        <w:pStyle w:val="ListParagraph"/>
        <w:numPr>
          <w:ilvl w:val="0"/>
          <w:numId w:val="56"/>
        </w:numPr>
        <w:tabs>
          <w:tab w:val="left" w:pos="1418"/>
        </w:tabs>
        <w:adjustRightInd w:val="0"/>
        <w:snapToGrid w:val="0"/>
        <w:ind w:leftChars="295" w:left="1275" w:hanging="567"/>
        <w:jc w:val="both"/>
        <w:rPr>
          <w:rFonts w:ascii="Arial" w:hAnsi="Arial" w:cs="Arial"/>
          <w:kern w:val="0"/>
          <w:szCs w:val="24"/>
          <w:lang w:val="en-GB"/>
        </w:rPr>
      </w:pPr>
      <w:r w:rsidRPr="0028108F">
        <w:rPr>
          <w:rFonts w:ascii="Arial" w:hAnsi="Arial" w:cs="Arial"/>
          <w:kern w:val="0"/>
          <w:szCs w:val="24"/>
          <w:lang w:val="en-GB"/>
        </w:rPr>
        <w:t>Penectomy (</w:t>
      </w:r>
      <w:r w:rsidRPr="0028108F">
        <w:rPr>
          <w:rFonts w:ascii="Arial" w:hAnsi="Arial" w:cs="Arial"/>
          <w:szCs w:val="24"/>
          <w:lang w:val="en-GB"/>
        </w:rPr>
        <w:t>removal of the penis)</w:t>
      </w:r>
      <w:r w:rsidRPr="0028108F">
        <w:rPr>
          <w:rFonts w:ascii="Arial" w:hAnsi="Arial" w:cs="Arial"/>
          <w:kern w:val="0"/>
          <w:szCs w:val="24"/>
          <w:lang w:val="en-GB"/>
        </w:rPr>
        <w:t>; and</w:t>
      </w:r>
    </w:p>
    <w:p w:rsidR="00915161" w:rsidRPr="0028108F" w:rsidRDefault="00915161" w:rsidP="0028108F">
      <w:pPr>
        <w:pStyle w:val="ListParagraph"/>
        <w:numPr>
          <w:ilvl w:val="0"/>
          <w:numId w:val="56"/>
        </w:numPr>
        <w:tabs>
          <w:tab w:val="left" w:pos="1418"/>
        </w:tabs>
        <w:adjustRightInd w:val="0"/>
        <w:snapToGrid w:val="0"/>
        <w:ind w:leftChars="295" w:left="1275" w:hanging="567"/>
        <w:jc w:val="both"/>
        <w:rPr>
          <w:rFonts w:ascii="Arial" w:hAnsi="Arial" w:cs="Arial"/>
          <w:kern w:val="0"/>
          <w:szCs w:val="24"/>
          <w:lang w:val="en-GB"/>
        </w:rPr>
      </w:pPr>
      <w:r w:rsidRPr="0028108F">
        <w:rPr>
          <w:rFonts w:ascii="Arial" w:hAnsi="Arial" w:cs="Arial"/>
          <w:kern w:val="0"/>
          <w:szCs w:val="24"/>
          <w:lang w:val="en-GB"/>
        </w:rPr>
        <w:t>Vaginoplasty (</w:t>
      </w:r>
      <w:r w:rsidRPr="0028108F">
        <w:rPr>
          <w:rFonts w:ascii="Arial" w:hAnsi="Arial" w:cs="Arial"/>
          <w:szCs w:val="24"/>
          <w:lang w:val="en-GB"/>
        </w:rPr>
        <w:t>creation of vaginal space).</w:t>
      </w:r>
    </w:p>
    <w:p w:rsidR="00915161" w:rsidRPr="0028108F" w:rsidRDefault="00915161" w:rsidP="00915161">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Based on the medical certificate, the persons concerned may apply to change the sex entry on their HKICs pursuant to Regulations 14 and 18 of the Registration of Persons Regulations (Cap 177A)</w:t>
      </w:r>
      <w:r w:rsidRPr="0028108F">
        <w:rPr>
          <w:rStyle w:val="FootnoteReference"/>
          <w:rFonts w:ascii="Arial" w:hAnsi="Arial" w:cs="Arial"/>
          <w:szCs w:val="24"/>
          <w:lang w:val="en-GB"/>
        </w:rPr>
        <w:footnoteReference w:id="50"/>
      </w:r>
      <w:r w:rsidRPr="0028108F">
        <w:rPr>
          <w:rFonts w:ascii="Arial" w:hAnsi="Arial" w:cs="Arial"/>
          <w:kern w:val="0"/>
          <w:szCs w:val="24"/>
          <w:lang w:val="en-GB"/>
        </w:rPr>
        <w:t xml:space="preserve"> to reflect their reassigned sex.  If the SRS was performed outside Hong Kong, </w:t>
      </w:r>
      <w:r w:rsidRPr="0028108F">
        <w:rPr>
          <w:rFonts w:ascii="Arial" w:hAnsi="Arial" w:cs="Arial"/>
          <w:szCs w:val="24"/>
          <w:lang w:val="en-GB"/>
        </w:rPr>
        <w:t xml:space="preserve">the medical proof should </w:t>
      </w:r>
      <w:r w:rsidR="0045358B">
        <w:rPr>
          <w:rFonts w:ascii="Arial" w:hAnsi="Arial" w:cs="Arial" w:hint="eastAsia"/>
          <w:szCs w:val="24"/>
          <w:lang w:val="en-GB"/>
        </w:rPr>
        <w:t>include</w:t>
      </w:r>
      <w:r w:rsidR="0045358B" w:rsidRPr="0028108F">
        <w:rPr>
          <w:rFonts w:ascii="Arial" w:hAnsi="Arial" w:cs="Arial"/>
          <w:szCs w:val="24"/>
          <w:lang w:val="en-GB"/>
        </w:rPr>
        <w:t xml:space="preserve"> </w:t>
      </w:r>
      <w:r w:rsidRPr="0028108F">
        <w:rPr>
          <w:rFonts w:ascii="Arial" w:hAnsi="Arial" w:cs="Arial"/>
          <w:szCs w:val="24"/>
          <w:lang w:val="en-GB"/>
        </w:rPr>
        <w:t xml:space="preserve">the doctor’s medical qualification, place where the medical qualification was obtained and other contact information of the doctor.  Where there are difficulties in obtaining the relevant medical proof from the doctor who performed the SRS outside Hong Kong, the applicant may request a Hong Kong registered doctor to give an assessment </w:t>
      </w:r>
      <w:r w:rsidR="00797A2C" w:rsidRPr="0028108F">
        <w:rPr>
          <w:rFonts w:ascii="Arial" w:hAnsi="Arial" w:cs="Arial"/>
          <w:szCs w:val="24"/>
          <w:lang w:val="en-GB"/>
        </w:rPr>
        <w:t xml:space="preserve">of </w:t>
      </w:r>
      <w:r w:rsidRPr="0028108F">
        <w:rPr>
          <w:rFonts w:ascii="Arial" w:hAnsi="Arial" w:cs="Arial"/>
          <w:szCs w:val="24"/>
          <w:lang w:val="en-GB"/>
        </w:rPr>
        <w:t>the SRS that has been undertaken.</w:t>
      </w:r>
      <w:r w:rsidRPr="0028108F">
        <w:rPr>
          <w:rStyle w:val="FootnoteReference"/>
          <w:rFonts w:ascii="Arial" w:hAnsi="Arial" w:cs="Arial"/>
          <w:szCs w:val="24"/>
          <w:lang w:val="en-GB"/>
        </w:rPr>
        <w:footnoteReference w:id="51"/>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The existing procedures and required evidence for amendment of the sex entry on the HKIC are set out in the administrative guidelines of the Immigration Department.  Upon receipt of the relevant documents, consideration will be given as to whether to allow amendment of the personal particulars sought by an applicant having regard to the specific circumstances of the case.  Further information may be required for processing the application depending on the circumstances of the case.</w:t>
      </w:r>
      <w:r w:rsidRPr="0028108F">
        <w:rPr>
          <w:rStyle w:val="FootnoteReference"/>
          <w:rFonts w:ascii="Arial" w:hAnsi="Arial" w:cs="Arial"/>
          <w:szCs w:val="24"/>
          <w:lang w:val="en-GB"/>
        </w:rPr>
        <w:footnoteReference w:id="52"/>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At present, there is no minimum age requirement for an application for amendment of sex entry on the HKIC.</w:t>
      </w:r>
      <w:r w:rsidRPr="0028108F">
        <w:rPr>
          <w:rStyle w:val="FootnoteReference"/>
          <w:rFonts w:ascii="Arial" w:hAnsi="Arial" w:cs="Arial"/>
          <w:szCs w:val="24"/>
          <w:lang w:val="en-GB"/>
        </w:rPr>
        <w:footnoteReference w:id="53"/>
      </w:r>
      <w:r w:rsidRPr="0028108F">
        <w:rPr>
          <w:rFonts w:ascii="Arial" w:hAnsi="Arial" w:cs="Arial"/>
          <w:kern w:val="0"/>
          <w:szCs w:val="24"/>
          <w:lang w:val="en-GB"/>
        </w:rPr>
        <w:t xml:space="preserve">  Further, there is no requirement relating to the marital status or parental status of the application.  Regarding the residency requirement, a holder of a HKIC (including a permanent resident or a non-permanent resident) may apply for an amendment of sex entry on the HKIC.</w:t>
      </w:r>
      <w:r w:rsidRPr="0028108F">
        <w:rPr>
          <w:rStyle w:val="FootnoteReference"/>
          <w:rFonts w:ascii="Arial" w:hAnsi="Arial" w:cs="Arial"/>
          <w:kern w:val="0"/>
          <w:szCs w:val="24"/>
          <w:lang w:val="en-GB"/>
        </w:rPr>
        <w:footnoteReference w:id="54"/>
      </w:r>
      <w:r w:rsidRPr="0028108F">
        <w:rPr>
          <w:rFonts w:ascii="Arial" w:hAnsi="Arial" w:cs="Arial"/>
          <w:kern w:val="0"/>
          <w:szCs w:val="24"/>
          <w:lang w:val="en-GB"/>
        </w:rPr>
        <w:t xml:space="preserve"> </w:t>
      </w:r>
    </w:p>
    <w:p w:rsidR="00915161" w:rsidRPr="0028108F" w:rsidRDefault="00915161" w:rsidP="00DE5BD5">
      <w:pPr>
        <w:tabs>
          <w:tab w:val="left" w:pos="720"/>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It should also be noted that under Regulations 18(1)(a) and 19 of the Registration of Persons Regulations</w:t>
      </w:r>
      <w:r w:rsidR="00797A2C" w:rsidRPr="0028108F">
        <w:rPr>
          <w:rFonts w:ascii="Arial" w:hAnsi="Arial" w:cs="Arial"/>
          <w:kern w:val="0"/>
          <w:szCs w:val="24"/>
          <w:lang w:val="en-GB"/>
        </w:rPr>
        <w:t xml:space="preserve"> </w:t>
      </w:r>
      <w:r w:rsidRPr="0028108F">
        <w:rPr>
          <w:rFonts w:ascii="Arial" w:hAnsi="Arial" w:cs="Arial"/>
          <w:kern w:val="0"/>
          <w:szCs w:val="24"/>
          <w:lang w:val="en-GB"/>
        </w:rPr>
        <w:t xml:space="preserve">(Cap 177A), any person who, without reasonable excuse, fails to report a change of particulars (including his or her sex) previously submitted for the purpose of registering and applying for a HKIC, is guilty of an offence liable to a fine at Level 3 and imprisonment for one year.  </w:t>
      </w:r>
    </w:p>
    <w:p w:rsidR="00915161" w:rsidRPr="0028108F" w:rsidRDefault="00915161" w:rsidP="00DE5BD5">
      <w:pPr>
        <w:tabs>
          <w:tab w:val="left" w:pos="720"/>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 xml:space="preserve">In Hong Kong, </w:t>
      </w:r>
      <w:r w:rsidR="005D646F" w:rsidRPr="0028108F">
        <w:rPr>
          <w:rFonts w:ascii="Arial" w:hAnsi="Arial" w:cs="Arial"/>
          <w:szCs w:val="24"/>
          <w:lang w:val="en-GB"/>
        </w:rPr>
        <w:t>b</w:t>
      </w:r>
      <w:r w:rsidRPr="0028108F">
        <w:rPr>
          <w:rFonts w:ascii="Arial" w:hAnsi="Arial" w:cs="Arial"/>
          <w:szCs w:val="24"/>
          <w:lang w:val="en-GB"/>
        </w:rPr>
        <w:t xml:space="preserve">etween January 2006 and </w:t>
      </w:r>
      <w:r w:rsidR="005D646F" w:rsidRPr="0028108F">
        <w:rPr>
          <w:rFonts w:ascii="Arial" w:hAnsi="Arial" w:cs="Arial"/>
          <w:szCs w:val="24"/>
          <w:lang w:val="en-GB"/>
        </w:rPr>
        <w:t xml:space="preserve">December </w:t>
      </w:r>
      <w:r w:rsidRPr="0028108F">
        <w:rPr>
          <w:rFonts w:ascii="Arial" w:hAnsi="Arial" w:cs="Arial"/>
          <w:szCs w:val="24"/>
          <w:lang w:val="en-GB"/>
        </w:rPr>
        <w:t>201</w:t>
      </w:r>
      <w:r w:rsidR="005D646F" w:rsidRPr="0028108F">
        <w:rPr>
          <w:rFonts w:ascii="Arial" w:hAnsi="Arial" w:cs="Arial"/>
          <w:szCs w:val="24"/>
          <w:lang w:val="en-GB"/>
        </w:rPr>
        <w:t>6</w:t>
      </w:r>
      <w:r w:rsidRPr="0028108F">
        <w:rPr>
          <w:rFonts w:ascii="Arial" w:hAnsi="Arial" w:cs="Arial"/>
          <w:szCs w:val="24"/>
          <w:lang w:val="en-GB"/>
        </w:rPr>
        <w:t>, the Immigration Department received a total of 1</w:t>
      </w:r>
      <w:r w:rsidR="005D646F" w:rsidRPr="0028108F">
        <w:rPr>
          <w:rFonts w:ascii="Arial" w:hAnsi="Arial" w:cs="Arial"/>
          <w:szCs w:val="24"/>
          <w:lang w:val="en-GB"/>
        </w:rPr>
        <w:t>36</w:t>
      </w:r>
      <w:r w:rsidRPr="0028108F">
        <w:rPr>
          <w:rFonts w:ascii="Arial" w:hAnsi="Arial" w:cs="Arial"/>
          <w:szCs w:val="24"/>
          <w:lang w:val="en-GB"/>
        </w:rPr>
        <w:t xml:space="preserve"> applications from transsexual persons who had undergone SRS seeking to amend the sex entry on their HKICs.  Among these applications, </w:t>
      </w:r>
      <w:r w:rsidR="005D646F" w:rsidRPr="0028108F">
        <w:rPr>
          <w:rFonts w:ascii="Arial" w:hAnsi="Arial" w:cs="Arial"/>
          <w:szCs w:val="24"/>
          <w:lang w:val="en-GB"/>
        </w:rPr>
        <w:t>86</w:t>
      </w:r>
      <w:r w:rsidRPr="0028108F">
        <w:rPr>
          <w:rFonts w:ascii="Arial" w:hAnsi="Arial" w:cs="Arial"/>
          <w:szCs w:val="24"/>
          <w:lang w:val="en-GB"/>
        </w:rPr>
        <w:t xml:space="preserve"> were from male-to-female transsexual persons and the remaining were from</w:t>
      </w:r>
      <w:r w:rsidRPr="0028108F">
        <w:rPr>
          <w:rFonts w:ascii="Arial" w:hAnsi="Arial" w:cs="Arial"/>
          <w:color w:val="0000FF"/>
          <w:szCs w:val="24"/>
          <w:lang w:val="en-GB"/>
        </w:rPr>
        <w:t xml:space="preserve"> </w:t>
      </w:r>
      <w:r w:rsidRPr="0028108F">
        <w:rPr>
          <w:rFonts w:ascii="Arial" w:hAnsi="Arial" w:cs="Arial"/>
          <w:szCs w:val="24"/>
          <w:lang w:val="en-GB"/>
        </w:rPr>
        <w:t>female-to-male transsexual persons.  Of these, 1</w:t>
      </w:r>
      <w:r w:rsidR="005D646F" w:rsidRPr="0028108F">
        <w:rPr>
          <w:rFonts w:ascii="Arial" w:hAnsi="Arial" w:cs="Arial"/>
          <w:szCs w:val="24"/>
          <w:lang w:val="en-GB"/>
        </w:rPr>
        <w:t>25</w:t>
      </w:r>
      <w:r w:rsidRPr="0028108F">
        <w:rPr>
          <w:rFonts w:ascii="Arial" w:hAnsi="Arial" w:cs="Arial"/>
          <w:szCs w:val="24"/>
          <w:lang w:val="en-GB"/>
        </w:rPr>
        <w:t xml:space="preserve"> applications were approved and the remaining </w:t>
      </w:r>
      <w:r w:rsidR="005D646F" w:rsidRPr="0028108F">
        <w:rPr>
          <w:rFonts w:ascii="Arial" w:hAnsi="Arial" w:cs="Arial"/>
          <w:szCs w:val="24"/>
          <w:lang w:val="en-GB"/>
        </w:rPr>
        <w:t xml:space="preserve">11 </w:t>
      </w:r>
      <w:r w:rsidRPr="0028108F">
        <w:rPr>
          <w:rFonts w:ascii="Arial" w:hAnsi="Arial" w:cs="Arial"/>
          <w:szCs w:val="24"/>
          <w:lang w:val="en-GB"/>
        </w:rPr>
        <w:t xml:space="preserve">were withdrawn by the applicant or were being processed as at the end of </w:t>
      </w:r>
      <w:r w:rsidR="005D646F" w:rsidRPr="0028108F">
        <w:rPr>
          <w:rFonts w:ascii="Arial" w:hAnsi="Arial" w:cs="Arial"/>
          <w:szCs w:val="24"/>
          <w:lang w:val="en-GB"/>
        </w:rPr>
        <w:t>December 2016</w:t>
      </w:r>
      <w:r w:rsidRPr="0028108F">
        <w:rPr>
          <w:rFonts w:ascii="Arial" w:hAnsi="Arial" w:cs="Arial"/>
          <w:szCs w:val="24"/>
          <w:lang w:val="en-GB"/>
        </w:rPr>
        <w:t>.</w:t>
      </w:r>
    </w:p>
    <w:p w:rsidR="00915161" w:rsidRPr="0028108F" w:rsidRDefault="00915161" w:rsidP="00DE5BD5">
      <w:pPr>
        <w:tabs>
          <w:tab w:val="left" w:pos="720"/>
        </w:tabs>
        <w:adjustRightInd w:val="0"/>
        <w:snapToGrid w:val="0"/>
        <w:jc w:val="both"/>
        <w:rPr>
          <w:rFonts w:ascii="Arial" w:hAnsi="Arial" w:cs="Arial"/>
          <w:kern w:val="0"/>
          <w:szCs w:val="24"/>
          <w:lang w:val="en-GB"/>
        </w:rPr>
      </w:pPr>
    </w:p>
    <w:p w:rsidR="00915161" w:rsidRPr="0028108F" w:rsidRDefault="00915161" w:rsidP="00DE5BD5">
      <w:pPr>
        <w:tabs>
          <w:tab w:val="left" w:pos="993"/>
        </w:tabs>
        <w:adjustRightInd w:val="0"/>
        <w:snapToGrid w:val="0"/>
        <w:jc w:val="both"/>
        <w:rPr>
          <w:rFonts w:ascii="Arial" w:hAnsi="Arial" w:cs="Arial"/>
          <w:b/>
          <w:i/>
          <w:szCs w:val="24"/>
          <w:lang w:val="en-GB"/>
        </w:rPr>
      </w:pPr>
      <w:r w:rsidRPr="0028108F">
        <w:rPr>
          <w:rFonts w:ascii="Arial" w:hAnsi="Arial" w:cs="Arial"/>
          <w:b/>
          <w:i/>
          <w:szCs w:val="24"/>
          <w:lang w:val="en-GB"/>
        </w:rPr>
        <w:t>Other documents</w:t>
      </w:r>
    </w:p>
    <w:p w:rsidR="00915161" w:rsidRPr="0028108F" w:rsidRDefault="00915161" w:rsidP="00DE5BD5">
      <w:pPr>
        <w:tabs>
          <w:tab w:val="left" w:pos="720"/>
        </w:tabs>
        <w:adjustRightInd w:val="0"/>
        <w:snapToGrid w:val="0"/>
        <w:jc w:val="both"/>
        <w:rPr>
          <w:rFonts w:ascii="Arial" w:hAnsi="Arial" w:cs="Arial"/>
          <w:kern w:val="0"/>
          <w:szCs w:val="24"/>
          <w:lang w:val="en-GB"/>
        </w:rPr>
      </w:pPr>
    </w:p>
    <w:p w:rsidR="00915161" w:rsidRPr="00C57CE1"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A successful applicant above will be issued a replacement HKIC reflecting his/her reassigned sex.  He/</w:t>
      </w:r>
      <w:r w:rsidR="00797A2C" w:rsidRPr="0028108F">
        <w:rPr>
          <w:rFonts w:ascii="Arial" w:hAnsi="Arial" w:cs="Arial"/>
          <w:kern w:val="0"/>
          <w:szCs w:val="24"/>
          <w:lang w:val="en-GB"/>
        </w:rPr>
        <w:t xml:space="preserve">she </w:t>
      </w:r>
      <w:r w:rsidRPr="0028108F">
        <w:rPr>
          <w:rFonts w:ascii="Arial" w:hAnsi="Arial" w:cs="Arial"/>
          <w:kern w:val="0"/>
          <w:szCs w:val="24"/>
          <w:lang w:val="en-GB"/>
        </w:rPr>
        <w:t>may separately apply to make corresponding changes to other documents (eg</w:t>
      </w:r>
      <w:r w:rsidR="00940215" w:rsidRPr="0028108F">
        <w:rPr>
          <w:rFonts w:ascii="Arial" w:hAnsi="Arial" w:cs="Arial"/>
          <w:kern w:val="0"/>
          <w:szCs w:val="24"/>
          <w:lang w:val="en-GB"/>
        </w:rPr>
        <w:t>,</w:t>
      </w:r>
      <w:r w:rsidRPr="0028108F">
        <w:rPr>
          <w:rFonts w:ascii="Arial" w:hAnsi="Arial" w:cs="Arial"/>
          <w:kern w:val="0"/>
          <w:szCs w:val="24"/>
          <w:lang w:val="en-GB"/>
        </w:rPr>
        <w:t xml:space="preserve"> travel documents, driving licences, bank accounts and educational certificates) as necessary.  However, </w:t>
      </w:r>
      <w:r w:rsidRPr="0028108F">
        <w:rPr>
          <w:rFonts w:ascii="Arial" w:hAnsi="Arial" w:cs="Arial"/>
          <w:szCs w:val="24"/>
          <w:lang w:val="en-GB"/>
        </w:rPr>
        <w:t xml:space="preserve">Government departments and private bodies are not required </w:t>
      </w:r>
      <w:r w:rsidR="005D646F" w:rsidRPr="0028108F">
        <w:rPr>
          <w:rFonts w:ascii="Arial" w:hAnsi="Arial" w:cs="Arial"/>
          <w:szCs w:val="24"/>
          <w:lang w:val="en-GB"/>
        </w:rPr>
        <w:t xml:space="preserve">by law </w:t>
      </w:r>
      <w:r w:rsidRPr="0028108F">
        <w:rPr>
          <w:rFonts w:ascii="Arial" w:hAnsi="Arial" w:cs="Arial"/>
          <w:szCs w:val="24"/>
          <w:lang w:val="en-GB"/>
        </w:rPr>
        <w:t>to accept the sex entry on a person’s HKIC as that person’s legal gender.</w:t>
      </w:r>
      <w:r w:rsidRPr="0028108F">
        <w:rPr>
          <w:rStyle w:val="FootnoteReference"/>
          <w:rFonts w:ascii="Arial" w:hAnsi="Arial" w:cs="Arial"/>
          <w:szCs w:val="24"/>
          <w:lang w:val="en-GB"/>
        </w:rPr>
        <w:footnoteReference w:id="55"/>
      </w:r>
      <w:r w:rsidRPr="00181CF2">
        <w:rPr>
          <w:rFonts w:ascii="Arial" w:hAnsi="Arial" w:cs="Arial"/>
          <w:szCs w:val="24"/>
          <w:lang w:val="en-GB"/>
        </w:rPr>
        <w:t xml:space="preserve">  </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5C685F">
      <w:pPr>
        <w:widowControl/>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 xml:space="preserve">Further, there is currently no mechanism </w:t>
      </w:r>
      <w:r w:rsidR="008F5CF0" w:rsidRPr="008813DE">
        <w:rPr>
          <w:rFonts w:ascii="Arial" w:hAnsi="Arial" w:cs="Arial"/>
          <w:kern w:val="0"/>
          <w:szCs w:val="24"/>
          <w:lang w:val="en-GB"/>
        </w:rPr>
        <w:t>to have the sex entry on a person’s birth certificate amended to reflect his or her reassigned, acquired or preferred gender</w:t>
      </w:r>
      <w:r w:rsidRPr="00181CF2">
        <w:rPr>
          <w:rFonts w:ascii="Arial" w:hAnsi="Arial" w:cs="Arial"/>
          <w:kern w:val="0"/>
          <w:szCs w:val="24"/>
          <w:lang w:val="en-GB"/>
        </w:rPr>
        <w:t>.</w:t>
      </w:r>
      <w:r w:rsidRPr="00C57CE1">
        <w:rPr>
          <w:rStyle w:val="FootnoteReference"/>
          <w:rFonts w:ascii="Arial" w:hAnsi="Arial" w:cs="Arial"/>
          <w:kern w:val="0"/>
          <w:szCs w:val="24"/>
          <w:lang w:val="en-GB"/>
        </w:rPr>
        <w:footnoteReference w:id="56"/>
      </w:r>
      <w:r w:rsidRPr="0028108F">
        <w:rPr>
          <w:rFonts w:ascii="Arial" w:hAnsi="Arial" w:cs="Arial"/>
          <w:kern w:val="0"/>
          <w:szCs w:val="24"/>
          <w:lang w:val="en-GB"/>
        </w:rPr>
        <w:t xml:space="preserve"> </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i/>
          <w:sz w:val="28"/>
          <w:szCs w:val="28"/>
          <w:lang w:val="en-GB"/>
        </w:rPr>
        <w:t>W v Registrar of Marriages</w:t>
      </w:r>
      <w:r w:rsidRPr="0028108F">
        <w:rPr>
          <w:rFonts w:ascii="Arial" w:hAnsi="Arial" w:cs="Arial"/>
          <w:b/>
          <w:sz w:val="28"/>
          <w:szCs w:val="28"/>
          <w:lang w:val="en-GB"/>
        </w:rPr>
        <w:t xml:space="preserve"> (</w:t>
      </w:r>
      <w:r w:rsidRPr="0028108F">
        <w:rPr>
          <w:rFonts w:ascii="Arial" w:hAnsi="Arial" w:cs="Arial"/>
          <w:b/>
          <w:i/>
          <w:sz w:val="28"/>
          <w:szCs w:val="28"/>
          <w:lang w:val="en-GB"/>
        </w:rPr>
        <w:t>W</w:t>
      </w:r>
      <w:r w:rsidRPr="0028108F">
        <w:rPr>
          <w:rFonts w:ascii="Arial" w:hAnsi="Arial" w:cs="Arial"/>
          <w:b/>
          <w:sz w:val="28"/>
          <w:szCs w:val="28"/>
          <w:lang w:val="en-GB"/>
        </w:rPr>
        <w:t>’s case)</w:t>
      </w:r>
    </w:p>
    <w:p w:rsidR="00915161" w:rsidRPr="0028108F" w:rsidRDefault="00915161" w:rsidP="00DE5BD5">
      <w:pPr>
        <w:pStyle w:val="ListParagrap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 xml:space="preserve">The discussion below </w:t>
      </w:r>
      <w:r w:rsidR="0045358B">
        <w:rPr>
          <w:rFonts w:ascii="Arial" w:hAnsi="Arial" w:cs="Arial" w:hint="eastAsia"/>
          <w:szCs w:val="24"/>
          <w:lang w:val="en-GB"/>
        </w:rPr>
        <w:t>summarises</w:t>
      </w:r>
      <w:r w:rsidRPr="0028108F">
        <w:rPr>
          <w:rFonts w:ascii="Arial" w:hAnsi="Arial" w:cs="Arial"/>
          <w:szCs w:val="24"/>
          <w:lang w:val="en-GB"/>
        </w:rPr>
        <w:t xml:space="preserve"> the course of the litigation in the landmark case of </w:t>
      </w:r>
      <w:r w:rsidRPr="0028108F">
        <w:rPr>
          <w:rFonts w:ascii="Arial" w:hAnsi="Arial" w:cs="Arial"/>
          <w:i/>
          <w:szCs w:val="24"/>
          <w:lang w:val="en-GB"/>
        </w:rPr>
        <w:t>W</w:t>
      </w:r>
      <w:r w:rsidRPr="0028108F">
        <w:rPr>
          <w:rFonts w:ascii="Arial" w:hAnsi="Arial" w:cs="Arial"/>
          <w:szCs w:val="24"/>
          <w:lang w:val="en-GB"/>
        </w:rPr>
        <w:t>.</w:t>
      </w:r>
    </w:p>
    <w:p w:rsidR="00915161" w:rsidRPr="0028108F" w:rsidRDefault="00915161" w:rsidP="00DE5BD5">
      <w:pPr>
        <w:adjustRightInd w:val="0"/>
        <w:snapToGrid w:val="0"/>
        <w:jc w:val="both"/>
        <w:rPr>
          <w:rFonts w:ascii="Arial" w:hAnsi="Arial" w:cs="Arial"/>
          <w:b/>
          <w:szCs w:val="24"/>
          <w:lang w:val="en-GB"/>
        </w:rPr>
      </w:pPr>
    </w:p>
    <w:p w:rsidR="00915161" w:rsidRPr="0028108F" w:rsidRDefault="00915161" w:rsidP="00DE5BD5">
      <w:pPr>
        <w:adjustRightInd w:val="0"/>
        <w:snapToGrid w:val="0"/>
        <w:jc w:val="both"/>
        <w:rPr>
          <w:rFonts w:ascii="Arial" w:hAnsi="Arial" w:cs="Arial"/>
          <w:b/>
          <w:szCs w:val="24"/>
          <w:lang w:val="en-GB"/>
        </w:rPr>
      </w:pPr>
      <w:r w:rsidRPr="0028108F">
        <w:rPr>
          <w:rFonts w:ascii="Arial" w:hAnsi="Arial" w:cs="Arial"/>
          <w:b/>
          <w:i/>
          <w:szCs w:val="24"/>
          <w:lang w:val="en-GB"/>
        </w:rPr>
        <w:t>The Application</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 xml:space="preserve">The Applicant in </w:t>
      </w:r>
      <w:r w:rsidRPr="0028108F">
        <w:rPr>
          <w:rFonts w:ascii="Arial" w:hAnsi="Arial" w:cs="Arial"/>
          <w:i/>
          <w:szCs w:val="24"/>
          <w:lang w:val="en-GB"/>
        </w:rPr>
        <w:t>W</w:t>
      </w:r>
      <w:r w:rsidRPr="0028108F">
        <w:rPr>
          <w:rFonts w:ascii="Arial" w:hAnsi="Arial" w:cs="Arial"/>
          <w:szCs w:val="24"/>
          <w:lang w:val="en-GB"/>
        </w:rPr>
        <w:t xml:space="preserve">’s case was a post-operative male-to-female transsexual person who had undergone full SRS at a hospital managed by the HA in Hong Kong and the sex entry on her HKIC was changed to </w:t>
      </w:r>
      <w:r w:rsidRPr="0028108F">
        <w:rPr>
          <w:rFonts w:ascii="Arial" w:hAnsi="Arial" w:cs="Arial"/>
          <w:i/>
          <w:szCs w:val="24"/>
          <w:lang w:val="en-GB"/>
        </w:rPr>
        <w:t>“female”</w:t>
      </w:r>
      <w:r w:rsidRPr="0028108F">
        <w:rPr>
          <w:rFonts w:ascii="Arial" w:hAnsi="Arial" w:cs="Arial"/>
          <w:szCs w:val="24"/>
          <w:lang w:val="en-GB"/>
        </w:rPr>
        <w:t>.  She and her male partner wished to marry in Hong Kong.</w:t>
      </w:r>
      <w:r w:rsidRPr="0028108F">
        <w:rPr>
          <w:rStyle w:val="FootnoteReference"/>
          <w:rFonts w:ascii="Arial" w:hAnsi="Arial" w:cs="Arial"/>
          <w:szCs w:val="24"/>
          <w:lang w:val="en-GB"/>
        </w:rPr>
        <w:footnoteReference w:id="57"/>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Section 40 of the Marriage Ordinance (Cap 181) (</w:t>
      </w:r>
      <w:r w:rsidR="00690D89" w:rsidRPr="008813DE">
        <w:rPr>
          <w:rFonts w:ascii="Arial" w:hAnsi="Arial" w:cs="Arial"/>
          <w:i/>
          <w:szCs w:val="24"/>
          <w:lang w:val="en-GB"/>
        </w:rPr>
        <w:t>“</w:t>
      </w:r>
      <w:r w:rsidRPr="008813DE">
        <w:rPr>
          <w:rFonts w:ascii="Arial" w:hAnsi="Arial" w:cs="Arial"/>
          <w:i/>
          <w:szCs w:val="24"/>
          <w:lang w:val="en-GB"/>
        </w:rPr>
        <w:t>MO</w:t>
      </w:r>
      <w:r w:rsidR="00690D89" w:rsidRPr="008813DE">
        <w:rPr>
          <w:rFonts w:ascii="Arial" w:hAnsi="Arial" w:cs="Arial"/>
          <w:i/>
          <w:szCs w:val="24"/>
          <w:lang w:val="en-GB"/>
        </w:rPr>
        <w:t>”</w:t>
      </w:r>
      <w:r w:rsidRPr="0028108F">
        <w:rPr>
          <w:rFonts w:ascii="Arial" w:hAnsi="Arial" w:cs="Arial"/>
          <w:szCs w:val="24"/>
          <w:lang w:val="en-GB"/>
        </w:rPr>
        <w:t>) provides that every marriage under the Ordinance shall be a Christian marriage or the civil equivalent of a Christian marriage, implying a formal ceremony recognised by the law as involving the voluntary union for life of one man and one woman to the exclusion of all others.</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 xml:space="preserve">The Registrar of Marriages </w:t>
      </w:r>
      <w:r w:rsidR="0045358B">
        <w:rPr>
          <w:rFonts w:ascii="Arial" w:hAnsi="Arial" w:cs="Arial" w:hint="eastAsia"/>
          <w:szCs w:val="24"/>
          <w:lang w:val="en-GB"/>
        </w:rPr>
        <w:t>decline</w:t>
      </w:r>
      <w:r w:rsidRPr="0028108F">
        <w:rPr>
          <w:rFonts w:ascii="Arial" w:hAnsi="Arial" w:cs="Arial"/>
          <w:szCs w:val="24"/>
          <w:lang w:val="en-GB"/>
        </w:rPr>
        <w:t>d to celebrate the marriage</w:t>
      </w:r>
      <w:r w:rsidR="00604960" w:rsidRPr="0028108F">
        <w:rPr>
          <w:rFonts w:ascii="Arial" w:hAnsi="Arial" w:cs="Arial"/>
          <w:szCs w:val="24"/>
          <w:lang w:val="en-GB"/>
        </w:rPr>
        <w:t xml:space="preserve"> of W and her male partner</w:t>
      </w:r>
      <w:r w:rsidRPr="0028108F">
        <w:rPr>
          <w:rFonts w:ascii="Arial" w:hAnsi="Arial" w:cs="Arial"/>
          <w:szCs w:val="24"/>
          <w:lang w:val="en-GB"/>
        </w:rPr>
        <w:t xml:space="preserve"> under the MO, taking the view that, for the purposes of marriage, the sex of a party referred to biological sex by birth and the Applicant therefore did not qualify as </w:t>
      </w:r>
      <w:r w:rsidRPr="0028108F">
        <w:rPr>
          <w:rFonts w:ascii="Arial" w:hAnsi="Arial" w:cs="Arial"/>
          <w:i/>
          <w:szCs w:val="24"/>
          <w:lang w:val="en-GB"/>
        </w:rPr>
        <w:t>“a woman”</w:t>
      </w:r>
      <w:r w:rsidRPr="0028108F">
        <w:rPr>
          <w:rFonts w:ascii="Arial" w:hAnsi="Arial" w:cs="Arial"/>
          <w:szCs w:val="24"/>
          <w:lang w:val="en-GB"/>
        </w:rPr>
        <w:t xml:space="preserve"> under the MO and the Matrimonial </w:t>
      </w:r>
      <w:r w:rsidRPr="0028108F">
        <w:rPr>
          <w:rFonts w:ascii="Arial" w:hAnsi="Arial" w:cs="Arial"/>
          <w:szCs w:val="24"/>
          <w:lang w:val="en-GB"/>
        </w:rPr>
        <w:lastRenderedPageBreak/>
        <w:t>Causes Ordinance (Cap 179) (</w:t>
      </w:r>
      <w:r w:rsidR="00690D89" w:rsidRPr="008813DE">
        <w:rPr>
          <w:rFonts w:ascii="Arial" w:hAnsi="Arial" w:cs="Arial"/>
          <w:i/>
          <w:szCs w:val="24"/>
          <w:lang w:val="en-GB"/>
        </w:rPr>
        <w:t>“</w:t>
      </w:r>
      <w:r w:rsidRPr="008813DE">
        <w:rPr>
          <w:rFonts w:ascii="Arial" w:hAnsi="Arial" w:cs="Arial"/>
          <w:i/>
          <w:szCs w:val="24"/>
          <w:lang w:val="en-GB"/>
        </w:rPr>
        <w:t>MCO</w:t>
      </w:r>
      <w:r w:rsidR="00690D89" w:rsidRPr="008813DE">
        <w:rPr>
          <w:rFonts w:ascii="Arial" w:hAnsi="Arial" w:cs="Arial"/>
          <w:i/>
          <w:szCs w:val="24"/>
          <w:lang w:val="en-GB"/>
        </w:rPr>
        <w:t>”</w:t>
      </w:r>
      <w:r w:rsidRPr="0028108F">
        <w:rPr>
          <w:rFonts w:ascii="Arial" w:hAnsi="Arial" w:cs="Arial"/>
          <w:szCs w:val="24"/>
          <w:lang w:val="en-GB"/>
        </w:rPr>
        <w:t>).</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DE5BD5">
      <w:pPr>
        <w:adjustRightInd w:val="0"/>
        <w:snapToGrid w:val="0"/>
        <w:jc w:val="both"/>
        <w:rPr>
          <w:rFonts w:ascii="Arial" w:hAnsi="Arial" w:cs="Arial"/>
          <w:b/>
          <w:szCs w:val="24"/>
          <w:lang w:val="en-GB"/>
        </w:rPr>
      </w:pPr>
      <w:r w:rsidRPr="0028108F">
        <w:rPr>
          <w:rFonts w:ascii="Arial" w:hAnsi="Arial" w:cs="Arial"/>
          <w:b/>
          <w:i/>
          <w:szCs w:val="24"/>
          <w:lang w:val="en-GB"/>
        </w:rPr>
        <w:t>Judicial Review</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The Applicant brought judicial review proceedings to challenge the Registrar’s decision.  She argued that:</w:t>
      </w:r>
    </w:p>
    <w:p w:rsidR="00915161" w:rsidRPr="0028108F" w:rsidRDefault="00915161" w:rsidP="00DE5BD5">
      <w:pPr>
        <w:tabs>
          <w:tab w:val="left" w:pos="1440"/>
        </w:tabs>
        <w:adjustRightInd w:val="0"/>
        <w:snapToGrid w:val="0"/>
        <w:ind w:left="1440" w:hanging="720"/>
        <w:jc w:val="both"/>
        <w:rPr>
          <w:rFonts w:ascii="Arial" w:hAnsi="Arial" w:cs="Arial"/>
          <w:kern w:val="0"/>
          <w:szCs w:val="24"/>
          <w:lang w:val="en-GB"/>
        </w:rPr>
      </w:pPr>
    </w:p>
    <w:p w:rsidR="00915161" w:rsidRPr="0028108F" w:rsidRDefault="00915161" w:rsidP="00DE5BD5">
      <w:p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(a)</w:t>
      </w:r>
      <w:r w:rsidRPr="0028108F">
        <w:rPr>
          <w:rFonts w:ascii="Arial" w:hAnsi="Arial" w:cs="Arial"/>
          <w:kern w:val="0"/>
          <w:szCs w:val="24"/>
          <w:lang w:val="en-GB"/>
        </w:rPr>
        <w:tab/>
        <w:t xml:space="preserve">on a true and proper construction, the words </w:t>
      </w:r>
      <w:r w:rsidRPr="0028108F">
        <w:rPr>
          <w:rFonts w:ascii="Arial" w:hAnsi="Arial" w:cs="Arial"/>
          <w:i/>
          <w:kern w:val="0"/>
          <w:szCs w:val="24"/>
          <w:lang w:val="en-GB"/>
        </w:rPr>
        <w:t>“woman”</w:t>
      </w:r>
      <w:r w:rsidRPr="0028108F">
        <w:rPr>
          <w:rFonts w:ascii="Arial" w:hAnsi="Arial" w:cs="Arial"/>
          <w:kern w:val="0"/>
          <w:szCs w:val="24"/>
          <w:lang w:val="en-GB"/>
        </w:rPr>
        <w:t xml:space="preserve"> and </w:t>
      </w:r>
      <w:r w:rsidRPr="0028108F">
        <w:rPr>
          <w:rFonts w:ascii="Arial" w:hAnsi="Arial" w:cs="Arial"/>
          <w:i/>
          <w:kern w:val="0"/>
          <w:szCs w:val="24"/>
          <w:lang w:val="en-GB"/>
        </w:rPr>
        <w:t>“female”</w:t>
      </w:r>
      <w:r w:rsidRPr="0028108F">
        <w:rPr>
          <w:rFonts w:ascii="Arial" w:hAnsi="Arial" w:cs="Arial"/>
          <w:kern w:val="0"/>
          <w:szCs w:val="24"/>
          <w:lang w:val="en-GB"/>
        </w:rPr>
        <w:t xml:space="preserve"> in sections 21 and 40 of the MO include a post-operative male-to-female transsexual</w:t>
      </w:r>
      <w:r w:rsidRPr="0028108F">
        <w:rPr>
          <w:rFonts w:ascii="Arial" w:hAnsi="Arial" w:cs="Arial"/>
          <w:szCs w:val="24"/>
          <w:lang w:val="en-GB"/>
        </w:rPr>
        <w:t xml:space="preserve"> person</w:t>
      </w:r>
      <w:r w:rsidRPr="0028108F">
        <w:rPr>
          <w:rFonts w:ascii="Arial" w:hAnsi="Arial" w:cs="Arial"/>
          <w:kern w:val="0"/>
          <w:szCs w:val="24"/>
          <w:lang w:val="en-GB"/>
        </w:rPr>
        <w:t>; and</w:t>
      </w:r>
    </w:p>
    <w:p w:rsidR="00915161" w:rsidRPr="0028108F" w:rsidRDefault="00915161" w:rsidP="00DE5BD5">
      <w:pPr>
        <w:tabs>
          <w:tab w:val="left" w:pos="2160"/>
        </w:tabs>
        <w:adjustRightInd w:val="0"/>
        <w:snapToGrid w:val="0"/>
        <w:ind w:left="2160" w:hanging="720"/>
        <w:jc w:val="both"/>
        <w:rPr>
          <w:rFonts w:ascii="Arial" w:hAnsi="Arial" w:cs="Arial"/>
          <w:kern w:val="0"/>
          <w:szCs w:val="24"/>
          <w:lang w:val="en-GB"/>
        </w:rPr>
      </w:pPr>
    </w:p>
    <w:p w:rsidR="00915161" w:rsidRPr="0028108F" w:rsidRDefault="00915161" w:rsidP="005C685F">
      <w:pPr>
        <w:widowControl/>
        <w:tabs>
          <w:tab w:val="left" w:pos="1418"/>
        </w:tabs>
        <w:adjustRightInd w:val="0"/>
        <w:snapToGrid w:val="0"/>
        <w:ind w:left="1412" w:hanging="562"/>
        <w:jc w:val="both"/>
        <w:rPr>
          <w:rFonts w:ascii="Arial" w:hAnsi="Arial" w:cs="Arial"/>
          <w:kern w:val="0"/>
          <w:szCs w:val="24"/>
          <w:lang w:val="en-GB"/>
        </w:rPr>
      </w:pPr>
      <w:r w:rsidRPr="0028108F">
        <w:rPr>
          <w:rFonts w:ascii="Arial" w:hAnsi="Arial" w:cs="Arial"/>
          <w:kern w:val="0"/>
          <w:szCs w:val="24"/>
          <w:lang w:val="en-GB"/>
        </w:rPr>
        <w:t>(b)</w:t>
      </w:r>
      <w:r w:rsidRPr="0028108F">
        <w:rPr>
          <w:rFonts w:ascii="Arial" w:hAnsi="Arial" w:cs="Arial"/>
          <w:kern w:val="0"/>
          <w:szCs w:val="24"/>
          <w:lang w:val="en-GB"/>
        </w:rPr>
        <w:tab/>
        <w:t>if not, these two sections are unconstitutional having regard to her right to marry under section 37 of the Basic Law and/or Article 19(2) of the Hong Kong Bill of Rights (</w:t>
      </w:r>
      <w:r w:rsidR="00451606" w:rsidRPr="0028108F">
        <w:rPr>
          <w:rFonts w:ascii="Arial" w:hAnsi="Arial" w:cs="Arial"/>
          <w:kern w:val="0"/>
          <w:szCs w:val="24"/>
          <w:lang w:val="en-GB"/>
        </w:rPr>
        <w:t>“</w:t>
      </w:r>
      <w:r w:rsidRPr="0028108F">
        <w:rPr>
          <w:rFonts w:ascii="Arial" w:hAnsi="Arial" w:cs="Arial"/>
          <w:i/>
          <w:kern w:val="0"/>
          <w:szCs w:val="24"/>
          <w:lang w:val="en-GB"/>
        </w:rPr>
        <w:t>HKBOR</w:t>
      </w:r>
      <w:r w:rsidR="00451606" w:rsidRPr="00181CF2">
        <w:rPr>
          <w:rFonts w:ascii="Arial" w:hAnsi="Arial" w:cs="Arial"/>
          <w:kern w:val="0"/>
          <w:szCs w:val="24"/>
          <w:lang w:val="en-GB"/>
        </w:rPr>
        <w:t>”</w:t>
      </w:r>
      <w:r w:rsidRPr="00C57CE1">
        <w:rPr>
          <w:rFonts w:ascii="Arial" w:hAnsi="Arial" w:cs="Arial"/>
          <w:kern w:val="0"/>
          <w:szCs w:val="24"/>
          <w:lang w:val="en-GB"/>
        </w:rPr>
        <w:t>) and/or her right to privacy under Articl</w:t>
      </w:r>
      <w:r w:rsidRPr="0028108F">
        <w:rPr>
          <w:rFonts w:ascii="Arial" w:hAnsi="Arial" w:cs="Arial"/>
          <w:kern w:val="0"/>
          <w:szCs w:val="24"/>
          <w:lang w:val="en-GB"/>
        </w:rPr>
        <w:t xml:space="preserve">e 14 of the HKBOR.  </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DE5BD5">
      <w:pPr>
        <w:adjustRightInd w:val="0"/>
        <w:snapToGrid w:val="0"/>
        <w:jc w:val="both"/>
        <w:rPr>
          <w:rFonts w:ascii="Arial" w:hAnsi="Arial" w:cs="Arial"/>
          <w:b/>
          <w:szCs w:val="24"/>
          <w:lang w:val="en-GB"/>
        </w:rPr>
      </w:pPr>
      <w:r w:rsidRPr="0028108F">
        <w:rPr>
          <w:rFonts w:ascii="Arial" w:hAnsi="Arial" w:cs="Arial"/>
          <w:b/>
          <w:i/>
          <w:szCs w:val="24"/>
          <w:lang w:val="en-GB"/>
        </w:rPr>
        <w:t>The Court of First Instance</w:t>
      </w:r>
      <w:r w:rsidR="00852B57" w:rsidRPr="0028108F">
        <w:rPr>
          <w:rFonts w:ascii="Arial" w:hAnsi="Arial" w:cs="Arial"/>
          <w:b/>
          <w:i/>
          <w:szCs w:val="24"/>
          <w:lang w:val="en-GB"/>
        </w:rPr>
        <w:t xml:space="preserve"> (CFI)</w:t>
      </w:r>
      <w:r w:rsidRPr="0028108F">
        <w:rPr>
          <w:rFonts w:ascii="Arial" w:hAnsi="Arial" w:cs="Arial"/>
          <w:b/>
          <w:i/>
          <w:szCs w:val="24"/>
          <w:lang w:val="en-GB"/>
        </w:rPr>
        <w:t xml:space="preserve"> and Court of Appeal </w:t>
      </w:r>
      <w:r w:rsidR="00852B57" w:rsidRPr="0028108F">
        <w:rPr>
          <w:rFonts w:ascii="Arial" w:hAnsi="Arial" w:cs="Arial"/>
          <w:b/>
          <w:i/>
          <w:szCs w:val="24"/>
          <w:lang w:val="en-GB"/>
        </w:rPr>
        <w:t xml:space="preserve">(CA) </w:t>
      </w:r>
      <w:r w:rsidRPr="0028108F">
        <w:rPr>
          <w:rFonts w:ascii="Arial" w:hAnsi="Arial" w:cs="Arial"/>
          <w:b/>
          <w:i/>
          <w:szCs w:val="24"/>
          <w:lang w:val="en-GB"/>
        </w:rPr>
        <w:t>judgments</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 xml:space="preserve">Both the </w:t>
      </w:r>
      <w:r w:rsidR="00852B57" w:rsidRPr="0028108F">
        <w:rPr>
          <w:rFonts w:ascii="Arial" w:hAnsi="Arial" w:cs="Arial"/>
          <w:kern w:val="0"/>
          <w:szCs w:val="24"/>
          <w:lang w:val="en-GB"/>
        </w:rPr>
        <w:t>CFI</w:t>
      </w:r>
      <w:r w:rsidRPr="0028108F">
        <w:rPr>
          <w:rFonts w:ascii="Arial" w:hAnsi="Arial" w:cs="Arial"/>
          <w:kern w:val="0"/>
          <w:szCs w:val="24"/>
          <w:lang w:val="en-GB"/>
        </w:rPr>
        <w:t xml:space="preserve"> and </w:t>
      </w:r>
      <w:r w:rsidR="00852B57" w:rsidRPr="0028108F">
        <w:rPr>
          <w:rFonts w:ascii="Arial" w:hAnsi="Arial" w:cs="Arial"/>
          <w:kern w:val="0"/>
          <w:szCs w:val="24"/>
          <w:lang w:val="en-GB"/>
        </w:rPr>
        <w:t>CA</w:t>
      </w:r>
      <w:r w:rsidRPr="0028108F">
        <w:rPr>
          <w:rFonts w:ascii="Arial" w:hAnsi="Arial" w:cs="Arial"/>
          <w:kern w:val="0"/>
          <w:szCs w:val="24"/>
          <w:lang w:val="en-GB"/>
        </w:rPr>
        <w:t xml:space="preserve"> dismissed the Applicant’s application, upholding the Registrar’s decision that the Applicant did not qualify as “</w:t>
      </w:r>
      <w:r w:rsidRPr="0028108F">
        <w:rPr>
          <w:rFonts w:ascii="Arial" w:hAnsi="Arial" w:cs="Arial"/>
          <w:i/>
          <w:kern w:val="0"/>
          <w:szCs w:val="24"/>
          <w:lang w:val="en-GB"/>
        </w:rPr>
        <w:t>a woman</w:t>
      </w:r>
      <w:r w:rsidRPr="0028108F">
        <w:rPr>
          <w:rFonts w:ascii="Arial" w:hAnsi="Arial" w:cs="Arial"/>
          <w:kern w:val="0"/>
          <w:szCs w:val="24"/>
          <w:lang w:val="en-GB"/>
        </w:rPr>
        <w:t>” under the MO and the MCO</w:t>
      </w:r>
      <w:r w:rsidR="005D646F" w:rsidRPr="0028108F">
        <w:rPr>
          <w:rFonts w:ascii="Arial" w:hAnsi="Arial" w:cs="Arial"/>
          <w:kern w:val="0"/>
          <w:szCs w:val="24"/>
          <w:lang w:val="en-GB"/>
        </w:rPr>
        <w:t xml:space="preserve">, and that </w:t>
      </w:r>
      <w:r w:rsidR="005D646F" w:rsidRPr="0028108F">
        <w:rPr>
          <w:rFonts w:ascii="Arial" w:hAnsi="Arial" w:cs="Arial"/>
          <w:kern w:val="0"/>
          <w:szCs w:val="24"/>
        </w:rPr>
        <w:t>provisions of the MO as properly construed are not inconsistent with the relevant provisions in the Basic Law and the HKBOR</w:t>
      </w:r>
      <w:r w:rsidRPr="0028108F">
        <w:rPr>
          <w:rFonts w:ascii="Arial" w:hAnsi="Arial" w:cs="Arial"/>
          <w:kern w:val="0"/>
          <w:szCs w:val="24"/>
          <w:lang w:val="en-GB"/>
        </w:rPr>
        <w:t>.</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DE5BD5">
      <w:pPr>
        <w:adjustRightInd w:val="0"/>
        <w:snapToGrid w:val="0"/>
        <w:jc w:val="both"/>
        <w:rPr>
          <w:rFonts w:ascii="Arial" w:hAnsi="Arial" w:cs="Arial"/>
          <w:b/>
          <w:szCs w:val="24"/>
          <w:lang w:val="en-GB"/>
        </w:rPr>
      </w:pPr>
      <w:r w:rsidRPr="0028108F">
        <w:rPr>
          <w:rFonts w:ascii="Arial" w:hAnsi="Arial" w:cs="Arial"/>
          <w:b/>
          <w:i/>
          <w:szCs w:val="24"/>
          <w:lang w:val="en-GB"/>
        </w:rPr>
        <w:t>The Court of Final Appeal (</w:t>
      </w:r>
      <w:r w:rsidR="00690D89" w:rsidRPr="0028108F">
        <w:rPr>
          <w:rFonts w:ascii="Arial" w:hAnsi="Arial" w:cs="Arial"/>
          <w:b/>
          <w:i/>
          <w:szCs w:val="24"/>
          <w:lang w:val="en-GB"/>
        </w:rPr>
        <w:t>“</w:t>
      </w:r>
      <w:r w:rsidRPr="0028108F">
        <w:rPr>
          <w:rFonts w:ascii="Arial" w:hAnsi="Arial" w:cs="Arial"/>
          <w:b/>
          <w:i/>
          <w:szCs w:val="24"/>
          <w:lang w:val="en-GB"/>
        </w:rPr>
        <w:t>CFA</w:t>
      </w:r>
      <w:r w:rsidR="00690D89" w:rsidRPr="0028108F">
        <w:rPr>
          <w:rFonts w:ascii="Arial" w:hAnsi="Arial" w:cs="Arial"/>
          <w:b/>
          <w:i/>
          <w:szCs w:val="24"/>
          <w:lang w:val="en-GB"/>
        </w:rPr>
        <w:t>”</w:t>
      </w:r>
      <w:r w:rsidRPr="0028108F">
        <w:rPr>
          <w:rFonts w:ascii="Arial" w:hAnsi="Arial" w:cs="Arial"/>
          <w:b/>
          <w:i/>
          <w:szCs w:val="24"/>
          <w:lang w:val="en-GB"/>
        </w:rPr>
        <w:t>) majority judgment</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The CFA held unanimously that, as a matter purely of statutory construction, the Registrar was correct in construing that under section 40 of the MO, biological factors were the only appropriate criteria for assessing the sex of an individual for the purpose of marriage (the “</w:t>
      </w:r>
      <w:r w:rsidRPr="0028108F">
        <w:rPr>
          <w:rFonts w:ascii="Arial" w:hAnsi="Arial" w:cs="Arial"/>
          <w:i/>
          <w:kern w:val="0"/>
          <w:szCs w:val="24"/>
          <w:lang w:val="en-GB"/>
        </w:rPr>
        <w:t>construction</w:t>
      </w:r>
      <w:r w:rsidRPr="0028108F">
        <w:rPr>
          <w:rFonts w:ascii="Arial" w:hAnsi="Arial" w:cs="Arial"/>
          <w:kern w:val="0"/>
          <w:szCs w:val="24"/>
          <w:lang w:val="en-GB"/>
        </w:rPr>
        <w:t>” issue).</w:t>
      </w:r>
      <w:r w:rsidRPr="0028108F">
        <w:rPr>
          <w:rStyle w:val="FootnoteReference"/>
          <w:rFonts w:ascii="Arial" w:hAnsi="Arial" w:cs="Arial"/>
          <w:szCs w:val="24"/>
          <w:lang w:val="en-GB"/>
        </w:rPr>
        <w:footnoteReference w:id="58"/>
      </w:r>
      <w:r w:rsidRPr="0028108F">
        <w:rPr>
          <w:rFonts w:ascii="Arial" w:hAnsi="Arial" w:cs="Arial"/>
          <w:kern w:val="0"/>
          <w:szCs w:val="24"/>
          <w:lang w:val="en-GB"/>
        </w:rPr>
        <w:t xml:space="preserve">  In other words, a male-to-female transsexual</w:t>
      </w:r>
      <w:r w:rsidRPr="0028108F">
        <w:rPr>
          <w:rFonts w:ascii="Arial" w:hAnsi="Arial" w:cs="Arial"/>
          <w:szCs w:val="24"/>
          <w:lang w:val="en-GB"/>
        </w:rPr>
        <w:t xml:space="preserve"> person</w:t>
      </w:r>
      <w:r w:rsidRPr="0028108F">
        <w:rPr>
          <w:rFonts w:ascii="Arial" w:hAnsi="Arial" w:cs="Arial"/>
          <w:kern w:val="0"/>
          <w:szCs w:val="24"/>
          <w:lang w:val="en-GB"/>
        </w:rPr>
        <w:t xml:space="preserve"> should still be considered a </w:t>
      </w:r>
      <w:r w:rsidRPr="0028108F">
        <w:rPr>
          <w:rFonts w:ascii="Arial" w:hAnsi="Arial" w:cs="Arial"/>
          <w:i/>
          <w:kern w:val="0"/>
          <w:szCs w:val="24"/>
          <w:lang w:val="en-GB"/>
        </w:rPr>
        <w:t>“man”</w:t>
      </w:r>
      <w:r w:rsidRPr="0028108F">
        <w:rPr>
          <w:rFonts w:ascii="Arial" w:hAnsi="Arial" w:cs="Arial"/>
          <w:kern w:val="0"/>
          <w:szCs w:val="24"/>
          <w:lang w:val="en-GB"/>
        </w:rPr>
        <w:t xml:space="preserve"> under the existing MO, even after completion of full SRS.</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However, the CFA held by a 4:1 majority that the provision was unconstitutional because it is inconsistent with, and fails to give proper effect to, the constitutional right to marry protected by Article 37 of the Basic Law</w:t>
      </w:r>
      <w:r w:rsidRPr="0028108F">
        <w:rPr>
          <w:rStyle w:val="FootnoteReference"/>
          <w:rFonts w:ascii="Arial" w:hAnsi="Arial" w:cs="Arial"/>
          <w:kern w:val="0"/>
          <w:szCs w:val="24"/>
          <w:lang w:val="en-GB"/>
        </w:rPr>
        <w:footnoteReference w:id="59"/>
      </w:r>
      <w:r w:rsidRPr="0028108F">
        <w:rPr>
          <w:rFonts w:ascii="Arial" w:hAnsi="Arial" w:cs="Arial"/>
          <w:kern w:val="0"/>
          <w:szCs w:val="24"/>
          <w:lang w:val="en-GB"/>
        </w:rPr>
        <w:t xml:space="preserve"> (BL 37) and Article 19(2) of the HKBOR</w:t>
      </w:r>
      <w:r w:rsidRPr="0028108F">
        <w:rPr>
          <w:rStyle w:val="FootnoteReference"/>
          <w:rFonts w:ascii="Arial" w:hAnsi="Arial" w:cs="Arial"/>
          <w:kern w:val="0"/>
          <w:szCs w:val="24"/>
          <w:lang w:val="en-GB"/>
        </w:rPr>
        <w:footnoteReference w:id="60"/>
      </w:r>
      <w:r w:rsidRPr="0028108F">
        <w:rPr>
          <w:rFonts w:ascii="Arial" w:hAnsi="Arial" w:cs="Arial"/>
          <w:kern w:val="0"/>
          <w:szCs w:val="24"/>
          <w:lang w:val="en-GB"/>
        </w:rPr>
        <w:t xml:space="preserve"> (the “</w:t>
      </w:r>
      <w:r w:rsidRPr="0028108F">
        <w:rPr>
          <w:rFonts w:ascii="Arial" w:hAnsi="Arial" w:cs="Arial"/>
          <w:i/>
          <w:kern w:val="0"/>
          <w:szCs w:val="24"/>
          <w:lang w:val="en-GB"/>
        </w:rPr>
        <w:t>constitutional</w:t>
      </w:r>
      <w:r w:rsidRPr="0028108F">
        <w:rPr>
          <w:rFonts w:ascii="Arial" w:hAnsi="Arial" w:cs="Arial"/>
          <w:kern w:val="0"/>
          <w:szCs w:val="24"/>
          <w:lang w:val="en-GB"/>
        </w:rPr>
        <w:t>” issue).</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 xml:space="preserve">The CFA judgment on both issues applies equally to section 20(1)(d) of the MCO, which provides, amongst other things, that a marriage </w:t>
      </w:r>
      <w:r w:rsidRPr="0028108F">
        <w:rPr>
          <w:rFonts w:ascii="Arial" w:hAnsi="Arial" w:cs="Arial"/>
          <w:kern w:val="0"/>
          <w:szCs w:val="24"/>
          <w:lang w:val="en-GB"/>
        </w:rPr>
        <w:lastRenderedPageBreak/>
        <w:t>shall be void,</w:t>
      </w:r>
      <w:r w:rsidRPr="0028108F">
        <w:rPr>
          <w:rStyle w:val="FootnoteReference"/>
          <w:rFonts w:ascii="Arial" w:hAnsi="Arial" w:cs="Arial"/>
          <w:kern w:val="0"/>
          <w:szCs w:val="24"/>
          <w:lang w:val="en-GB"/>
        </w:rPr>
        <w:footnoteReference w:id="61"/>
      </w:r>
      <w:r w:rsidRPr="0028108F">
        <w:rPr>
          <w:rFonts w:ascii="Arial" w:hAnsi="Arial" w:cs="Arial"/>
          <w:kern w:val="0"/>
          <w:szCs w:val="24"/>
          <w:lang w:val="en-GB"/>
        </w:rPr>
        <w:t xml:space="preserve"> among other things, on the ground that the parties (to the marriage) are not respectively male and female (at the time of marriage registration).</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The CFA allowed the Applicant’s appeal, ruling that:</w:t>
      </w:r>
    </w:p>
    <w:p w:rsidR="00915161" w:rsidRPr="0028108F" w:rsidRDefault="00915161" w:rsidP="00DE5BD5">
      <w:pPr>
        <w:autoSpaceDE w:val="0"/>
        <w:autoSpaceDN w:val="0"/>
        <w:adjustRightInd w:val="0"/>
        <w:snapToGrid w:val="0"/>
        <w:ind w:left="720" w:hanging="720"/>
        <w:jc w:val="both"/>
        <w:rPr>
          <w:rFonts w:ascii="Arial" w:hAnsi="Arial" w:cs="Arial"/>
          <w:kern w:val="0"/>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r w:rsidRPr="0028108F">
        <w:rPr>
          <w:rFonts w:ascii="Arial" w:hAnsi="Arial" w:cs="Arial"/>
          <w:i/>
          <w:kern w:val="0"/>
          <w:szCs w:val="24"/>
          <w:lang w:val="en-GB"/>
        </w:rPr>
        <w:t>“ … a transsexual in W’s situation, that is, one who has gone through full SRS,</w:t>
      </w:r>
      <w:r w:rsidR="00B02269" w:rsidRPr="0028108F">
        <w:rPr>
          <w:rStyle w:val="FootnoteReference"/>
          <w:rFonts w:ascii="Arial" w:hAnsi="Arial" w:cs="Arial"/>
          <w:i/>
          <w:kern w:val="0"/>
          <w:szCs w:val="24"/>
          <w:lang w:val="en-GB"/>
        </w:rPr>
        <w:footnoteReference w:id="62"/>
      </w:r>
      <w:r w:rsidRPr="0028108F">
        <w:rPr>
          <w:rFonts w:ascii="Arial" w:hAnsi="Arial" w:cs="Arial"/>
          <w:i/>
          <w:kern w:val="0"/>
          <w:szCs w:val="24"/>
          <w:lang w:val="en-GB"/>
        </w:rPr>
        <w:t xml:space="preserve"> should in principle be granted a declaration that, consistently with BL 37 and HKBOR 19(2), she is in law entitled to be included as ‘a woman’ within the meaning of section 40 of the MO and section 20(1)(d) of the MCO and therefore eligible to marry a man.”  </w:t>
      </w:r>
    </w:p>
    <w:p w:rsidR="00915161" w:rsidRPr="0028108F" w:rsidRDefault="00915161" w:rsidP="00DE5BD5">
      <w:pPr>
        <w:adjustRightInd w:val="0"/>
        <w:snapToGrid w:val="0"/>
        <w:jc w:val="both"/>
        <w:rPr>
          <w:rFonts w:ascii="Arial" w:hAnsi="Arial" w:cs="Arial"/>
          <w:color w:val="000000"/>
          <w:kern w:val="0"/>
          <w:szCs w:val="24"/>
          <w:lang w:val="en-GB"/>
        </w:rPr>
      </w:pPr>
    </w:p>
    <w:p w:rsidR="00915161" w:rsidRPr="0028108F" w:rsidRDefault="00915161" w:rsidP="00DE5BD5">
      <w:pPr>
        <w:adjustRightInd w:val="0"/>
        <w:snapToGrid w:val="0"/>
        <w:jc w:val="both"/>
        <w:rPr>
          <w:rFonts w:ascii="Arial" w:hAnsi="Arial" w:cs="Arial"/>
          <w:b/>
          <w:i/>
          <w:color w:val="000000"/>
          <w:kern w:val="0"/>
          <w:szCs w:val="24"/>
          <w:lang w:val="en-GB"/>
        </w:rPr>
      </w:pPr>
      <w:r w:rsidRPr="0028108F">
        <w:rPr>
          <w:rFonts w:ascii="Arial" w:hAnsi="Arial" w:cs="Arial"/>
          <w:b/>
          <w:i/>
          <w:color w:val="000000"/>
          <w:kern w:val="0"/>
          <w:szCs w:val="24"/>
          <w:lang w:val="en-GB"/>
        </w:rPr>
        <w:t>The CFA’s comments on gender recognition generally</w:t>
      </w:r>
    </w:p>
    <w:p w:rsidR="00915161" w:rsidRPr="0028108F" w:rsidRDefault="00915161" w:rsidP="00DE5BD5">
      <w:pPr>
        <w:adjustRightInd w:val="0"/>
        <w:snapToGrid w:val="0"/>
        <w:jc w:val="both"/>
        <w:rPr>
          <w:rFonts w:ascii="Arial" w:hAnsi="Arial" w:cs="Arial"/>
          <w:color w:val="000000"/>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ab/>
        <w:t xml:space="preserve">In the judgment, the CFA also made some comments on problems facing transsexual persons in other areas of law and </w:t>
      </w:r>
      <w:r w:rsidR="00852B57" w:rsidRPr="0028108F">
        <w:rPr>
          <w:rFonts w:ascii="Arial" w:hAnsi="Arial" w:cs="Arial"/>
          <w:kern w:val="0"/>
          <w:szCs w:val="24"/>
          <w:lang w:val="en-GB"/>
        </w:rPr>
        <w:t xml:space="preserve">the </w:t>
      </w:r>
      <w:r w:rsidRPr="0028108F">
        <w:rPr>
          <w:rFonts w:ascii="Arial" w:hAnsi="Arial" w:cs="Arial"/>
          <w:kern w:val="0"/>
          <w:szCs w:val="24"/>
          <w:lang w:val="en-GB"/>
        </w:rPr>
        <w:t>treatment of persons who have not undertaken any SRS or have not fully completed SRS in these areas, including drawing the line as to who qualifies as “</w:t>
      </w:r>
      <w:r w:rsidRPr="0028108F">
        <w:rPr>
          <w:rFonts w:ascii="Arial" w:hAnsi="Arial" w:cs="Arial"/>
          <w:i/>
          <w:kern w:val="0"/>
          <w:szCs w:val="24"/>
          <w:lang w:val="en-GB"/>
        </w:rPr>
        <w:t>a woman</w:t>
      </w:r>
      <w:r w:rsidRPr="0028108F">
        <w:rPr>
          <w:rFonts w:ascii="Arial" w:hAnsi="Arial" w:cs="Arial"/>
          <w:kern w:val="0"/>
          <w:szCs w:val="24"/>
          <w:lang w:val="en-GB"/>
        </w:rPr>
        <w:t>” or “</w:t>
      </w:r>
      <w:r w:rsidRPr="0028108F">
        <w:rPr>
          <w:rFonts w:ascii="Arial" w:hAnsi="Arial" w:cs="Arial"/>
          <w:i/>
          <w:kern w:val="0"/>
          <w:szCs w:val="24"/>
          <w:lang w:val="en-GB"/>
        </w:rPr>
        <w:t>a man</w:t>
      </w:r>
      <w:r w:rsidRPr="0028108F">
        <w:rPr>
          <w:rFonts w:ascii="Arial" w:hAnsi="Arial" w:cs="Arial"/>
          <w:kern w:val="0"/>
          <w:szCs w:val="24"/>
          <w:lang w:val="en-GB"/>
        </w:rPr>
        <w:t xml:space="preserve">” for marriage and other purposes, and the impact of a legally recognised gender change in all legal contexts.  </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The CFA remarked that the Government should consider how to address problems facing transsexual persons in all areas of law by drawing reference to overseas practice, such as the United Kingdom’s Gender Recognition Act 2004.</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 xml:space="preserve">In his dissenting judgment, Mr Justice Chan PJ saw a strong case for a comprehensive review of the relevant legislation, with a view to proposing changes in </w:t>
      </w:r>
      <w:r w:rsidR="00852B57" w:rsidRPr="0028108F">
        <w:rPr>
          <w:rFonts w:ascii="Arial" w:hAnsi="Arial" w:cs="Arial"/>
          <w:kern w:val="0"/>
          <w:szCs w:val="24"/>
          <w:lang w:val="en-GB"/>
        </w:rPr>
        <w:t xml:space="preserve">the </w:t>
      </w:r>
      <w:r w:rsidRPr="0028108F">
        <w:rPr>
          <w:rFonts w:ascii="Arial" w:hAnsi="Arial" w:cs="Arial"/>
          <w:kern w:val="0"/>
          <w:szCs w:val="24"/>
          <w:lang w:val="en-GB"/>
        </w:rPr>
        <w:t>law</w:t>
      </w:r>
      <w:r w:rsidR="00852B57" w:rsidRPr="0028108F">
        <w:rPr>
          <w:rFonts w:ascii="Arial" w:hAnsi="Arial" w:cs="Arial"/>
          <w:szCs w:val="24"/>
          <w:lang w:val="en-GB"/>
        </w:rPr>
        <w:t xml:space="preserve"> as soon as possible</w:t>
      </w:r>
      <w:r w:rsidRPr="0028108F">
        <w:rPr>
          <w:rFonts w:ascii="Arial" w:hAnsi="Arial" w:cs="Arial"/>
          <w:kern w:val="0"/>
          <w:szCs w:val="24"/>
          <w:lang w:val="en-GB"/>
        </w:rPr>
        <w:t xml:space="preserve"> concerning the problems facing</w:t>
      </w:r>
      <w:r w:rsidRPr="0028108F">
        <w:rPr>
          <w:rFonts w:ascii="Arial" w:hAnsi="Arial" w:cs="Arial"/>
          <w:szCs w:val="24"/>
          <w:lang w:val="en-GB"/>
        </w:rPr>
        <w:t xml:space="preserve"> transsexual persons.</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Cs w:val="24"/>
          <w:lang w:val="en-GB"/>
        </w:rPr>
      </w:pPr>
      <w:r w:rsidRPr="0028108F">
        <w:rPr>
          <w:rFonts w:ascii="Arial" w:hAnsi="Arial" w:cs="Arial"/>
          <w:b/>
          <w:i/>
          <w:color w:val="000000"/>
          <w:kern w:val="0"/>
          <w:szCs w:val="24"/>
          <w:lang w:val="en-GB"/>
        </w:rPr>
        <w:t>Dissenting judgment of Chan PJ</w:t>
      </w:r>
    </w:p>
    <w:p w:rsidR="00915161" w:rsidRPr="0028108F" w:rsidRDefault="00915161" w:rsidP="00DE5BD5">
      <w:pPr>
        <w:adjustRightInd w:val="0"/>
        <w:snapToGrid w:val="0"/>
        <w:jc w:val="both"/>
        <w:rPr>
          <w:rFonts w:ascii="Arial" w:hAnsi="Arial" w:cs="Arial"/>
          <w:color w:val="000000"/>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color w:val="000000"/>
          <w:kern w:val="0"/>
          <w:szCs w:val="24"/>
          <w:lang w:val="en-GB"/>
        </w:rPr>
        <w:t xml:space="preserve">Chan PJ held that recognition of transsexual marriages is a radical change </w:t>
      </w:r>
      <w:r w:rsidR="00852B57" w:rsidRPr="0028108F">
        <w:rPr>
          <w:rFonts w:ascii="Arial" w:hAnsi="Arial" w:cs="Arial"/>
          <w:color w:val="000000"/>
          <w:kern w:val="0"/>
          <w:szCs w:val="24"/>
          <w:lang w:val="en-GB"/>
        </w:rPr>
        <w:t xml:space="preserve">to </w:t>
      </w:r>
      <w:r w:rsidRPr="0028108F">
        <w:rPr>
          <w:rFonts w:ascii="Arial" w:hAnsi="Arial" w:cs="Arial"/>
          <w:color w:val="000000"/>
          <w:kern w:val="0"/>
          <w:szCs w:val="24"/>
          <w:lang w:val="en-GB"/>
        </w:rPr>
        <w:t>the traditional concept of marriage</w:t>
      </w:r>
      <w:r w:rsidR="00852B57" w:rsidRPr="0028108F">
        <w:rPr>
          <w:rFonts w:ascii="Arial" w:hAnsi="Arial" w:cs="Arial"/>
          <w:color w:val="000000"/>
          <w:kern w:val="0"/>
          <w:szCs w:val="24"/>
          <w:lang w:val="en-GB"/>
        </w:rPr>
        <w:t>,</w:t>
      </w:r>
      <w:r w:rsidRPr="0028108F">
        <w:rPr>
          <w:rFonts w:ascii="Arial" w:hAnsi="Arial" w:cs="Arial"/>
          <w:color w:val="000000"/>
          <w:kern w:val="0"/>
          <w:szCs w:val="24"/>
          <w:lang w:val="en-GB"/>
        </w:rPr>
        <w:t xml:space="preserve"> and marriage is an important social institution which has its basis in the social attitudes of the community. </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color w:val="000000"/>
          <w:kern w:val="0"/>
          <w:szCs w:val="24"/>
          <w:lang w:val="en-GB"/>
        </w:rPr>
        <w:t xml:space="preserve">He </w:t>
      </w:r>
      <w:r w:rsidR="00852B57" w:rsidRPr="0028108F">
        <w:rPr>
          <w:rFonts w:ascii="Arial" w:hAnsi="Arial" w:cs="Arial"/>
          <w:color w:val="000000"/>
          <w:kern w:val="0"/>
          <w:szCs w:val="24"/>
          <w:lang w:val="en-GB"/>
        </w:rPr>
        <w:t xml:space="preserve">observed </w:t>
      </w:r>
      <w:r w:rsidRPr="0028108F">
        <w:rPr>
          <w:rFonts w:ascii="Arial" w:hAnsi="Arial" w:cs="Arial"/>
          <w:color w:val="000000"/>
          <w:kern w:val="0"/>
          <w:szCs w:val="24"/>
          <w:lang w:val="en-GB"/>
        </w:rPr>
        <w:t xml:space="preserve">that changes in the laws of overseas jurisdictions to allow transsexual persons to marry in their post-operative sex have been </w:t>
      </w:r>
      <w:r w:rsidRPr="0028108F">
        <w:rPr>
          <w:rFonts w:ascii="Arial" w:hAnsi="Arial" w:cs="Arial"/>
          <w:color w:val="000000"/>
          <w:kern w:val="0"/>
          <w:szCs w:val="24"/>
          <w:lang w:val="en-GB"/>
        </w:rPr>
        <w:lastRenderedPageBreak/>
        <w:t xml:space="preserve">informed by social consultation which indicated changes in social attitudes towards marriage.  He said that there is no evidence whether social attitudes in Hong Kong have changed to the extent of abandoning or fundamentally altering the traditional concept of marriage.  </w:t>
      </w:r>
    </w:p>
    <w:p w:rsidR="00915161" w:rsidRPr="0028108F" w:rsidRDefault="00915161" w:rsidP="00DE5BD5">
      <w:pPr>
        <w:adjustRightInd w:val="0"/>
        <w:snapToGrid w:val="0"/>
        <w:jc w:val="both"/>
        <w:rPr>
          <w:rFonts w:ascii="Arial" w:hAnsi="Arial" w:cs="Arial"/>
          <w:color w:val="000000"/>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color w:val="000000"/>
          <w:kern w:val="0"/>
          <w:szCs w:val="24"/>
          <w:lang w:val="en-GB"/>
        </w:rPr>
        <w:t xml:space="preserve">Chan PJ stated that the Court should not invoke its power of constitutional interpretation to recognise transsexual marriages in the absence of such evidence.  He stated that to do so would amount to making a new policy on a social issue which has far-reaching ramifications and which can only be made after public consultation, and this is not the business of the Court. </w:t>
      </w:r>
    </w:p>
    <w:p w:rsidR="00915161" w:rsidRPr="0028108F" w:rsidRDefault="00915161" w:rsidP="00DE5BD5">
      <w:pPr>
        <w:adjustRightInd w:val="0"/>
        <w:snapToGrid w:val="0"/>
        <w:jc w:val="both"/>
        <w:rPr>
          <w:rFonts w:ascii="Arial" w:hAnsi="Arial" w:cs="Arial"/>
          <w:color w:val="000000"/>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color w:val="000000"/>
          <w:kern w:val="0"/>
          <w:szCs w:val="24"/>
          <w:lang w:val="en-GB"/>
        </w:rPr>
        <w:t>Chan PJ was sympathetic to the problems facing transsexual persons and, as noted earlier, called for a comprehensive review of the relevant legislation with a view to proposing changes in the law as soon as practicable.</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Cs w:val="24"/>
          <w:lang w:val="en-GB"/>
        </w:rPr>
      </w:pPr>
      <w:r w:rsidRPr="0028108F">
        <w:rPr>
          <w:rFonts w:ascii="Arial" w:hAnsi="Arial" w:cs="Arial"/>
          <w:b/>
          <w:i/>
          <w:szCs w:val="24"/>
          <w:lang w:val="en-GB"/>
        </w:rPr>
        <w:t>The CFA’s court orders</w:t>
      </w:r>
    </w:p>
    <w:p w:rsidR="00915161" w:rsidRPr="0028108F" w:rsidRDefault="00915161" w:rsidP="00DE5BD5">
      <w:pPr>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In</w:t>
      </w:r>
      <w:r w:rsidRPr="0028108F">
        <w:rPr>
          <w:rFonts w:ascii="Arial" w:hAnsi="Arial" w:cs="Arial"/>
          <w:szCs w:val="24"/>
          <w:lang w:val="en-GB"/>
        </w:rPr>
        <w:t xml:space="preserve"> its final orders in </w:t>
      </w:r>
      <w:r w:rsidRPr="0028108F">
        <w:rPr>
          <w:rFonts w:ascii="Arial" w:hAnsi="Arial" w:cs="Arial"/>
          <w:i/>
          <w:szCs w:val="24"/>
          <w:lang w:val="en-GB"/>
        </w:rPr>
        <w:t>W</w:t>
      </w:r>
      <w:r w:rsidRPr="0028108F">
        <w:rPr>
          <w:rFonts w:ascii="Arial" w:hAnsi="Arial" w:cs="Arial"/>
          <w:szCs w:val="24"/>
          <w:lang w:val="en-GB"/>
        </w:rPr>
        <w:t>’s case, made on 16 July 2013, the CFA granted declarations:</w:t>
      </w: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(a)</w:t>
      </w:r>
      <w:r w:rsidRPr="0028108F">
        <w:rPr>
          <w:rFonts w:ascii="Arial" w:hAnsi="Arial" w:cs="Arial"/>
          <w:szCs w:val="24"/>
          <w:lang w:val="en-GB"/>
        </w:rPr>
        <w:tab/>
        <w:t xml:space="preserve">that section 40 of the MO must be read and given effect to so as to include within the meaning of the words </w:t>
      </w:r>
      <w:r w:rsidRPr="0028108F">
        <w:rPr>
          <w:rFonts w:ascii="Arial" w:hAnsi="Arial" w:cs="Arial"/>
          <w:i/>
          <w:szCs w:val="24"/>
          <w:lang w:val="en-GB"/>
        </w:rPr>
        <w:t>“woman”</w:t>
      </w:r>
      <w:r w:rsidRPr="0028108F">
        <w:rPr>
          <w:rFonts w:ascii="Arial" w:hAnsi="Arial" w:cs="Arial"/>
          <w:szCs w:val="24"/>
          <w:lang w:val="en-GB"/>
        </w:rPr>
        <w:t xml:space="preserve"> and </w:t>
      </w:r>
      <w:r w:rsidRPr="0028108F">
        <w:rPr>
          <w:rFonts w:ascii="Arial" w:hAnsi="Arial" w:cs="Arial"/>
          <w:i/>
          <w:szCs w:val="24"/>
          <w:lang w:val="en-GB"/>
        </w:rPr>
        <w:t>“female”</w:t>
      </w:r>
      <w:r w:rsidRPr="0028108F">
        <w:rPr>
          <w:rFonts w:ascii="Arial" w:hAnsi="Arial" w:cs="Arial"/>
          <w:szCs w:val="24"/>
          <w:lang w:val="en-GB"/>
        </w:rPr>
        <w:t xml:space="preserve"> a post-operative male-to-female transsexual person whose gender has been certified by an appropriate medical authority to have changed as a result of the SRS; and</w:t>
      </w:r>
    </w:p>
    <w:p w:rsidR="00915161" w:rsidRPr="0028108F" w:rsidRDefault="00915161" w:rsidP="00DE5BD5">
      <w:pPr>
        <w:tabs>
          <w:tab w:val="left" w:pos="2160"/>
        </w:tabs>
        <w:adjustRightInd w:val="0"/>
        <w:snapToGrid w:val="0"/>
        <w:ind w:left="216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(b)</w:t>
      </w:r>
      <w:r w:rsidRPr="0028108F">
        <w:rPr>
          <w:rFonts w:ascii="Arial" w:hAnsi="Arial" w:cs="Arial"/>
          <w:szCs w:val="24"/>
          <w:lang w:val="en-GB"/>
        </w:rPr>
        <w:tab/>
        <w:t xml:space="preserve">that the Appellant is in law entitled to be included as </w:t>
      </w:r>
      <w:r w:rsidRPr="0028108F">
        <w:rPr>
          <w:rFonts w:ascii="Arial" w:hAnsi="Arial" w:cs="Arial"/>
          <w:i/>
          <w:szCs w:val="24"/>
          <w:lang w:val="en-GB"/>
        </w:rPr>
        <w:t>“a woman”</w:t>
      </w:r>
      <w:r w:rsidRPr="0028108F">
        <w:rPr>
          <w:rFonts w:ascii="Arial" w:hAnsi="Arial" w:cs="Arial"/>
          <w:szCs w:val="24"/>
          <w:lang w:val="en-GB"/>
        </w:rPr>
        <w:t xml:space="preserve"> within the meaning of section 20(1)(d) of the MCO and section 40 of the MO, and is accordingly eligible to marry a man.</w:t>
      </w:r>
      <w:r w:rsidRPr="0028108F">
        <w:rPr>
          <w:rStyle w:val="FootnoteReference"/>
          <w:rFonts w:ascii="Arial" w:hAnsi="Arial" w:cs="Arial"/>
          <w:szCs w:val="24"/>
          <w:lang w:val="en-GB"/>
        </w:rPr>
        <w:footnoteReference w:id="63"/>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kern w:val="0"/>
          <w:szCs w:val="24"/>
          <w:lang w:val="en-GB"/>
        </w:rPr>
        <w:t>However, the CFA suspended the effect of the declarations for 12 months (</w:t>
      </w:r>
      <w:r w:rsidR="00D6311F" w:rsidRPr="0028108F">
        <w:rPr>
          <w:rFonts w:ascii="Arial" w:hAnsi="Arial" w:cs="Arial"/>
          <w:kern w:val="0"/>
          <w:szCs w:val="24"/>
          <w:lang w:val="en-GB"/>
        </w:rPr>
        <w:t>ie</w:t>
      </w:r>
      <w:r w:rsidRPr="0028108F">
        <w:rPr>
          <w:rFonts w:ascii="Arial" w:hAnsi="Arial" w:cs="Arial"/>
          <w:kern w:val="0"/>
          <w:szCs w:val="24"/>
          <w:lang w:val="en-GB"/>
        </w:rPr>
        <w:t>, until 16 July 2014) in order to allow time for any corrective legislative amendments to be considered.</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DE5BD5">
      <w:pPr>
        <w:tabs>
          <w:tab w:val="left" w:pos="993"/>
        </w:tabs>
        <w:adjustRightInd w:val="0"/>
        <w:snapToGrid w:val="0"/>
        <w:jc w:val="both"/>
        <w:rPr>
          <w:rFonts w:ascii="Arial" w:hAnsi="Arial" w:cs="Arial"/>
          <w:b/>
          <w:i/>
          <w:szCs w:val="24"/>
          <w:lang w:val="en-GB"/>
        </w:rPr>
      </w:pPr>
      <w:r w:rsidRPr="0028108F">
        <w:rPr>
          <w:rFonts w:ascii="Arial" w:hAnsi="Arial" w:cs="Arial"/>
          <w:b/>
          <w:i/>
          <w:szCs w:val="24"/>
          <w:lang w:val="en-GB"/>
        </w:rPr>
        <w:t>Implementation of the CFA decision</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kern w:val="0"/>
          <w:szCs w:val="24"/>
          <w:lang w:val="en-GB"/>
        </w:rPr>
      </w:pPr>
      <w:r w:rsidRPr="0028108F">
        <w:rPr>
          <w:rFonts w:ascii="Arial" w:hAnsi="Arial" w:cs="Arial"/>
          <w:szCs w:val="24"/>
          <w:lang w:val="en-GB"/>
        </w:rPr>
        <w:t>Apart from the establishment of the IWG, the means by which the Government proposed to implement the judgment included:</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(a)</w:t>
      </w:r>
      <w:r w:rsidRPr="0028108F">
        <w:rPr>
          <w:rFonts w:ascii="Arial" w:hAnsi="Arial" w:cs="Arial"/>
          <w:szCs w:val="24"/>
          <w:lang w:val="en-GB"/>
        </w:rPr>
        <w:tab/>
        <w:t>amending the MCO and the MO before July 2014, to provide that a person who has undergone full SRS shall be identified as being of the sex to which the person has been reassigned for the purpose of marriage under the Ordinance(s); and</w:t>
      </w:r>
    </w:p>
    <w:p w:rsidR="00915161" w:rsidRPr="0028108F" w:rsidRDefault="00915161" w:rsidP="00DE5BD5">
      <w:pPr>
        <w:tabs>
          <w:tab w:val="left" w:pos="720"/>
        </w:tabs>
        <w:adjustRightInd w:val="0"/>
        <w:snapToGrid w:val="0"/>
        <w:ind w:left="720" w:hanging="720"/>
        <w:jc w:val="both"/>
        <w:rPr>
          <w:rFonts w:ascii="Arial" w:hAnsi="Arial" w:cs="Arial"/>
          <w:szCs w:val="24"/>
          <w:lang w:val="en-GB"/>
        </w:rPr>
      </w:pPr>
    </w:p>
    <w:p w:rsidR="00915161" w:rsidRPr="0028108F" w:rsidRDefault="00915161" w:rsidP="00DE5BD5">
      <w:pPr>
        <w:tabs>
          <w:tab w:val="left" w:pos="1440"/>
        </w:tabs>
        <w:adjustRightInd w:val="0"/>
        <w:snapToGrid w:val="0"/>
        <w:ind w:left="1440" w:hanging="720"/>
        <w:jc w:val="both"/>
        <w:rPr>
          <w:rFonts w:ascii="Arial" w:hAnsi="Arial" w:cs="Arial"/>
          <w:szCs w:val="24"/>
          <w:lang w:val="en-GB"/>
        </w:rPr>
      </w:pPr>
      <w:r w:rsidRPr="0028108F">
        <w:rPr>
          <w:rFonts w:ascii="Arial" w:hAnsi="Arial" w:cs="Arial"/>
          <w:szCs w:val="24"/>
          <w:lang w:val="en-GB"/>
        </w:rPr>
        <w:t>(b)</w:t>
      </w:r>
      <w:r w:rsidRPr="0028108F">
        <w:rPr>
          <w:rFonts w:ascii="Arial" w:hAnsi="Arial" w:cs="Arial"/>
          <w:szCs w:val="24"/>
          <w:lang w:val="en-GB"/>
        </w:rPr>
        <w:tab/>
        <w:t xml:space="preserve">administratively, the Immigration Department will maintain the </w:t>
      </w:r>
      <w:r w:rsidRPr="0028108F">
        <w:rPr>
          <w:rFonts w:ascii="Arial" w:hAnsi="Arial" w:cs="Arial"/>
          <w:szCs w:val="24"/>
          <w:lang w:val="en-GB"/>
        </w:rPr>
        <w:lastRenderedPageBreak/>
        <w:t>prevailing guidelines for considering post-operative transsexual persons’ applications for changing the sex entry on the HKICs, pending the outcome of the results of the IWG’s study on a gender recognition scheme for Hong Kong.</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Marriage (Amendment) Bill 2014</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To implement the CFA’s order within the 12-month period, the Government proposed to amend the MO </w:t>
      </w:r>
      <w:r w:rsidR="002D2609">
        <w:rPr>
          <w:rFonts w:ascii="Arial" w:hAnsi="Arial" w:cs="Arial" w:hint="eastAsia"/>
          <w:szCs w:val="24"/>
          <w:lang w:val="en-GB"/>
        </w:rPr>
        <w:t xml:space="preserve">so as </w:t>
      </w:r>
      <w:r w:rsidRPr="0028108F">
        <w:rPr>
          <w:rFonts w:ascii="Arial" w:hAnsi="Arial" w:cs="Arial"/>
          <w:szCs w:val="24"/>
          <w:lang w:val="en-GB"/>
        </w:rPr>
        <w:t>to provide that, for the purpose of marriage registration under the Ordinance: a person who has undergone full SRS (</w:t>
      </w:r>
      <w:r w:rsidR="00D6311F" w:rsidRPr="0028108F">
        <w:rPr>
          <w:rFonts w:ascii="Arial" w:hAnsi="Arial" w:cs="Arial"/>
          <w:szCs w:val="24"/>
          <w:lang w:val="en-GB"/>
        </w:rPr>
        <w:t>ie</w:t>
      </w:r>
      <w:r w:rsidRPr="0028108F">
        <w:rPr>
          <w:rFonts w:ascii="Arial" w:hAnsi="Arial" w:cs="Arial"/>
          <w:szCs w:val="24"/>
          <w:lang w:val="en-GB"/>
        </w:rPr>
        <w:t>, removal of the original genital organs and construction of some form of genital organs of the opposite sex) shall be identified as being of the sex to which the person has been reassigned.</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kern w:val="0"/>
          <w:szCs w:val="24"/>
          <w:lang w:val="en-GB"/>
        </w:rPr>
        <w:t xml:space="preserve">To obviate the need for persons who have undergone full SRS (and have already had the sex entry on their HKICs changed) to present the relevant medical certificate to the Registrar at the point of marriage registration, the Government intended to make it clear in the MO that the sex of any party to a marriage as stated at the time of the marriage in his or her personal identification document shall be </w:t>
      </w:r>
      <w:r w:rsidRPr="0028108F">
        <w:rPr>
          <w:rFonts w:ascii="Arial" w:hAnsi="Arial" w:cs="Arial"/>
          <w:i/>
          <w:iCs/>
          <w:kern w:val="0"/>
          <w:szCs w:val="24"/>
          <w:lang w:val="en-GB"/>
        </w:rPr>
        <w:t xml:space="preserve">prima facie </w:t>
      </w:r>
      <w:r w:rsidRPr="0028108F">
        <w:rPr>
          <w:rFonts w:ascii="Arial" w:hAnsi="Arial" w:cs="Arial"/>
          <w:kern w:val="0"/>
          <w:szCs w:val="24"/>
          <w:lang w:val="en-GB"/>
        </w:rPr>
        <w:t>evidence of the sex of that party.</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kern w:val="0"/>
          <w:szCs w:val="24"/>
          <w:lang w:val="en-GB"/>
        </w:rPr>
        <w:t>The Government introduced the Marriage (Amendment) Bill 2014, incorporating the required legislative amendments specified above, on 28 February 2014.  In addition to amending the MO, the legislative amendment would apply also to the MCO, so that a person who has undergone full SRS and registered the marriage in his or her reassigned sex under the MO will also be identified as his or her reassigned sex under section 20(1)(d) of the MCO, lest that marriage be void on the ground that the parties are not respectively male and female.</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kern w:val="0"/>
          <w:szCs w:val="24"/>
          <w:lang w:val="en-GB"/>
        </w:rPr>
        <w:t xml:space="preserve">The motion for the Marriage (Amendment) Bill to be read for the second time did not pass the Legislative Council on 22 October 2014.  Nevertheless, the fact that the Marriage (Amendment) Bill was not passed does not affect the right of post-operative transsexual persons who have received full SRS to marry, as the Registrar of Marriages has been implementing the CFA’s order since 17 July 2014 (as directed by the CFA). </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kern w:val="0"/>
          <w:szCs w:val="24"/>
          <w:lang w:val="en-GB"/>
        </w:rPr>
        <w:t>Administratively, the Immigration Department maintains the prevailing guidelines for considering post-operative transsexual persons’ applications for changing the sex entry on their HKICs.</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DE5BD5">
      <w:pPr>
        <w:tabs>
          <w:tab w:val="left" w:pos="1418"/>
        </w:tabs>
        <w:adjustRightInd w:val="0"/>
        <w:snapToGrid w:val="0"/>
        <w:jc w:val="both"/>
        <w:rPr>
          <w:rFonts w:ascii="Arial" w:hAnsi="Arial" w:cs="Arial"/>
          <w:b/>
          <w:sz w:val="28"/>
          <w:szCs w:val="28"/>
          <w:lang w:val="en-GB"/>
        </w:rPr>
      </w:pPr>
    </w:p>
    <w:p w:rsidR="00915161" w:rsidRPr="0028108F" w:rsidRDefault="00915161" w:rsidP="00DE5BD5">
      <w:pPr>
        <w:adjustRightInd w:val="0"/>
        <w:snapToGrid w:val="0"/>
        <w:jc w:val="both"/>
        <w:rPr>
          <w:rFonts w:ascii="Arial" w:hAnsi="Arial" w:cs="Arial"/>
          <w:b/>
          <w:sz w:val="28"/>
          <w:szCs w:val="28"/>
          <w:lang w:val="en-GB"/>
        </w:rPr>
      </w:pPr>
      <w:r w:rsidRPr="0028108F">
        <w:rPr>
          <w:rFonts w:ascii="Arial" w:hAnsi="Arial" w:cs="Arial"/>
          <w:b/>
          <w:sz w:val="28"/>
          <w:szCs w:val="28"/>
          <w:lang w:val="en-GB"/>
        </w:rPr>
        <w:t>Diagnostic criteria and treatment options</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This part examines the diagnostic criteria and treatment options for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w:t>
      </w:r>
      <w:r w:rsidRPr="0028108F">
        <w:rPr>
          <w:rFonts w:ascii="Arial" w:hAnsi="Arial" w:cs="Arial"/>
          <w:lang w:val="en-GB"/>
        </w:rPr>
        <w:t xml:space="preserve">The management of persons with the relevant symptoms usually begins with a psychiatric assessment.  If the diagnosis of </w:t>
      </w:r>
      <w:r w:rsidR="00334997" w:rsidRPr="0028108F">
        <w:rPr>
          <w:rFonts w:ascii="Arial" w:hAnsi="Arial" w:cs="Arial"/>
          <w:lang w:val="en-GB"/>
        </w:rPr>
        <w:t>gender identity disorder</w:t>
      </w:r>
      <w:r w:rsidRPr="0028108F">
        <w:rPr>
          <w:rFonts w:ascii="Arial" w:hAnsi="Arial" w:cs="Arial"/>
          <w:lang w:val="en-GB"/>
        </w:rPr>
        <w:t xml:space="preserve"> or gender dysphoria </w:t>
      </w:r>
      <w:r w:rsidRPr="0028108F">
        <w:rPr>
          <w:rFonts w:ascii="Arial" w:hAnsi="Arial" w:cs="Arial"/>
          <w:lang w:val="en-GB"/>
        </w:rPr>
        <w:lastRenderedPageBreak/>
        <w:t>is confirmed, t</w:t>
      </w:r>
      <w:r w:rsidRPr="0028108F">
        <w:rPr>
          <w:rFonts w:ascii="Arial" w:hAnsi="Arial" w:cs="Arial"/>
          <w:szCs w:val="24"/>
          <w:lang w:val="en-GB"/>
        </w:rPr>
        <w:t xml:space="preserve">here is a variety of psychological and medical treatment options.  The number and type of interventions applied and the order in which these take place may differ from person to person.  Generally speaking, the treatment process usually comprises initial assessment of the condition of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ongoing assessment of the person’s ability to live in the preferred gender role with prescribed hormonal treatment of the opposite sex, and SRS.  Below is an illustration of the usual steps for treating people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in Hong Kong.  </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DE5BD5">
      <w:pPr>
        <w:tabs>
          <w:tab w:val="left" w:pos="1418"/>
        </w:tabs>
        <w:adjustRightInd w:val="0"/>
        <w:snapToGrid w:val="0"/>
        <w:jc w:val="both"/>
        <w:rPr>
          <w:rFonts w:ascii="Arial" w:hAnsi="Arial" w:cs="Arial"/>
          <w:b/>
          <w:i/>
          <w:szCs w:val="24"/>
          <w:lang w:val="en-GB"/>
        </w:rPr>
      </w:pPr>
      <w:r w:rsidRPr="0028108F">
        <w:rPr>
          <w:rFonts w:ascii="Arial" w:hAnsi="Arial" w:cs="Arial"/>
          <w:b/>
          <w:i/>
          <w:szCs w:val="24"/>
          <w:lang w:val="en-GB"/>
        </w:rPr>
        <w:t>Diagnostics criteria</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According to the “</w:t>
      </w:r>
      <w:r w:rsidRPr="0028108F">
        <w:rPr>
          <w:rFonts w:ascii="Arial" w:hAnsi="Arial" w:cs="Arial"/>
          <w:i/>
          <w:szCs w:val="24"/>
          <w:lang w:val="en-GB"/>
        </w:rPr>
        <w:t>ICD-10 Classification of Mental and Behavioural Disorders: Clinical descriptions and diagnostic guidelines</w:t>
      </w:r>
      <w:r w:rsidRPr="0028108F">
        <w:rPr>
          <w:rFonts w:ascii="Arial" w:hAnsi="Arial" w:cs="Arial"/>
          <w:szCs w:val="24"/>
          <w:lang w:val="en-GB"/>
        </w:rPr>
        <w:t xml:space="preserve">” issued by the WHO, for a diagnosis of </w:t>
      </w:r>
      <w:r w:rsidRPr="0028108F">
        <w:rPr>
          <w:rFonts w:ascii="Arial" w:hAnsi="Arial" w:cs="Arial"/>
          <w:i/>
          <w:szCs w:val="24"/>
          <w:lang w:val="en-GB"/>
        </w:rPr>
        <w:t>“transsexualism”</w:t>
      </w:r>
      <w:r w:rsidRPr="0028108F">
        <w:rPr>
          <w:rFonts w:ascii="Arial" w:hAnsi="Arial" w:cs="Arial"/>
          <w:szCs w:val="24"/>
          <w:lang w:val="en-GB"/>
        </w:rPr>
        <w:t xml:space="preserve"> under the category of </w:t>
      </w:r>
      <w:r w:rsidR="00334997" w:rsidRPr="0028108F">
        <w:rPr>
          <w:rFonts w:ascii="Arial" w:hAnsi="Arial" w:cs="Arial"/>
          <w:szCs w:val="24"/>
          <w:lang w:val="en-GB"/>
        </w:rPr>
        <w:t>gender identity disorder</w:t>
      </w:r>
      <w:r w:rsidRPr="0028108F">
        <w:rPr>
          <w:rFonts w:ascii="Arial" w:hAnsi="Arial" w:cs="Arial"/>
          <w:szCs w:val="24"/>
          <w:lang w:val="en-GB"/>
        </w:rPr>
        <w:t xml:space="preserve"> to be made, “</w:t>
      </w:r>
      <w:r w:rsidRPr="0028108F">
        <w:rPr>
          <w:rFonts w:ascii="Arial" w:hAnsi="Arial" w:cs="Arial"/>
          <w:i/>
          <w:szCs w:val="24"/>
          <w:lang w:val="en-GB"/>
        </w:rPr>
        <w:t>the transsexual identity should have been present persistently for at least 2 years, and must not be a symptom of another mental disorder, such as schizophrenia, or associated with any intersex, genetic, or sex chromosome abnormality.</w:t>
      </w:r>
      <w:r w:rsidRPr="0028108F">
        <w:rPr>
          <w:rFonts w:ascii="Arial" w:hAnsi="Arial" w:cs="Arial"/>
          <w:szCs w:val="24"/>
          <w:lang w:val="en-GB"/>
        </w:rPr>
        <w:t>”</w:t>
      </w:r>
      <w:r w:rsidRPr="0028108F">
        <w:rPr>
          <w:rStyle w:val="FootnoteReference"/>
          <w:rFonts w:ascii="Arial" w:hAnsi="Arial" w:cs="Arial"/>
          <w:szCs w:val="24"/>
          <w:lang w:val="en-GB"/>
        </w:rPr>
        <w:footnoteReference w:id="64"/>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Regarding the diagnosis of </w:t>
      </w:r>
      <w:r w:rsidRPr="0028108F">
        <w:rPr>
          <w:rFonts w:ascii="Arial" w:hAnsi="Arial" w:cs="Arial"/>
          <w:i/>
          <w:szCs w:val="24"/>
          <w:lang w:val="en-GB"/>
        </w:rPr>
        <w:t>“gender dysphoria”</w:t>
      </w:r>
      <w:r w:rsidRPr="0028108F">
        <w:rPr>
          <w:rFonts w:ascii="Arial" w:hAnsi="Arial" w:cs="Arial"/>
          <w:szCs w:val="24"/>
          <w:lang w:val="en-GB"/>
        </w:rPr>
        <w:t>, it is stated in DSM-5 that individuals with gender dysphoria have a marked incongruence between the gender they have been assigned to (usually at birth, referred to as natal gender) and their experienced/expressed gender.</w:t>
      </w:r>
      <w:r w:rsidRPr="0028108F">
        <w:rPr>
          <w:rStyle w:val="FootnoteReference"/>
          <w:rFonts w:ascii="Arial" w:hAnsi="Arial" w:cs="Arial"/>
          <w:szCs w:val="24"/>
          <w:lang w:val="en-GB"/>
        </w:rPr>
        <w:footnoteReference w:id="65"/>
      </w:r>
      <w:r w:rsidRPr="0028108F">
        <w:rPr>
          <w:rFonts w:ascii="Arial" w:hAnsi="Arial" w:cs="Arial"/>
          <w:szCs w:val="24"/>
          <w:lang w:val="en-GB"/>
        </w:rPr>
        <w:t xml:space="preserve">  This discrepancy is considered as the core component of the diagnosis and there must also be evidence of distress about this incongruence.</w:t>
      </w:r>
      <w:r w:rsidRPr="0028108F">
        <w:rPr>
          <w:rStyle w:val="FootnoteReference"/>
          <w:rFonts w:ascii="Arial" w:hAnsi="Arial" w:cs="Arial"/>
          <w:szCs w:val="24"/>
          <w:lang w:val="en-GB"/>
        </w:rPr>
        <w:footnoteReference w:id="66"/>
      </w:r>
      <w:r w:rsidRPr="0028108F">
        <w:rPr>
          <w:rFonts w:ascii="Arial" w:hAnsi="Arial" w:cs="Arial"/>
          <w:szCs w:val="24"/>
          <w:lang w:val="en-GB"/>
        </w:rPr>
        <w:t xml:space="preserve">  It is also stated in DSM-5 that “</w:t>
      </w:r>
      <w:r w:rsidRPr="0028108F">
        <w:rPr>
          <w:rFonts w:ascii="Arial" w:hAnsi="Arial" w:cs="Arial"/>
          <w:i/>
          <w:szCs w:val="24"/>
          <w:lang w:val="en-GB"/>
        </w:rPr>
        <w:t>experienced gender may include alternative gender identities beyond binary stereotypes, thus the distress is not limited to a desire to simply be of the other gender, but may include a desire to be of an alternative gender, provided that it differs from the individual’s assigned gender.</w:t>
      </w:r>
      <w:r w:rsidRPr="0028108F">
        <w:rPr>
          <w:rFonts w:ascii="Arial" w:hAnsi="Arial" w:cs="Arial"/>
          <w:szCs w:val="24"/>
          <w:lang w:val="en-GB"/>
        </w:rPr>
        <w:t>”</w:t>
      </w:r>
      <w:r w:rsidRPr="0028108F">
        <w:rPr>
          <w:rStyle w:val="FootnoteReference"/>
          <w:rFonts w:ascii="Arial" w:hAnsi="Arial" w:cs="Arial"/>
          <w:szCs w:val="24"/>
          <w:lang w:val="en-GB"/>
        </w:rPr>
        <w:footnoteReference w:id="67"/>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Under DSM-5, the diagnostic criteria for gender dysphoria in children include:</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1418"/>
        </w:tabs>
        <w:snapToGrid w:val="0"/>
        <w:ind w:leftChars="295" w:left="1315" w:rightChars="271" w:right="650" w:hangingChars="253" w:hanging="607"/>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(A)</w:t>
      </w:r>
      <w:r w:rsidRPr="0028108F">
        <w:rPr>
          <w:rFonts w:ascii="Arial" w:hAnsi="Arial" w:cs="Arial"/>
          <w:i/>
          <w:szCs w:val="24"/>
          <w:lang w:val="en-GB"/>
        </w:rPr>
        <w:tab/>
        <w:t xml:space="preserve">A marked incongruence between one’s experienced/expressed gender and assigned gender, of at least 6 months’ duration, as manifested by at least six of the following (one of which must be Criterion A1): </w:t>
      </w:r>
    </w:p>
    <w:p w:rsidR="00915161" w:rsidRPr="0028108F" w:rsidRDefault="00915161" w:rsidP="00DE5BD5">
      <w:pPr>
        <w:tabs>
          <w:tab w:val="left" w:pos="1418"/>
        </w:tabs>
        <w:ind w:leftChars="295" w:left="1315" w:rightChars="271" w:right="650" w:hangingChars="253" w:hanging="607"/>
        <w:jc w:val="both"/>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A strong desire to be of the other gender or an insistence that one is the other gender (or some alternative gender different from one’s assigned gender).</w:t>
      </w:r>
    </w:p>
    <w:p w:rsidR="00915161" w:rsidRPr="0028108F" w:rsidRDefault="00915161" w:rsidP="00DE5BD5">
      <w:pPr>
        <w:snapToGrid w:val="0"/>
        <w:ind w:left="1985" w:rightChars="271" w:right="650"/>
        <w:jc w:val="both"/>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In boys (assigned gender), a strong preference for cross-dressing or simulating female attire; or in girls (assigned gender), a strong preference for wearing only typical masculine clothing and a strong resistance to the wearing of typical feminine clothing.</w:t>
      </w:r>
    </w:p>
    <w:p w:rsidR="00915161" w:rsidRPr="0028108F" w:rsidRDefault="00915161" w:rsidP="00DE5BD5">
      <w:pPr>
        <w:snapToGrid w:val="0"/>
        <w:ind w:left="1985" w:rightChars="271" w:right="650"/>
        <w:jc w:val="both"/>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A strong preference for cross-gender roles in make-believe or fantasy play.</w:t>
      </w:r>
    </w:p>
    <w:p w:rsidR="00915161" w:rsidRPr="0028108F" w:rsidRDefault="00915161" w:rsidP="00DE5BD5">
      <w:pPr>
        <w:pStyle w:val="ListParagraph"/>
        <w:snapToGrid w:val="0"/>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A strong preference for the toys, games, or activities stereotypically used or engaged in by the other gender.</w:t>
      </w:r>
    </w:p>
    <w:p w:rsidR="00915161" w:rsidRPr="0028108F" w:rsidRDefault="00915161" w:rsidP="00DE5BD5">
      <w:pPr>
        <w:pStyle w:val="ListParagraph"/>
        <w:snapToGrid w:val="0"/>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A strong preference for playmates of the other gender.</w:t>
      </w:r>
    </w:p>
    <w:p w:rsidR="00915161" w:rsidRPr="0028108F" w:rsidRDefault="00915161" w:rsidP="00DE5BD5">
      <w:pPr>
        <w:pStyle w:val="ListParagraph"/>
        <w:snapToGrid w:val="0"/>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In boys (assigned gender), a strong rejection of typically masculine toys, games, and activities and a strong avoidance of rough-and-tumble play; or in girls (assigned gender), a strong rejection of typically feminine toys, games, and activities.</w:t>
      </w:r>
    </w:p>
    <w:p w:rsidR="00915161" w:rsidRPr="0028108F" w:rsidRDefault="00915161" w:rsidP="00DE5BD5">
      <w:pPr>
        <w:pStyle w:val="ListParagraph"/>
        <w:snapToGrid w:val="0"/>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A strong dislike of one’s sexual anatomy.</w:t>
      </w:r>
    </w:p>
    <w:p w:rsidR="00915161" w:rsidRPr="0028108F" w:rsidRDefault="00915161" w:rsidP="00DE5BD5">
      <w:pPr>
        <w:pStyle w:val="ListParagraph"/>
        <w:snapToGrid w:val="0"/>
        <w:rPr>
          <w:rFonts w:ascii="Arial" w:hAnsi="Arial" w:cs="Arial"/>
          <w:i/>
          <w:szCs w:val="24"/>
          <w:lang w:val="en-GB"/>
        </w:rPr>
      </w:pPr>
    </w:p>
    <w:p w:rsidR="00915161" w:rsidRPr="0028108F" w:rsidRDefault="00915161" w:rsidP="00DE5BD5">
      <w:pPr>
        <w:numPr>
          <w:ilvl w:val="0"/>
          <w:numId w:val="2"/>
        </w:numPr>
        <w:snapToGrid w:val="0"/>
        <w:ind w:left="1985" w:rightChars="271" w:right="650" w:hanging="567"/>
        <w:jc w:val="both"/>
        <w:rPr>
          <w:rFonts w:ascii="Arial" w:hAnsi="Arial" w:cs="Arial"/>
          <w:i/>
          <w:szCs w:val="24"/>
          <w:lang w:val="en-GB"/>
        </w:rPr>
      </w:pPr>
      <w:r w:rsidRPr="0028108F">
        <w:rPr>
          <w:rFonts w:ascii="Arial" w:hAnsi="Arial" w:cs="Arial"/>
          <w:i/>
          <w:szCs w:val="24"/>
          <w:lang w:val="en-GB"/>
        </w:rPr>
        <w:t>A strong desire for the primary and/or secondary sex characteristics that match one’s experienced gender.”</w:t>
      </w:r>
    </w:p>
    <w:p w:rsidR="00915161" w:rsidRPr="0028108F" w:rsidRDefault="00915161" w:rsidP="00DE5BD5">
      <w:pPr>
        <w:pStyle w:val="ListParagraph"/>
        <w:snapToGrid w:val="0"/>
        <w:rPr>
          <w:rFonts w:ascii="Arial" w:hAnsi="Arial" w:cs="Arial"/>
          <w:i/>
          <w:szCs w:val="24"/>
          <w:lang w:val="en-GB"/>
        </w:rPr>
      </w:pPr>
    </w:p>
    <w:p w:rsidR="00915161" w:rsidRPr="0028108F" w:rsidRDefault="00915161" w:rsidP="00DE5BD5">
      <w:pPr>
        <w:snapToGrid w:val="0"/>
        <w:ind w:leftChars="345" w:left="1315" w:rightChars="271" w:right="650" w:hangingChars="203" w:hanging="487"/>
        <w:jc w:val="both"/>
        <w:rPr>
          <w:rFonts w:ascii="Arial" w:hAnsi="Arial" w:cs="Arial"/>
          <w:i/>
          <w:szCs w:val="24"/>
          <w:lang w:val="en-GB"/>
        </w:rPr>
      </w:pPr>
      <w:r w:rsidRPr="0028108F">
        <w:rPr>
          <w:rFonts w:ascii="Arial" w:hAnsi="Arial" w:cs="Arial"/>
          <w:i/>
          <w:szCs w:val="24"/>
          <w:lang w:val="en-GB"/>
        </w:rPr>
        <w:t xml:space="preserve">(B) </w:t>
      </w:r>
      <w:r w:rsidRPr="0028108F">
        <w:rPr>
          <w:rFonts w:ascii="Arial" w:hAnsi="Arial" w:cs="Arial"/>
          <w:i/>
          <w:szCs w:val="24"/>
          <w:lang w:val="en-GB"/>
        </w:rPr>
        <w:tab/>
        <w:t>The condition is associated with clinically significant distress or impairment in social, school, or other important areas of functioning.”</w:t>
      </w:r>
      <w:r w:rsidRPr="0028108F">
        <w:rPr>
          <w:rStyle w:val="FootnoteReference"/>
          <w:rFonts w:ascii="Arial" w:hAnsi="Arial" w:cs="Arial"/>
          <w:szCs w:val="24"/>
          <w:lang w:val="en-GB"/>
        </w:rPr>
        <w:footnoteReference w:id="68"/>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Separately, the diagnostic criteria for gender dysphoria in adolescents and adults include: </w:t>
      </w:r>
    </w:p>
    <w:p w:rsidR="00915161" w:rsidRPr="0028108F" w:rsidRDefault="00915161" w:rsidP="00DE5BD5">
      <w:pPr>
        <w:ind w:left="360"/>
        <w:jc w:val="both"/>
        <w:rPr>
          <w:rFonts w:ascii="Arial" w:hAnsi="Arial" w:cs="Arial"/>
          <w:szCs w:val="24"/>
          <w:lang w:val="en-GB"/>
        </w:rPr>
      </w:pPr>
    </w:p>
    <w:p w:rsidR="00915161" w:rsidRPr="0028108F" w:rsidRDefault="00915161" w:rsidP="00DE5BD5">
      <w:pPr>
        <w:snapToGrid w:val="0"/>
        <w:ind w:left="1418" w:rightChars="271" w:right="650" w:hanging="709"/>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(A)</w:t>
      </w:r>
      <w:r w:rsidRPr="0028108F">
        <w:rPr>
          <w:rFonts w:ascii="Arial" w:hAnsi="Arial" w:cs="Arial"/>
          <w:i/>
          <w:szCs w:val="24"/>
          <w:lang w:val="en-GB"/>
        </w:rPr>
        <w:tab/>
        <w:t>A marked incongruence between one’s experienced/expressed gender and assigned gender, of at least 6 months’ duration, as manifested by at least two of the following:</w:t>
      </w:r>
    </w:p>
    <w:p w:rsidR="00915161" w:rsidRPr="0028108F" w:rsidRDefault="00915161" w:rsidP="00DE5BD5">
      <w:pPr>
        <w:snapToGrid w:val="0"/>
        <w:ind w:left="709" w:rightChars="271" w:right="650"/>
        <w:jc w:val="both"/>
        <w:rPr>
          <w:rFonts w:ascii="Arial" w:hAnsi="Arial" w:cs="Arial"/>
          <w:i/>
          <w:szCs w:val="24"/>
          <w:lang w:val="en-GB"/>
        </w:rPr>
      </w:pPr>
    </w:p>
    <w:p w:rsidR="00915161" w:rsidRPr="0028108F" w:rsidRDefault="00915161" w:rsidP="00DE5BD5">
      <w:pPr>
        <w:numPr>
          <w:ilvl w:val="0"/>
          <w:numId w:val="1"/>
        </w:numPr>
        <w:snapToGrid w:val="0"/>
        <w:spacing w:afterLines="50" w:after="180"/>
        <w:ind w:left="1843" w:rightChars="271" w:right="650" w:hanging="425"/>
        <w:jc w:val="both"/>
        <w:rPr>
          <w:rFonts w:ascii="Arial" w:hAnsi="Arial" w:cs="Arial"/>
          <w:i/>
          <w:szCs w:val="24"/>
          <w:lang w:val="en-GB"/>
        </w:rPr>
      </w:pPr>
      <w:r w:rsidRPr="0028108F">
        <w:rPr>
          <w:rFonts w:ascii="Arial" w:hAnsi="Arial" w:cs="Arial"/>
          <w:i/>
          <w:szCs w:val="24"/>
          <w:lang w:val="en-GB"/>
        </w:rPr>
        <w:t>A marked incongruence between one’s experienced/expressed gender and primary and/or secondary sex characteristics (or in young adolescents, the anticipated secondary sex characteristics).</w:t>
      </w:r>
    </w:p>
    <w:p w:rsidR="00915161" w:rsidRPr="0028108F" w:rsidRDefault="00915161" w:rsidP="00DE5BD5">
      <w:pPr>
        <w:numPr>
          <w:ilvl w:val="0"/>
          <w:numId w:val="1"/>
        </w:numPr>
        <w:snapToGrid w:val="0"/>
        <w:spacing w:afterLines="50" w:after="180"/>
        <w:ind w:left="1843" w:rightChars="271" w:right="650" w:hanging="425"/>
        <w:jc w:val="both"/>
        <w:rPr>
          <w:rFonts w:ascii="Arial" w:hAnsi="Arial" w:cs="Arial"/>
          <w:i/>
          <w:szCs w:val="24"/>
          <w:lang w:val="en-GB"/>
        </w:rPr>
      </w:pPr>
      <w:r w:rsidRPr="0028108F">
        <w:rPr>
          <w:rFonts w:ascii="Arial" w:hAnsi="Arial" w:cs="Arial"/>
          <w:i/>
          <w:szCs w:val="24"/>
          <w:lang w:val="en-GB"/>
        </w:rPr>
        <w:t xml:space="preserve">A strong desire to be rid of one’s primary and/or secondary sex characteristics because of a marked incongruence with one’s experienced/expressed </w:t>
      </w:r>
      <w:r w:rsidRPr="0028108F">
        <w:rPr>
          <w:rFonts w:ascii="Arial" w:hAnsi="Arial" w:cs="Arial"/>
          <w:i/>
          <w:szCs w:val="24"/>
          <w:lang w:val="en-GB"/>
        </w:rPr>
        <w:lastRenderedPageBreak/>
        <w:t>gender (or in young adolescents, a desire to prevent the development of the anticipated secondary sex characteristics).</w:t>
      </w:r>
    </w:p>
    <w:p w:rsidR="00915161" w:rsidRPr="0028108F" w:rsidRDefault="00915161" w:rsidP="00DE5BD5">
      <w:pPr>
        <w:numPr>
          <w:ilvl w:val="0"/>
          <w:numId w:val="1"/>
        </w:numPr>
        <w:snapToGrid w:val="0"/>
        <w:spacing w:afterLines="50" w:after="180"/>
        <w:ind w:left="1843" w:rightChars="271" w:right="650" w:hanging="425"/>
        <w:jc w:val="both"/>
        <w:rPr>
          <w:rFonts w:ascii="Arial" w:hAnsi="Arial" w:cs="Arial"/>
          <w:i/>
          <w:szCs w:val="24"/>
          <w:lang w:val="en-GB"/>
        </w:rPr>
      </w:pPr>
      <w:r w:rsidRPr="0028108F">
        <w:rPr>
          <w:rFonts w:ascii="Arial" w:hAnsi="Arial" w:cs="Arial"/>
          <w:i/>
          <w:szCs w:val="24"/>
          <w:lang w:val="en-GB"/>
        </w:rPr>
        <w:t>A strong desire for the primary and/or secondary sex characteristics of the other gender.</w:t>
      </w:r>
    </w:p>
    <w:p w:rsidR="00915161" w:rsidRPr="0028108F" w:rsidRDefault="00915161" w:rsidP="00DE5BD5">
      <w:pPr>
        <w:numPr>
          <w:ilvl w:val="0"/>
          <w:numId w:val="1"/>
        </w:numPr>
        <w:snapToGrid w:val="0"/>
        <w:spacing w:afterLines="50" w:after="180"/>
        <w:ind w:left="1843" w:rightChars="271" w:right="650" w:hanging="425"/>
        <w:jc w:val="both"/>
        <w:rPr>
          <w:rFonts w:ascii="Arial" w:hAnsi="Arial" w:cs="Arial"/>
          <w:i/>
          <w:szCs w:val="24"/>
          <w:lang w:val="en-GB"/>
        </w:rPr>
      </w:pPr>
      <w:r w:rsidRPr="0028108F">
        <w:rPr>
          <w:rFonts w:ascii="Arial" w:hAnsi="Arial" w:cs="Arial"/>
          <w:i/>
          <w:szCs w:val="24"/>
          <w:lang w:val="en-GB"/>
        </w:rPr>
        <w:t>A strong desire to be of the other gender (or some alternative gender different from one’s assigned gender).</w:t>
      </w:r>
    </w:p>
    <w:p w:rsidR="00915161" w:rsidRPr="0028108F" w:rsidRDefault="00915161" w:rsidP="00DE5BD5">
      <w:pPr>
        <w:numPr>
          <w:ilvl w:val="0"/>
          <w:numId w:val="1"/>
        </w:numPr>
        <w:snapToGrid w:val="0"/>
        <w:spacing w:afterLines="50" w:after="180"/>
        <w:ind w:left="1843" w:rightChars="271" w:right="650" w:hanging="425"/>
        <w:jc w:val="both"/>
        <w:rPr>
          <w:rFonts w:ascii="Arial" w:hAnsi="Arial" w:cs="Arial"/>
          <w:i/>
          <w:szCs w:val="24"/>
          <w:lang w:val="en-GB"/>
        </w:rPr>
      </w:pPr>
      <w:r w:rsidRPr="0028108F">
        <w:rPr>
          <w:rFonts w:ascii="Arial" w:hAnsi="Arial" w:cs="Arial"/>
          <w:i/>
          <w:szCs w:val="24"/>
          <w:lang w:val="en-GB"/>
        </w:rPr>
        <w:t>A strong desire to be treated as the other gender (or some alternative gender different from one’s assigned gender).</w:t>
      </w:r>
    </w:p>
    <w:p w:rsidR="00915161" w:rsidRPr="0028108F" w:rsidRDefault="00915161" w:rsidP="00DE5BD5">
      <w:pPr>
        <w:numPr>
          <w:ilvl w:val="0"/>
          <w:numId w:val="1"/>
        </w:numPr>
        <w:snapToGrid w:val="0"/>
        <w:ind w:left="1843" w:rightChars="271" w:right="650" w:hanging="425"/>
        <w:jc w:val="both"/>
        <w:rPr>
          <w:rFonts w:ascii="Arial" w:hAnsi="Arial" w:cs="Arial"/>
          <w:i/>
          <w:szCs w:val="24"/>
          <w:lang w:val="en-GB"/>
        </w:rPr>
      </w:pPr>
      <w:r w:rsidRPr="0028108F">
        <w:rPr>
          <w:rFonts w:ascii="Arial" w:hAnsi="Arial" w:cs="Arial"/>
          <w:i/>
          <w:szCs w:val="24"/>
          <w:lang w:val="en-GB"/>
        </w:rPr>
        <w:t>A strong conviction that one has the typical feelings and reactions of the other gender (or some alternative gender different from one’s assigned gender).</w:t>
      </w:r>
    </w:p>
    <w:p w:rsidR="00915161" w:rsidRPr="0028108F" w:rsidRDefault="00915161" w:rsidP="00DE5BD5">
      <w:pPr>
        <w:pStyle w:val="ListParagraph"/>
        <w:snapToGrid w:val="0"/>
        <w:ind w:rightChars="271" w:right="650"/>
        <w:rPr>
          <w:rFonts w:ascii="Arial" w:hAnsi="Arial" w:cs="Arial"/>
          <w:b/>
          <w:i/>
          <w:szCs w:val="24"/>
          <w:lang w:val="en-GB"/>
        </w:rPr>
      </w:pPr>
    </w:p>
    <w:p w:rsidR="00915161" w:rsidRPr="0028108F" w:rsidRDefault="00915161" w:rsidP="00DE5BD5">
      <w:pPr>
        <w:snapToGrid w:val="0"/>
        <w:ind w:left="1418" w:rightChars="271" w:right="650" w:hanging="709"/>
        <w:jc w:val="both"/>
        <w:rPr>
          <w:rFonts w:ascii="Arial" w:hAnsi="Arial" w:cs="Arial"/>
          <w:szCs w:val="24"/>
          <w:lang w:val="en-GB"/>
        </w:rPr>
      </w:pPr>
      <w:r w:rsidRPr="0028108F">
        <w:rPr>
          <w:rFonts w:ascii="Arial" w:hAnsi="Arial" w:cs="Arial"/>
          <w:i/>
          <w:szCs w:val="24"/>
          <w:lang w:val="en-GB"/>
        </w:rPr>
        <w:t>(B)</w:t>
      </w:r>
      <w:r w:rsidRPr="0028108F">
        <w:rPr>
          <w:rFonts w:ascii="Arial" w:hAnsi="Arial" w:cs="Arial"/>
          <w:i/>
          <w:szCs w:val="24"/>
          <w:lang w:val="en-GB"/>
        </w:rPr>
        <w:tab/>
        <w:t>The condition is associated with clinically significant distress or impairment in social, occupational, or other important areas of functioning.</w:t>
      </w:r>
      <w:r w:rsidRPr="0028108F">
        <w:rPr>
          <w:rFonts w:ascii="Arial" w:hAnsi="Arial" w:cs="Arial"/>
          <w:szCs w:val="24"/>
          <w:lang w:val="en-GB"/>
        </w:rPr>
        <w:t>”</w:t>
      </w:r>
      <w:r w:rsidRPr="0028108F">
        <w:rPr>
          <w:rStyle w:val="FootnoteReference"/>
          <w:rFonts w:ascii="Arial" w:hAnsi="Arial" w:cs="Arial"/>
          <w:szCs w:val="24"/>
          <w:lang w:val="en-GB"/>
        </w:rPr>
        <w:footnoteReference w:id="69"/>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i/>
          <w:szCs w:val="24"/>
          <w:lang w:val="en-GB"/>
        </w:rPr>
      </w:pPr>
      <w:r w:rsidRPr="0028108F">
        <w:rPr>
          <w:rFonts w:ascii="Arial" w:hAnsi="Arial" w:cs="Arial"/>
          <w:b/>
          <w:i/>
          <w:szCs w:val="24"/>
          <w:lang w:val="en-GB"/>
        </w:rPr>
        <w:t>Non-surgical treatment, including psychological/psychiatric counselling and hormonal treatment</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CFA in </w:t>
      </w:r>
      <w:r w:rsidRPr="0028108F">
        <w:rPr>
          <w:rFonts w:ascii="Arial" w:hAnsi="Arial" w:cs="Arial"/>
          <w:i/>
          <w:szCs w:val="24"/>
          <w:lang w:val="en-GB"/>
        </w:rPr>
        <w:t>W</w:t>
      </w:r>
      <w:r w:rsidRPr="0028108F">
        <w:rPr>
          <w:rFonts w:ascii="Arial" w:hAnsi="Arial" w:cs="Arial"/>
          <w:szCs w:val="24"/>
          <w:lang w:val="en-GB"/>
        </w:rPr>
        <w:t>'s case stated that:</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r w:rsidRPr="0028108F">
        <w:rPr>
          <w:rFonts w:ascii="Arial" w:hAnsi="Arial" w:cs="Arial"/>
          <w:i/>
          <w:kern w:val="0"/>
          <w:szCs w:val="24"/>
          <w:lang w:val="en-GB"/>
        </w:rPr>
        <w:t xml:space="preserve">“It is now well </w:t>
      </w:r>
      <w:r w:rsidRPr="0028108F">
        <w:rPr>
          <w:rFonts w:ascii="Arial" w:hAnsi="Arial" w:cs="Arial"/>
          <w:i/>
          <w:szCs w:val="24"/>
          <w:lang w:val="en-GB"/>
        </w:rPr>
        <w:t>established</w:t>
      </w:r>
      <w:r w:rsidRPr="0028108F">
        <w:rPr>
          <w:rFonts w:ascii="Arial" w:hAnsi="Arial" w:cs="Arial"/>
          <w:i/>
          <w:kern w:val="0"/>
          <w:szCs w:val="24"/>
          <w:lang w:val="en-GB"/>
        </w:rPr>
        <w:t xml:space="preserve"> that transsexualism is a condition requiring medical treatment. … </w:t>
      </w: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r w:rsidRPr="0028108F">
        <w:rPr>
          <w:rFonts w:ascii="Arial" w:hAnsi="Arial" w:cs="Arial"/>
          <w:i/>
          <w:kern w:val="0"/>
          <w:szCs w:val="24"/>
          <w:lang w:val="en-GB"/>
        </w:rPr>
        <w:t xml:space="preserve">It is generally recognised that transsexualism does not respond to psychological or psychiatric treatment.  The only accepted therapy involves effecting hormonal and surgical changes to make the patient's body conform sexually as closely as possible with his or her self-perception and thus to address his or her psychological needs. … </w:t>
      </w: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r w:rsidRPr="0028108F">
        <w:rPr>
          <w:rFonts w:ascii="Arial" w:hAnsi="Arial" w:cs="Arial"/>
          <w:i/>
          <w:kern w:val="0"/>
          <w:szCs w:val="24"/>
          <w:lang w:val="en-GB"/>
        </w:rPr>
        <w:t>[T]he management of persons with the relevant symptoms begins with a full psychiatric assessment.  If the diagnosis of gender identity disorder is confirmed, the patient is usually required to go through a ‘Real Life Experience’, living in the preferred gender for about two years while having hormones of the opposite sex administered to produce reversible physical changes in the body and to ease the patient's psychological discomfort.  If it appears from this process that the patient can successfully live as a person of the opposite sex, he or she is considered medically eligible for sex reassignment surgery (</w:t>
      </w:r>
      <w:r w:rsidR="008161D7">
        <w:rPr>
          <w:rFonts w:ascii="Arial" w:hAnsi="Arial" w:cs="Arial"/>
          <w:i/>
          <w:kern w:val="0"/>
          <w:szCs w:val="24"/>
          <w:lang w:val="en-GB"/>
        </w:rPr>
        <w:t>“</w:t>
      </w:r>
      <w:r w:rsidRPr="0028108F">
        <w:rPr>
          <w:rFonts w:ascii="Arial" w:hAnsi="Arial" w:cs="Arial"/>
          <w:i/>
          <w:kern w:val="0"/>
          <w:szCs w:val="24"/>
          <w:lang w:val="en-GB"/>
        </w:rPr>
        <w:t>SRS</w:t>
      </w:r>
      <w:r w:rsidR="008161D7">
        <w:rPr>
          <w:rFonts w:ascii="Arial" w:hAnsi="Arial" w:cs="Arial"/>
          <w:i/>
          <w:kern w:val="0"/>
          <w:szCs w:val="24"/>
          <w:lang w:val="en-GB"/>
        </w:rPr>
        <w:t>”</w:t>
      </w:r>
      <w:r w:rsidRPr="0028108F">
        <w:rPr>
          <w:rFonts w:ascii="Arial" w:hAnsi="Arial" w:cs="Arial"/>
          <w:i/>
          <w:kern w:val="0"/>
          <w:szCs w:val="24"/>
          <w:lang w:val="en-GB"/>
        </w:rPr>
        <w:t>).</w:t>
      </w:r>
      <w:r w:rsidRPr="0028108F">
        <w:rPr>
          <w:rFonts w:ascii="Arial" w:hAnsi="Arial" w:cs="Arial"/>
          <w:i/>
          <w:szCs w:val="24"/>
          <w:lang w:val="en-GB"/>
        </w:rPr>
        <w:t>”</w:t>
      </w:r>
      <w:r w:rsidRPr="0028108F">
        <w:rPr>
          <w:rStyle w:val="FootnoteReference"/>
          <w:rFonts w:ascii="Arial" w:hAnsi="Arial" w:cs="Arial"/>
          <w:szCs w:val="24"/>
          <w:lang w:val="en-GB"/>
        </w:rPr>
        <w:footnoteReference w:id="70"/>
      </w:r>
      <w:r w:rsidRPr="0028108F">
        <w:rPr>
          <w:rFonts w:ascii="Arial" w:hAnsi="Arial" w:cs="Arial"/>
          <w:szCs w:val="24"/>
          <w:lang w:val="en-GB"/>
        </w:rPr>
        <w:t xml:space="preserve">  </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Medical facilities for treating persons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were first established in Hong Kong in 1980, with the first documented instance of SRS performed locally </w:t>
      </w:r>
      <w:r w:rsidR="00852B57" w:rsidRPr="0028108F">
        <w:rPr>
          <w:rFonts w:ascii="Arial" w:hAnsi="Arial" w:cs="Arial"/>
          <w:szCs w:val="24"/>
          <w:lang w:val="en-GB"/>
        </w:rPr>
        <w:t xml:space="preserve">occurring </w:t>
      </w:r>
      <w:r w:rsidRPr="0028108F">
        <w:rPr>
          <w:rFonts w:ascii="Arial" w:hAnsi="Arial" w:cs="Arial"/>
          <w:szCs w:val="24"/>
          <w:lang w:val="en-GB"/>
        </w:rPr>
        <w:t>in 1981.</w:t>
      </w:r>
      <w:r w:rsidRPr="0028108F">
        <w:rPr>
          <w:rFonts w:ascii="Arial" w:hAnsi="Arial" w:cs="Arial"/>
          <w:vertAlign w:val="superscript"/>
          <w:lang w:val="en-GB"/>
        </w:rPr>
        <w:footnoteReference w:id="71"/>
      </w:r>
      <w:r w:rsidRPr="0028108F">
        <w:rPr>
          <w:rFonts w:ascii="Arial" w:hAnsi="Arial" w:cs="Arial"/>
          <w:szCs w:val="24"/>
          <w:lang w:val="en-GB"/>
        </w:rPr>
        <w:t xml:space="preserve">  The HA has observed that more </w:t>
      </w:r>
      <w:r w:rsidR="002D2609" w:rsidRPr="0028108F">
        <w:rPr>
          <w:rFonts w:ascii="Arial" w:hAnsi="Arial" w:cs="Arial"/>
          <w:szCs w:val="24"/>
          <w:lang w:val="en-GB"/>
        </w:rPr>
        <w:t>p</w:t>
      </w:r>
      <w:r w:rsidR="002D2609">
        <w:rPr>
          <w:rFonts w:ascii="Arial" w:hAnsi="Arial" w:cs="Arial" w:hint="eastAsia"/>
          <w:szCs w:val="24"/>
          <w:lang w:val="en-GB"/>
        </w:rPr>
        <w:t>eople</w:t>
      </w:r>
      <w:r w:rsidR="002D2609" w:rsidRPr="0028108F">
        <w:rPr>
          <w:rFonts w:ascii="Arial" w:hAnsi="Arial" w:cs="Arial"/>
          <w:szCs w:val="24"/>
          <w:lang w:val="en-GB"/>
        </w:rPr>
        <w:t xml:space="preserve"> </w:t>
      </w:r>
      <w:r w:rsidRPr="0028108F">
        <w:rPr>
          <w:rFonts w:ascii="Arial" w:hAnsi="Arial" w:cs="Arial"/>
          <w:szCs w:val="24"/>
          <w:lang w:val="en-GB"/>
        </w:rPr>
        <w:t xml:space="preserve">are now seeking help for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in Hong Kong, as reflected in the increasing number of </w:t>
      </w:r>
      <w:r w:rsidR="002D2609">
        <w:rPr>
          <w:rFonts w:ascii="Arial" w:hAnsi="Arial" w:cs="Arial" w:hint="eastAsia"/>
          <w:szCs w:val="24"/>
          <w:lang w:val="en-GB"/>
        </w:rPr>
        <w:t>such people</w:t>
      </w:r>
      <w:r w:rsidR="002D2609" w:rsidRPr="0028108F">
        <w:rPr>
          <w:rFonts w:ascii="Arial" w:hAnsi="Arial" w:cs="Arial"/>
          <w:szCs w:val="24"/>
          <w:lang w:val="en-GB"/>
        </w:rPr>
        <w:t xml:space="preserve"> </w:t>
      </w:r>
      <w:r w:rsidRPr="0028108F">
        <w:rPr>
          <w:rFonts w:ascii="Arial" w:hAnsi="Arial" w:cs="Arial"/>
          <w:szCs w:val="24"/>
          <w:lang w:val="en-GB"/>
        </w:rPr>
        <w:t>attending the Specialist Outpatient Clinics (</w:t>
      </w:r>
      <w:r w:rsidR="006F091F">
        <w:rPr>
          <w:rFonts w:ascii="Arial" w:hAnsi="Arial" w:cs="Arial"/>
          <w:szCs w:val="24"/>
          <w:lang w:val="en-GB"/>
        </w:rPr>
        <w:t>“</w:t>
      </w:r>
      <w:r w:rsidRPr="008813DE">
        <w:rPr>
          <w:rFonts w:ascii="Arial" w:hAnsi="Arial" w:cs="Arial"/>
          <w:i/>
          <w:szCs w:val="24"/>
          <w:lang w:val="en-GB"/>
        </w:rPr>
        <w:t>SOPCs</w:t>
      </w:r>
      <w:r w:rsidR="006F091F">
        <w:rPr>
          <w:rFonts w:ascii="Arial" w:hAnsi="Arial" w:cs="Arial"/>
          <w:szCs w:val="24"/>
          <w:lang w:val="en-GB"/>
        </w:rPr>
        <w:t>”</w:t>
      </w:r>
      <w:r w:rsidRPr="0028108F">
        <w:rPr>
          <w:rFonts w:ascii="Arial" w:hAnsi="Arial" w:cs="Arial"/>
          <w:szCs w:val="24"/>
          <w:lang w:val="en-GB"/>
        </w:rPr>
        <w:t xml:space="preserve">) under HA for counselling service.  It was noted that the number of </w:t>
      </w:r>
      <w:r w:rsidR="002D2609">
        <w:rPr>
          <w:rFonts w:ascii="Arial" w:hAnsi="Arial" w:cs="Arial" w:hint="eastAsia"/>
          <w:szCs w:val="24"/>
          <w:lang w:val="en-GB"/>
        </w:rPr>
        <w:t>people</w:t>
      </w:r>
      <w:r w:rsidR="002D2609" w:rsidRPr="0028108F">
        <w:rPr>
          <w:rFonts w:ascii="Arial" w:hAnsi="Arial" w:cs="Arial"/>
          <w:szCs w:val="24"/>
          <w:lang w:val="en-GB"/>
        </w:rPr>
        <w:t xml:space="preserve"> </w:t>
      </w:r>
      <w:r w:rsidRPr="0028108F">
        <w:rPr>
          <w:rFonts w:ascii="Arial" w:hAnsi="Arial" w:cs="Arial"/>
          <w:szCs w:val="24"/>
          <w:lang w:val="en-GB"/>
        </w:rPr>
        <w:t>being followed up by psychiatric specialist services increased from 45 in 2009/10 to 133 in 2014/15.</w:t>
      </w:r>
      <w:r w:rsidRPr="0028108F">
        <w:rPr>
          <w:rFonts w:ascii="Arial" w:hAnsi="Arial" w:cs="Arial"/>
          <w:vertAlign w:val="superscript"/>
          <w:lang w:val="en-GB"/>
        </w:rPr>
        <w:footnoteReference w:id="72"/>
      </w:r>
      <w:r w:rsidRPr="0028108F">
        <w:rPr>
          <w:rFonts w:ascii="Arial" w:hAnsi="Arial" w:cs="Arial"/>
          <w:szCs w:val="24"/>
          <w:lang w:val="en-GB"/>
        </w:rPr>
        <w:t xml:space="preserve">  Amongst these </w:t>
      </w:r>
      <w:r w:rsidR="002D2609">
        <w:rPr>
          <w:rFonts w:ascii="Arial" w:hAnsi="Arial" w:cs="Arial" w:hint="eastAsia"/>
          <w:szCs w:val="24"/>
          <w:lang w:val="en-GB"/>
        </w:rPr>
        <w:t>people</w:t>
      </w:r>
      <w:r w:rsidRPr="0028108F">
        <w:rPr>
          <w:rFonts w:ascii="Arial" w:hAnsi="Arial" w:cs="Arial"/>
          <w:szCs w:val="24"/>
          <w:lang w:val="en-GB"/>
        </w:rPr>
        <w:t xml:space="preserve">, the number diagnosed with transsexualism also increased, from 34 to 70 in the same period.  A retrospective analysis of all </w:t>
      </w:r>
      <w:r w:rsidR="002D2609">
        <w:rPr>
          <w:rFonts w:ascii="Arial" w:hAnsi="Arial" w:cs="Arial" w:hint="eastAsia"/>
          <w:szCs w:val="24"/>
          <w:lang w:val="en-GB"/>
        </w:rPr>
        <w:t xml:space="preserve">people experiencing </w:t>
      </w:r>
      <w:r w:rsidR="00334997" w:rsidRPr="0028108F">
        <w:rPr>
          <w:rFonts w:ascii="Arial" w:hAnsi="Arial" w:cs="Arial"/>
          <w:szCs w:val="24"/>
          <w:lang w:val="en-GB"/>
        </w:rPr>
        <w:t>gender identity disorder</w:t>
      </w:r>
      <w:r w:rsidRPr="0028108F">
        <w:rPr>
          <w:rFonts w:ascii="Arial" w:hAnsi="Arial" w:cs="Arial"/>
          <w:szCs w:val="24"/>
          <w:lang w:val="en-GB"/>
        </w:rPr>
        <w:t xml:space="preserve">/gender dysphoria under HA Psychiatric Clinics from 1 January 2010 to 31 December 2011 was conducted in 2014, wherein 80 patients’ clinical notes were reviewed.  Of these 80 patients, 62 indicated preference for SRS of different forms, 11 had no record of SRS preference and 7 did not prefer SRS.  For the 7 patients not preferring SRS, psychotherapy only </w:t>
      </w:r>
      <w:r w:rsidR="00104B44" w:rsidRPr="0028108F">
        <w:rPr>
          <w:rFonts w:ascii="Arial" w:hAnsi="Arial" w:cs="Arial"/>
          <w:szCs w:val="24"/>
          <w:lang w:val="en-GB"/>
        </w:rPr>
        <w:t xml:space="preserve">was </w:t>
      </w:r>
      <w:r w:rsidRPr="0028108F">
        <w:rPr>
          <w:rFonts w:ascii="Arial" w:hAnsi="Arial" w:cs="Arial"/>
          <w:szCs w:val="24"/>
          <w:lang w:val="en-GB"/>
        </w:rPr>
        <w:t xml:space="preserve">needed to manage their distress.  Of the 62 patients indicating preference for SRS, 50 have received or will receive SRS of different forms.  These 50 patients </w:t>
      </w:r>
      <w:r w:rsidR="00626EBA">
        <w:rPr>
          <w:rFonts w:ascii="Arial" w:hAnsi="Arial" w:cs="Arial" w:hint="eastAsia"/>
          <w:szCs w:val="24"/>
          <w:lang w:val="en-GB"/>
        </w:rPr>
        <w:t>experienced</w:t>
      </w:r>
      <w:r w:rsidRPr="0028108F">
        <w:rPr>
          <w:rFonts w:ascii="Arial" w:hAnsi="Arial" w:cs="Arial"/>
          <w:szCs w:val="24"/>
          <w:lang w:val="en-GB"/>
        </w:rPr>
        <w:t xml:space="preserve"> the “</w:t>
      </w:r>
      <w:r w:rsidRPr="0028108F">
        <w:rPr>
          <w:rFonts w:ascii="Arial" w:hAnsi="Arial" w:cs="Arial"/>
          <w:i/>
          <w:szCs w:val="24"/>
          <w:lang w:val="en-GB"/>
        </w:rPr>
        <w:t>severe</w:t>
      </w:r>
      <w:r w:rsidRPr="0028108F">
        <w:rPr>
          <w:rFonts w:ascii="Arial" w:hAnsi="Arial" w:cs="Arial"/>
          <w:szCs w:val="24"/>
          <w:lang w:val="en-GB"/>
        </w:rPr>
        <w:t xml:space="preserve">” form of </w:t>
      </w:r>
      <w:r w:rsidR="00334997" w:rsidRPr="0028108F">
        <w:rPr>
          <w:rFonts w:ascii="Arial" w:hAnsi="Arial" w:cs="Arial"/>
          <w:szCs w:val="24"/>
          <w:lang w:val="en-GB"/>
        </w:rPr>
        <w:t>gender identity disorder</w:t>
      </w:r>
      <w:r w:rsidRPr="0028108F">
        <w:rPr>
          <w:rFonts w:ascii="Arial" w:hAnsi="Arial" w:cs="Arial"/>
          <w:szCs w:val="24"/>
          <w:lang w:val="en-GB"/>
        </w:rPr>
        <w:t xml:space="preserve">/gender dysphoria, </w:t>
      </w:r>
      <w:r w:rsidR="00D6311F" w:rsidRPr="0028108F">
        <w:rPr>
          <w:rFonts w:ascii="Arial" w:hAnsi="Arial" w:cs="Arial"/>
          <w:szCs w:val="24"/>
          <w:lang w:val="en-GB"/>
        </w:rPr>
        <w:t>ie</w:t>
      </w:r>
      <w:r w:rsidRPr="0028108F">
        <w:rPr>
          <w:rFonts w:ascii="Arial" w:hAnsi="Arial" w:cs="Arial"/>
          <w:szCs w:val="24"/>
          <w:lang w:val="en-GB"/>
        </w:rPr>
        <w:t>, Transsexualism (</w:t>
      </w:r>
      <w:r w:rsidRPr="0028108F">
        <w:rPr>
          <w:rFonts w:ascii="Arial" w:hAnsi="Arial" w:cs="Arial"/>
          <w:szCs w:val="24"/>
          <w:lang w:val="en-GB"/>
        </w:rPr>
        <w:t>易性症</w:t>
      </w:r>
      <w:r w:rsidRPr="0028108F">
        <w:rPr>
          <w:rFonts w:ascii="Arial" w:hAnsi="Arial" w:cs="Arial"/>
          <w:szCs w:val="24"/>
          <w:lang w:val="en-GB"/>
        </w:rPr>
        <w:t xml:space="preserve">), in that they have strong desire to undergo transition to a sex other than that assigned at birth typically through hormones and surgery.  The HA estimated that around 30 new cases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would be referred for psychiatric assessment per year, and that around one in 10 of these would require assessment for SRS.  According to the HA, </w:t>
      </w:r>
      <w:r w:rsidRPr="0028108F">
        <w:rPr>
          <w:rFonts w:ascii="Arial" w:eastAsia="新細明體" w:hAnsi="Arial" w:cs="Arial"/>
          <w:szCs w:val="24"/>
          <w:lang w:val="en-GB"/>
        </w:rPr>
        <w:t xml:space="preserve">the number of </w:t>
      </w:r>
      <w:r w:rsidR="00334997" w:rsidRPr="0028108F">
        <w:rPr>
          <w:rFonts w:ascii="Arial" w:eastAsia="新細明體" w:hAnsi="Arial" w:cs="Arial"/>
          <w:szCs w:val="24"/>
          <w:lang w:val="en-GB"/>
        </w:rPr>
        <w:t>gender identity disorder</w:t>
      </w:r>
      <w:r w:rsidRPr="0028108F">
        <w:rPr>
          <w:rFonts w:ascii="Arial" w:hAnsi="Arial" w:cs="Arial"/>
          <w:szCs w:val="24"/>
          <w:lang w:val="en-GB"/>
        </w:rPr>
        <w:t>/gender dysphoria</w:t>
      </w:r>
      <w:r w:rsidRPr="0028108F">
        <w:rPr>
          <w:rFonts w:ascii="Arial" w:eastAsia="新細明體" w:hAnsi="Arial" w:cs="Arial"/>
          <w:szCs w:val="24"/>
          <w:lang w:val="en-GB"/>
        </w:rPr>
        <w:t xml:space="preserve"> patients who underwent partial or full SRS in each of the five years </w:t>
      </w:r>
      <w:r w:rsidRPr="0028108F">
        <w:rPr>
          <w:rFonts w:ascii="Arial" w:hAnsi="Arial" w:cs="Arial"/>
          <w:szCs w:val="24"/>
          <w:lang w:val="en-GB"/>
        </w:rPr>
        <w:t>from 2010/11 to 2014/15 is, respectively, 4, 2, 6, 12 and 16</w:t>
      </w:r>
      <w:r w:rsidRPr="0028108F">
        <w:rPr>
          <w:rFonts w:ascii="Arial" w:eastAsia="新細明體" w:hAnsi="Arial" w:cs="Arial"/>
          <w:szCs w:val="24"/>
          <w:lang w:val="en-GB"/>
        </w:rPr>
        <w:t>.</w:t>
      </w:r>
      <w:r w:rsidRPr="0028108F">
        <w:rPr>
          <w:rStyle w:val="FootnoteReference"/>
          <w:rFonts w:ascii="Arial" w:hAnsi="Arial" w:cs="Arial"/>
          <w:szCs w:val="24"/>
          <w:lang w:val="en-GB"/>
        </w:rPr>
        <w:footnoteReference w:id="73"/>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In Hong Kong, the HA provides preliminary assessment and medical services for people with </w:t>
      </w:r>
      <w:r w:rsidR="00334997" w:rsidRPr="0028108F">
        <w:rPr>
          <w:rFonts w:ascii="Arial" w:hAnsi="Arial" w:cs="Arial"/>
          <w:szCs w:val="24"/>
          <w:lang w:val="en-GB"/>
        </w:rPr>
        <w:t>gender identity disorder</w:t>
      </w:r>
      <w:r w:rsidRPr="0028108F">
        <w:rPr>
          <w:rFonts w:ascii="Arial" w:hAnsi="Arial" w:cs="Arial"/>
          <w:szCs w:val="24"/>
          <w:lang w:val="en-GB"/>
        </w:rPr>
        <w:t xml:space="preserve">/gender dysphoria.  Any registered medical practitioner can refer patients with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to SOPCs under </w:t>
      </w:r>
      <w:r w:rsidR="00104B44" w:rsidRPr="0028108F">
        <w:rPr>
          <w:rFonts w:ascii="Arial" w:hAnsi="Arial" w:cs="Arial"/>
          <w:szCs w:val="24"/>
          <w:lang w:val="en-GB"/>
        </w:rPr>
        <w:t xml:space="preserve">the </w:t>
      </w:r>
      <w:r w:rsidRPr="0028108F">
        <w:rPr>
          <w:rFonts w:ascii="Arial" w:hAnsi="Arial" w:cs="Arial"/>
          <w:szCs w:val="24"/>
          <w:lang w:val="en-GB"/>
        </w:rPr>
        <w:t xml:space="preserve">HA in various clusters where a multi-disciplinary approach will be adopted in </w:t>
      </w:r>
      <w:r w:rsidR="00104B44" w:rsidRPr="0028108F">
        <w:rPr>
          <w:rFonts w:ascii="Arial" w:hAnsi="Arial" w:cs="Arial"/>
          <w:szCs w:val="24"/>
          <w:lang w:val="en-GB"/>
        </w:rPr>
        <w:t xml:space="preserve">the </w:t>
      </w:r>
      <w:r w:rsidRPr="0028108F">
        <w:rPr>
          <w:rFonts w:ascii="Arial" w:hAnsi="Arial" w:cs="Arial"/>
          <w:szCs w:val="24"/>
          <w:lang w:val="en-GB"/>
        </w:rPr>
        <w:t>provision of services</w:t>
      </w:r>
      <w:r w:rsidR="00104B44" w:rsidRPr="0028108F">
        <w:rPr>
          <w:rFonts w:ascii="Arial" w:hAnsi="Arial" w:cs="Arial"/>
          <w:szCs w:val="24"/>
          <w:lang w:val="en-GB"/>
        </w:rPr>
        <w:t>,</w:t>
      </w:r>
      <w:r w:rsidRPr="0028108F">
        <w:rPr>
          <w:rFonts w:ascii="Arial" w:hAnsi="Arial" w:cs="Arial"/>
          <w:szCs w:val="24"/>
          <w:lang w:val="en-GB"/>
        </w:rPr>
        <w:t xml:space="preserve"> with the coordination of care by psychiatrists, clinical psychologists, geneticists, endocrinologists, plastic surgeons, urologists, gynaecologists, social workers, etc.</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treatment process for patients referred from their registered medical practitioners to SOPCs normally begins with assessment and confirmation of the diagnosis by interviewing the patients and their family members or significant others.  The HA has put in place an established triage </w:t>
      </w:r>
      <w:r w:rsidRPr="0028108F">
        <w:rPr>
          <w:rFonts w:ascii="Arial" w:hAnsi="Arial" w:cs="Arial"/>
          <w:szCs w:val="24"/>
          <w:lang w:val="en-GB"/>
        </w:rPr>
        <w:lastRenderedPageBreak/>
        <w:t>system for new cases at the psychiatric SOPCs to ensure that patients with urgent healthcare needs are given medical attention within a reasonable time.</w:t>
      </w:r>
      <w:r w:rsidRPr="0028108F">
        <w:rPr>
          <w:rStyle w:val="FootnoteReference"/>
          <w:rFonts w:ascii="Arial" w:hAnsi="Arial" w:cs="Arial"/>
          <w:szCs w:val="24"/>
          <w:lang w:val="en-GB"/>
        </w:rPr>
        <w:footnoteReference w:id="74"/>
      </w:r>
      <w:r w:rsidRPr="0028108F">
        <w:rPr>
          <w:rFonts w:ascii="Arial" w:hAnsi="Arial" w:cs="Arial"/>
          <w:szCs w:val="24"/>
          <w:lang w:val="en-GB"/>
        </w:rPr>
        <w:t xml:space="preserve">  Patients will be provided with information and support, followed </w:t>
      </w:r>
      <w:r w:rsidR="00104B44" w:rsidRPr="0028108F">
        <w:rPr>
          <w:rFonts w:ascii="Arial" w:hAnsi="Arial" w:cs="Arial"/>
          <w:szCs w:val="24"/>
          <w:lang w:val="en-GB"/>
        </w:rPr>
        <w:t xml:space="preserve">by </w:t>
      </w:r>
      <w:r w:rsidRPr="0028108F">
        <w:rPr>
          <w:rFonts w:ascii="Arial" w:hAnsi="Arial" w:cs="Arial"/>
          <w:szCs w:val="24"/>
          <w:lang w:val="en-GB"/>
        </w:rPr>
        <w:t xml:space="preserve">discussion on treatment goals and options based on individual needs and reference to international guidelines, for example, the WPATH’s </w:t>
      </w:r>
      <w:r w:rsidRPr="0028108F">
        <w:rPr>
          <w:rFonts w:ascii="Arial" w:hAnsi="Arial" w:cs="Arial"/>
          <w:i/>
          <w:szCs w:val="24"/>
          <w:lang w:val="en-GB"/>
        </w:rPr>
        <w:t>Standards of Care for the Health of Transsexual, Transgender and Gender-Nonconforming People</w:t>
      </w:r>
      <w:r w:rsidR="00971106">
        <w:rPr>
          <w:rFonts w:ascii="Arial" w:hAnsi="Arial" w:cs="Arial" w:hint="eastAsia"/>
          <w:i/>
          <w:szCs w:val="24"/>
          <w:lang w:val="en-GB"/>
        </w:rPr>
        <w:t xml:space="preserve"> (7th version)</w:t>
      </w:r>
      <w:r w:rsidRPr="0028108F">
        <w:rPr>
          <w:rFonts w:ascii="Arial" w:hAnsi="Arial" w:cs="Arial"/>
          <w:szCs w:val="24"/>
          <w:lang w:val="en-GB"/>
        </w:rPr>
        <w:t>,</w:t>
      </w:r>
      <w:r w:rsidRPr="0028108F">
        <w:rPr>
          <w:rStyle w:val="FootnoteReference"/>
          <w:rFonts w:ascii="Arial" w:hAnsi="Arial" w:cs="Arial"/>
          <w:szCs w:val="24"/>
          <w:lang w:val="en-GB"/>
        </w:rPr>
        <w:footnoteReference w:id="75"/>
      </w:r>
      <w:r w:rsidRPr="0028108F">
        <w:rPr>
          <w:rFonts w:ascii="Arial" w:hAnsi="Arial" w:cs="Arial"/>
          <w:szCs w:val="24"/>
          <w:lang w:val="en-GB"/>
        </w:rPr>
        <w:t xml:space="preserve"> the </w:t>
      </w:r>
      <w:r w:rsidRPr="0028108F">
        <w:rPr>
          <w:rFonts w:ascii="Arial" w:hAnsi="Arial" w:cs="Arial"/>
          <w:i/>
          <w:szCs w:val="24"/>
          <w:lang w:val="en-GB"/>
        </w:rPr>
        <w:t>Good Practice Guidelines For The Assessment And Treatment Of Adults With Gender Dysphoria</w:t>
      </w:r>
      <w:r w:rsidRPr="0028108F">
        <w:rPr>
          <w:rFonts w:ascii="Arial" w:hAnsi="Arial" w:cs="Arial"/>
          <w:szCs w:val="24"/>
          <w:lang w:val="en-GB"/>
        </w:rPr>
        <w:t xml:space="preserve"> issued by the UK’s Royal College of Psychiatrists,</w:t>
      </w:r>
      <w:r w:rsidRPr="0028108F">
        <w:rPr>
          <w:rStyle w:val="FootnoteReference"/>
          <w:rFonts w:ascii="Arial" w:hAnsi="Arial" w:cs="Arial"/>
          <w:szCs w:val="24"/>
          <w:lang w:val="en-GB"/>
        </w:rPr>
        <w:footnoteReference w:id="76"/>
      </w:r>
      <w:r w:rsidRPr="0028108F">
        <w:rPr>
          <w:rFonts w:ascii="Arial" w:hAnsi="Arial" w:cs="Arial"/>
          <w:szCs w:val="24"/>
          <w:lang w:val="en-GB"/>
        </w:rPr>
        <w:t xml:space="preserve"> the </w:t>
      </w:r>
      <w:r w:rsidRPr="0028108F">
        <w:rPr>
          <w:rFonts w:ascii="Arial" w:hAnsi="Arial" w:cs="Arial"/>
          <w:i/>
          <w:szCs w:val="24"/>
          <w:lang w:val="en-GB"/>
        </w:rPr>
        <w:t>Gender Dysphoria Services: A Guide For General Practitioners And Other Healthcare Staff</w:t>
      </w:r>
      <w:r w:rsidRPr="0028108F">
        <w:rPr>
          <w:rFonts w:ascii="Arial" w:hAnsi="Arial" w:cs="Arial"/>
          <w:szCs w:val="24"/>
          <w:lang w:val="en-GB"/>
        </w:rPr>
        <w:t xml:space="preserve"> published by representatives of Gender Identity Clinics across England</w:t>
      </w:r>
      <w:r w:rsidRPr="0028108F">
        <w:rPr>
          <w:rStyle w:val="FootnoteReference"/>
          <w:rFonts w:ascii="Arial" w:hAnsi="Arial" w:cs="Arial"/>
          <w:szCs w:val="24"/>
          <w:lang w:val="en-GB"/>
        </w:rPr>
        <w:footnoteReference w:id="77"/>
      </w:r>
      <w:r w:rsidRPr="0028108F">
        <w:rPr>
          <w:rFonts w:ascii="Arial" w:hAnsi="Arial" w:cs="Arial"/>
          <w:szCs w:val="24"/>
          <w:lang w:val="en-GB"/>
        </w:rPr>
        <w:t xml:space="preserve"> and </w:t>
      </w:r>
      <w:r w:rsidRPr="0028108F">
        <w:rPr>
          <w:rFonts w:ascii="Arial" w:hAnsi="Arial" w:cs="Arial"/>
          <w:i/>
          <w:szCs w:val="24"/>
          <w:lang w:val="en-GB"/>
        </w:rPr>
        <w:t>Endocrine Treatment Of Transsexual Persons: An Endocrine Society Clinical Practice Guideline</w:t>
      </w:r>
      <w:r w:rsidRPr="0028108F">
        <w:rPr>
          <w:rFonts w:ascii="Arial" w:hAnsi="Arial" w:cs="Arial"/>
          <w:szCs w:val="24"/>
          <w:lang w:val="en-GB"/>
        </w:rPr>
        <w:t xml:space="preserve"> published by the </w:t>
      </w:r>
      <w:r w:rsidR="00C652F7" w:rsidRPr="0028108F">
        <w:rPr>
          <w:rFonts w:ascii="Arial" w:hAnsi="Arial" w:cs="Arial"/>
          <w:szCs w:val="24"/>
          <w:lang w:val="en-GB"/>
        </w:rPr>
        <w:t>US</w:t>
      </w:r>
      <w:r w:rsidRPr="0028108F">
        <w:rPr>
          <w:rFonts w:ascii="Arial" w:hAnsi="Arial" w:cs="Arial"/>
          <w:szCs w:val="24"/>
          <w:lang w:val="en-GB"/>
        </w:rPr>
        <w:t xml:space="preserve"> National Guideline Clearinghouse.</w:t>
      </w:r>
      <w:r w:rsidRPr="0028108F">
        <w:rPr>
          <w:rStyle w:val="FootnoteReference"/>
          <w:rFonts w:ascii="Arial" w:hAnsi="Arial" w:cs="Arial"/>
          <w:szCs w:val="24"/>
          <w:lang w:val="en-GB"/>
        </w:rPr>
        <w:footnoteReference w:id="78"/>
      </w:r>
    </w:p>
    <w:p w:rsidR="00915161" w:rsidRPr="0028108F" w:rsidRDefault="00915161" w:rsidP="00915161">
      <w:pPr>
        <w:pStyle w:val="ListParagrap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Patients have full autonomy in making decisions for treatment options and no treatment will be provided without patients’ informed consent.  Normally, patients will receive counselling to consolidate their gender identity and to strengthen their understanding, coping and resilience.  After the diagnosis of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the treatment varies with </w:t>
      </w:r>
      <w:r w:rsidR="00C652F7" w:rsidRPr="0028108F">
        <w:rPr>
          <w:rFonts w:ascii="Arial" w:hAnsi="Arial" w:cs="Arial"/>
          <w:szCs w:val="24"/>
          <w:lang w:val="en-GB"/>
        </w:rPr>
        <w:t xml:space="preserve">the </w:t>
      </w:r>
      <w:r w:rsidRPr="0028108F">
        <w:rPr>
          <w:rFonts w:ascii="Arial" w:hAnsi="Arial" w:cs="Arial"/>
          <w:szCs w:val="24"/>
          <w:lang w:val="en-GB"/>
        </w:rPr>
        <w:t>age and desire</w:t>
      </w:r>
      <w:r w:rsidR="00C652F7" w:rsidRPr="0028108F">
        <w:rPr>
          <w:rFonts w:ascii="Arial" w:hAnsi="Arial" w:cs="Arial"/>
          <w:szCs w:val="24"/>
          <w:lang w:val="en-GB"/>
        </w:rPr>
        <w:t>s</w:t>
      </w:r>
      <w:r w:rsidRPr="0028108F">
        <w:rPr>
          <w:rFonts w:ascii="Arial" w:hAnsi="Arial" w:cs="Arial"/>
          <w:szCs w:val="24"/>
          <w:lang w:val="en-GB"/>
        </w:rPr>
        <w:t xml:space="preserve"> of the patient.  For children and adolescents, the mainstay of treatment is psychological counselling.  For</w:t>
      </w:r>
      <w:r w:rsidR="00C652F7" w:rsidRPr="0028108F">
        <w:rPr>
          <w:rFonts w:ascii="Arial" w:hAnsi="Arial" w:cs="Arial"/>
          <w:szCs w:val="24"/>
          <w:lang w:val="en-GB"/>
        </w:rPr>
        <w:t xml:space="preserve"> an</w:t>
      </w:r>
      <w:r w:rsidRPr="0028108F">
        <w:rPr>
          <w:rFonts w:ascii="Arial" w:hAnsi="Arial" w:cs="Arial"/>
          <w:szCs w:val="24"/>
          <w:lang w:val="en-GB"/>
        </w:rPr>
        <w:t xml:space="preserve"> exceptional adolescence</w:t>
      </w:r>
      <w:r w:rsidR="00C652F7" w:rsidRPr="0028108F">
        <w:rPr>
          <w:rFonts w:ascii="Arial" w:hAnsi="Arial" w:cs="Arial"/>
          <w:szCs w:val="24"/>
          <w:lang w:val="en-GB"/>
        </w:rPr>
        <w:t xml:space="preserve"> case</w:t>
      </w:r>
      <w:r w:rsidRPr="0028108F">
        <w:rPr>
          <w:rFonts w:ascii="Arial" w:hAnsi="Arial" w:cs="Arial"/>
          <w:szCs w:val="24"/>
          <w:lang w:val="en-GB"/>
        </w:rPr>
        <w:t>, hormones of the opposite sex may be prescribed.  For patients under the age of 18, parents’ or guardians’ consent will be essential for hormonal treatment.  For adults, the mainstays of treatment are hormones and surgery.  Psychotherapy is also a mainstay of care for adult patients.</w:t>
      </w:r>
      <w:r w:rsidRPr="0028108F">
        <w:rPr>
          <w:rStyle w:val="FootnoteReference"/>
          <w:rFonts w:ascii="Arial" w:hAnsi="Arial" w:cs="Arial"/>
          <w:szCs w:val="24"/>
          <w:lang w:val="en-GB"/>
        </w:rPr>
        <w:footnoteReference w:id="79"/>
      </w:r>
      <w:r w:rsidRPr="0028108F">
        <w:rPr>
          <w:rFonts w:ascii="Arial" w:hAnsi="Arial" w:cs="Arial"/>
          <w:szCs w:val="24"/>
          <w:lang w:val="en-GB"/>
        </w:rPr>
        <w:t xml:space="preserve">  </w:t>
      </w:r>
      <w:r w:rsidRPr="0028108F">
        <w:rPr>
          <w:rFonts w:ascii="Arial" w:hAnsi="Arial" w:cs="Arial"/>
          <w:szCs w:val="24"/>
          <w:lang w:val="en-GB"/>
        </w:rPr>
        <w:lastRenderedPageBreak/>
        <w:t>They will also be required to live in the role of the desired gender for a period</w:t>
      </w:r>
      <w:r w:rsidR="00C652F7" w:rsidRPr="0028108F">
        <w:rPr>
          <w:rFonts w:ascii="Arial" w:hAnsi="Arial" w:cs="Arial"/>
          <w:szCs w:val="24"/>
          <w:lang w:val="en-GB"/>
        </w:rPr>
        <w:t>,</w:t>
      </w:r>
      <w:r w:rsidRPr="0028108F">
        <w:rPr>
          <w:rFonts w:ascii="Arial" w:hAnsi="Arial" w:cs="Arial"/>
          <w:szCs w:val="24"/>
          <w:lang w:val="en-GB"/>
        </w:rPr>
        <w:t xml:space="preserve"> for transition into the new gender role under the support and guidance from mental health professionals.  This is commonly referred to as the “</w:t>
      </w:r>
      <w:r w:rsidRPr="0028108F">
        <w:rPr>
          <w:rFonts w:ascii="Arial" w:hAnsi="Arial" w:cs="Arial"/>
          <w:i/>
          <w:szCs w:val="24"/>
          <w:lang w:val="en-GB"/>
        </w:rPr>
        <w:t>Real Life Experience</w:t>
      </w:r>
      <w:r w:rsidRPr="0028108F">
        <w:rPr>
          <w:rFonts w:ascii="Arial" w:hAnsi="Arial" w:cs="Arial"/>
          <w:szCs w:val="24"/>
          <w:lang w:val="en-GB"/>
        </w:rPr>
        <w:t>”.</w:t>
      </w:r>
    </w:p>
    <w:p w:rsidR="00915161" w:rsidRPr="00115E35" w:rsidRDefault="00915161" w:rsidP="00DE5BD5">
      <w:pPr>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Patients will usually be prescribed hormones of the opposite sex to produce reversible physical changes to body shape and some sexual characteristics, and to enhance psychological well-being.</w:t>
      </w:r>
      <w:r w:rsidRPr="0028108F">
        <w:rPr>
          <w:rStyle w:val="FootnoteReference"/>
          <w:rFonts w:ascii="Arial" w:hAnsi="Arial" w:cs="Arial"/>
          <w:szCs w:val="24"/>
          <w:lang w:val="en-GB"/>
        </w:rPr>
        <w:footnoteReference w:id="80"/>
      </w:r>
      <w:r w:rsidRPr="0028108F">
        <w:rPr>
          <w:rFonts w:ascii="Arial" w:hAnsi="Arial" w:cs="Arial"/>
          <w:szCs w:val="24"/>
          <w:lang w:val="en-GB"/>
        </w:rPr>
        <w:t xml:space="preserve">  Hormones of the opposite sex produce significant changes to their external appearance such as breast, skin, muscle, hair </w:t>
      </w:r>
      <w:r w:rsidR="00C652F7" w:rsidRPr="0028108F">
        <w:rPr>
          <w:rFonts w:ascii="Arial" w:hAnsi="Arial" w:cs="Arial"/>
          <w:szCs w:val="24"/>
          <w:lang w:val="en-GB"/>
        </w:rPr>
        <w:t xml:space="preserve">and </w:t>
      </w:r>
      <w:r w:rsidRPr="0028108F">
        <w:rPr>
          <w:rFonts w:ascii="Arial" w:hAnsi="Arial" w:cs="Arial"/>
          <w:szCs w:val="24"/>
          <w:lang w:val="en-GB"/>
        </w:rPr>
        <w:t>voice</w:t>
      </w:r>
      <w:r w:rsidR="00C652F7" w:rsidRPr="0028108F">
        <w:rPr>
          <w:rFonts w:ascii="Arial" w:hAnsi="Arial" w:cs="Arial"/>
          <w:szCs w:val="24"/>
          <w:lang w:val="en-GB"/>
        </w:rPr>
        <w:t>,</w:t>
      </w:r>
      <w:r w:rsidRPr="0028108F">
        <w:rPr>
          <w:rFonts w:ascii="Arial" w:hAnsi="Arial" w:cs="Arial"/>
          <w:szCs w:val="24"/>
          <w:lang w:val="en-GB"/>
        </w:rPr>
        <w:t xml:space="preserve"> as well as physiological changes such as cessation of menses in a female and loss of libido in a male.  </w:t>
      </w:r>
      <w:r w:rsidRPr="0028108F">
        <w:rPr>
          <w:rFonts w:ascii="Arial" w:hAnsi="Arial" w:cs="Arial"/>
          <w:lang w:val="en-GB"/>
        </w:rPr>
        <w:t xml:space="preserve">At the same time, psychiatrists will closely observe the psychological well-being of the patients undergoing </w:t>
      </w:r>
      <w:r w:rsidR="00C652F7" w:rsidRPr="0028108F">
        <w:rPr>
          <w:rFonts w:ascii="Arial" w:hAnsi="Arial" w:cs="Arial"/>
          <w:lang w:val="en-GB"/>
        </w:rPr>
        <w:t xml:space="preserve">a </w:t>
      </w:r>
      <w:r w:rsidRPr="0028108F">
        <w:rPr>
          <w:rFonts w:ascii="Arial" w:hAnsi="Arial" w:cs="Arial"/>
          <w:lang w:val="en-GB"/>
        </w:rPr>
        <w:t xml:space="preserve">major change in appearance and life style, and see if they will be able to cope with these changes.  This will also be the stage when psychiatrists jointly decide with patients if irreversible surgical reassignment surgery is indicated.  </w:t>
      </w:r>
      <w:r w:rsidRPr="0028108F">
        <w:rPr>
          <w:rFonts w:ascii="Arial" w:hAnsi="Arial" w:cs="Arial"/>
          <w:szCs w:val="24"/>
          <w:lang w:val="en-GB"/>
        </w:rPr>
        <w:t>If the patients’ distress is not relieved by hormones, they may, upon consultation with psychiatrist(s), resort to surgical operations.  Before a surgical operation is considered, they are required to undergo</w:t>
      </w:r>
      <w:r w:rsidR="00F11758">
        <w:rPr>
          <w:rFonts w:ascii="Arial" w:hAnsi="Arial" w:cs="Arial" w:hint="eastAsia"/>
          <w:szCs w:val="24"/>
          <w:lang w:val="en-GB"/>
        </w:rPr>
        <w:t xml:space="preserve"> </w:t>
      </w:r>
      <w:r w:rsidR="00F11758" w:rsidRPr="0028108F">
        <w:rPr>
          <w:rFonts w:ascii="Arial" w:hAnsi="Arial" w:cs="Arial"/>
          <w:szCs w:val="24"/>
          <w:lang w:val="en-GB"/>
        </w:rPr>
        <w:t>“</w:t>
      </w:r>
      <w:r w:rsidR="00F11758" w:rsidRPr="0028108F">
        <w:rPr>
          <w:rFonts w:ascii="Arial" w:hAnsi="Arial" w:cs="Arial"/>
          <w:i/>
          <w:szCs w:val="24"/>
          <w:lang w:val="en-GB"/>
        </w:rPr>
        <w:t>Real Life Experience</w:t>
      </w:r>
      <w:r w:rsidR="00F11758" w:rsidRPr="0028108F">
        <w:rPr>
          <w:rFonts w:ascii="Arial" w:hAnsi="Arial" w:cs="Arial"/>
          <w:szCs w:val="24"/>
          <w:lang w:val="en-GB"/>
        </w:rPr>
        <w:t>”</w:t>
      </w:r>
      <w:r w:rsidRPr="0028108F">
        <w:rPr>
          <w:rFonts w:ascii="Arial" w:hAnsi="Arial" w:cs="Arial"/>
          <w:szCs w:val="24"/>
          <w:lang w:val="en-GB"/>
        </w:rPr>
        <w:t>.  It should also be noted that some of the effects of hormones are not reversible</w:t>
      </w:r>
      <w:r w:rsidR="00C652F7" w:rsidRPr="0028108F">
        <w:rPr>
          <w:rFonts w:ascii="Arial" w:hAnsi="Arial" w:cs="Arial"/>
          <w:szCs w:val="24"/>
          <w:lang w:val="en-GB"/>
        </w:rPr>
        <w:t>,</w:t>
      </w:r>
      <w:r w:rsidRPr="0028108F">
        <w:rPr>
          <w:rFonts w:ascii="Arial" w:hAnsi="Arial" w:cs="Arial"/>
          <w:szCs w:val="24"/>
          <w:lang w:val="en-GB"/>
        </w:rPr>
        <w:t xml:space="preserve"> like deepening of voice by testosterone.  </w:t>
      </w:r>
      <w:r w:rsidRPr="0028108F">
        <w:rPr>
          <w:rFonts w:ascii="Arial" w:hAnsi="Arial" w:cs="Arial"/>
          <w:lang w:val="en-GB"/>
        </w:rPr>
        <w:t>Hormonal therapy must be continued, even after surgical sex reassignment.</w:t>
      </w:r>
    </w:p>
    <w:p w:rsidR="00915161" w:rsidRPr="0028108F" w:rsidRDefault="00915161" w:rsidP="00DE5BD5">
      <w:pPr>
        <w:adjustRightInd w:val="0"/>
        <w:snapToGrid w:val="0"/>
        <w:jc w:val="both"/>
        <w:rPr>
          <w:rFonts w:ascii="Arial" w:hAnsi="Arial" w:cs="Arial"/>
          <w:szCs w:val="24"/>
          <w:lang w:val="en-GB"/>
        </w:rPr>
      </w:pPr>
    </w:p>
    <w:p w:rsidR="00915161" w:rsidRPr="0028108F" w:rsidRDefault="00915161" w:rsidP="00DE5BD5">
      <w:pPr>
        <w:adjustRightInd w:val="0"/>
        <w:snapToGrid w:val="0"/>
        <w:jc w:val="both"/>
        <w:rPr>
          <w:rFonts w:ascii="Arial" w:hAnsi="Arial" w:cs="Arial"/>
          <w:b/>
          <w:i/>
          <w:szCs w:val="24"/>
          <w:lang w:val="en-GB"/>
        </w:rPr>
      </w:pPr>
      <w:r w:rsidRPr="0028108F">
        <w:rPr>
          <w:rFonts w:ascii="Arial" w:hAnsi="Arial" w:cs="Arial"/>
          <w:b/>
          <w:i/>
          <w:szCs w:val="24"/>
          <w:lang w:val="en-GB"/>
        </w:rPr>
        <w:t>Sex reassignment surgery</w:t>
      </w:r>
      <w:r w:rsidR="00F71C21" w:rsidRPr="0028108F">
        <w:rPr>
          <w:rFonts w:ascii="Arial" w:hAnsi="Arial" w:cs="Arial"/>
          <w:b/>
          <w:i/>
          <w:szCs w:val="24"/>
          <w:lang w:val="en-GB"/>
        </w:rPr>
        <w:t xml:space="preserve"> (</w:t>
      </w:r>
      <w:r w:rsidR="00CF0C0E">
        <w:rPr>
          <w:rFonts w:ascii="Arial" w:hAnsi="Arial" w:cs="Arial"/>
          <w:b/>
          <w:i/>
          <w:szCs w:val="24"/>
          <w:lang w:val="en-GB"/>
        </w:rPr>
        <w:t>“</w:t>
      </w:r>
      <w:r w:rsidR="00F71C21" w:rsidRPr="0028108F">
        <w:rPr>
          <w:rFonts w:ascii="Arial" w:hAnsi="Arial" w:cs="Arial"/>
          <w:b/>
          <w:i/>
          <w:szCs w:val="24"/>
          <w:lang w:val="en-GB"/>
        </w:rPr>
        <w:t>SRS</w:t>
      </w:r>
      <w:r w:rsidR="00CF0C0E">
        <w:rPr>
          <w:rFonts w:ascii="Arial" w:hAnsi="Arial" w:cs="Arial"/>
          <w:b/>
          <w:i/>
          <w:szCs w:val="24"/>
          <w:lang w:val="en-GB"/>
        </w:rPr>
        <w:t>”</w:t>
      </w:r>
      <w:r w:rsidR="00F71C21" w:rsidRPr="0028108F">
        <w:rPr>
          <w:rFonts w:ascii="Arial" w:hAnsi="Arial" w:cs="Arial"/>
          <w:b/>
          <w:i/>
          <w:szCs w:val="24"/>
          <w:lang w:val="en-GB"/>
        </w:rPr>
        <w:t>)</w:t>
      </w:r>
    </w:p>
    <w:p w:rsidR="00915161" w:rsidRPr="0028108F" w:rsidRDefault="00915161" w:rsidP="00DE5BD5">
      <w:pPr>
        <w:tabs>
          <w:tab w:val="left" w:pos="1418"/>
        </w:tabs>
        <w:adjustRightInd w:val="0"/>
        <w:snapToGrid w:val="0"/>
        <w:jc w:val="both"/>
        <w:rPr>
          <w:rFonts w:ascii="Arial" w:hAnsi="Arial" w:cs="Arial"/>
          <w:color w:val="000000" w:themeColor="text1"/>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themeColor="text1"/>
          <w:szCs w:val="24"/>
          <w:lang w:val="en-GB"/>
        </w:rPr>
        <w:t>“</w:t>
      </w:r>
      <w:r w:rsidRPr="0028108F">
        <w:rPr>
          <w:rFonts w:ascii="Arial" w:hAnsi="Arial" w:cs="Arial"/>
          <w:i/>
          <w:color w:val="000000" w:themeColor="text1"/>
          <w:szCs w:val="24"/>
          <w:lang w:val="en-GB"/>
        </w:rPr>
        <w:t>SRS</w:t>
      </w:r>
      <w:r w:rsidRPr="0028108F">
        <w:rPr>
          <w:rFonts w:ascii="Arial" w:hAnsi="Arial" w:cs="Arial"/>
          <w:color w:val="000000" w:themeColor="text1"/>
          <w:szCs w:val="24"/>
          <w:lang w:val="en-GB"/>
        </w:rPr>
        <w:t xml:space="preserve">” refers to the surgical treatment which is </w:t>
      </w:r>
      <w:r w:rsidRPr="008813DE">
        <w:rPr>
          <w:rFonts w:ascii="Arial" w:hAnsi="Arial" w:cs="Arial"/>
          <w:color w:val="000000" w:themeColor="text1"/>
          <w:kern w:val="0"/>
          <w:szCs w:val="24"/>
          <w:lang w:val="en-GB"/>
        </w:rPr>
        <w:t>targeted at bringing a transsexual person</w:t>
      </w:r>
      <w:r w:rsidR="0073014A">
        <w:rPr>
          <w:rFonts w:ascii="Arial" w:hAnsi="Arial" w:cs="Arial"/>
          <w:color w:val="000000" w:themeColor="text1"/>
          <w:kern w:val="0"/>
          <w:szCs w:val="24"/>
          <w:lang w:val="en-GB"/>
        </w:rPr>
        <w:t>’</w:t>
      </w:r>
      <w:r w:rsidRPr="008813DE">
        <w:rPr>
          <w:rFonts w:ascii="Arial" w:hAnsi="Arial" w:cs="Arial"/>
          <w:color w:val="000000" w:themeColor="text1"/>
          <w:kern w:val="0"/>
          <w:szCs w:val="24"/>
          <w:lang w:val="en-GB"/>
        </w:rPr>
        <w:t xml:space="preserve">s physical appearance </w:t>
      </w:r>
      <w:r w:rsidR="0073014A">
        <w:rPr>
          <w:rFonts w:ascii="Arial" w:hAnsi="Arial" w:cs="Arial"/>
          <w:color w:val="000000" w:themeColor="text1"/>
          <w:kern w:val="0"/>
          <w:szCs w:val="24"/>
          <w:lang w:val="en-GB"/>
        </w:rPr>
        <w:t xml:space="preserve">or characteristics </w:t>
      </w:r>
      <w:r w:rsidRPr="008813DE">
        <w:rPr>
          <w:rFonts w:ascii="Arial" w:hAnsi="Arial" w:cs="Arial"/>
          <w:color w:val="000000" w:themeColor="text1"/>
          <w:kern w:val="0"/>
          <w:szCs w:val="24"/>
          <w:lang w:val="en-GB"/>
        </w:rPr>
        <w:t>into conformity with his or her gender identity.</w:t>
      </w:r>
      <w:r w:rsidRPr="0028108F">
        <w:rPr>
          <w:rStyle w:val="FootnoteReference"/>
          <w:rFonts w:ascii="Arial" w:hAnsi="Arial" w:cs="Arial"/>
          <w:color w:val="000000" w:themeColor="text1"/>
          <w:kern w:val="0"/>
          <w:szCs w:val="24"/>
          <w:lang w:val="en-GB"/>
        </w:rPr>
        <w:footnoteReference w:id="81"/>
      </w:r>
      <w:r w:rsidRPr="0028108F">
        <w:rPr>
          <w:rFonts w:ascii="Arial" w:hAnsi="Arial" w:cs="Arial"/>
          <w:color w:val="000000" w:themeColor="text1"/>
          <w:kern w:val="0"/>
          <w:szCs w:val="24"/>
          <w:lang w:val="en-GB"/>
        </w:rPr>
        <w:t xml:space="preserve">  </w:t>
      </w:r>
      <w:r w:rsidRPr="0028108F">
        <w:rPr>
          <w:rFonts w:ascii="Arial" w:hAnsi="Arial" w:cs="Arial"/>
          <w:color w:val="000000" w:themeColor="text1"/>
          <w:lang w:val="en-GB"/>
        </w:rPr>
        <w:t>In Hong Kong, persons who have received different forms of treatments by professional psychiatrists and clinical psychologists, including psychotherapy, hormonal treatment and Real Life Experience of the chosen gender role for a period of time may be recommended for SRS.</w:t>
      </w:r>
      <w:r w:rsidRPr="0028108F">
        <w:rPr>
          <w:rFonts w:ascii="Arial" w:hAnsi="Arial" w:cs="Arial"/>
          <w:color w:val="000000" w:themeColor="text1"/>
          <w:szCs w:val="24"/>
          <w:lang w:val="en-GB"/>
        </w:rPr>
        <w:t xml:space="preserve">  </w:t>
      </w:r>
      <w:r w:rsidR="00DF0408">
        <w:rPr>
          <w:rFonts w:ascii="Arial" w:hAnsi="Arial" w:cs="Arial"/>
          <w:color w:val="000000" w:themeColor="text1"/>
          <w:szCs w:val="24"/>
          <w:lang w:val="en-GB"/>
        </w:rPr>
        <w:t xml:space="preserve">People experiencing </w:t>
      </w:r>
      <w:r w:rsidR="00334997" w:rsidRPr="0028108F">
        <w:rPr>
          <w:rFonts w:ascii="Arial" w:hAnsi="Arial" w:cs="Arial"/>
          <w:color w:val="000000" w:themeColor="text1"/>
          <w:kern w:val="0"/>
          <w:szCs w:val="24"/>
          <w:lang w:val="en-GB"/>
        </w:rPr>
        <w:t>gender identity disorder</w:t>
      </w:r>
      <w:r w:rsidRPr="0028108F">
        <w:rPr>
          <w:rFonts w:ascii="Arial" w:hAnsi="Arial" w:cs="Arial"/>
          <w:color w:val="000000" w:themeColor="text1"/>
          <w:kern w:val="0"/>
          <w:szCs w:val="24"/>
          <w:lang w:val="en-GB"/>
        </w:rPr>
        <w:t xml:space="preserve"> or gender dysphoria </w:t>
      </w:r>
      <w:r w:rsidR="00DF0408">
        <w:rPr>
          <w:rFonts w:ascii="Arial" w:hAnsi="Arial" w:cs="Arial"/>
          <w:color w:val="000000" w:themeColor="text1"/>
          <w:kern w:val="0"/>
          <w:szCs w:val="24"/>
          <w:lang w:val="en-GB"/>
        </w:rPr>
        <w:t xml:space="preserve">who are </w:t>
      </w:r>
      <w:r w:rsidRPr="0028108F">
        <w:rPr>
          <w:rFonts w:ascii="Arial" w:hAnsi="Arial" w:cs="Arial"/>
          <w:color w:val="000000" w:themeColor="text1"/>
          <w:kern w:val="0"/>
          <w:szCs w:val="24"/>
          <w:lang w:val="en-GB"/>
        </w:rPr>
        <w:t xml:space="preserve">considered medically eligible for SRS are </w:t>
      </w:r>
      <w:r w:rsidRPr="0028108F">
        <w:rPr>
          <w:rFonts w:ascii="Arial" w:hAnsi="Arial" w:cs="Arial"/>
          <w:color w:val="000000" w:themeColor="text1"/>
          <w:szCs w:val="24"/>
          <w:lang w:val="en-GB"/>
        </w:rPr>
        <w:t>referred for surgical treatment.  Generally, patie</w:t>
      </w:r>
      <w:r w:rsidRPr="00181CF2">
        <w:rPr>
          <w:rFonts w:ascii="Arial" w:hAnsi="Arial" w:cs="Arial"/>
          <w:szCs w:val="24"/>
          <w:lang w:val="en-GB"/>
        </w:rPr>
        <w:t>nts aged 18 years or older are eligible for SRS.  Given the time needed for assessm</w:t>
      </w:r>
      <w:r w:rsidRPr="00C57CE1">
        <w:rPr>
          <w:rFonts w:ascii="Arial" w:hAnsi="Arial" w:cs="Arial"/>
          <w:szCs w:val="24"/>
          <w:lang w:val="en-GB"/>
        </w:rPr>
        <w:t>ent and Real Life Experience, most of them have SRS at 20 years or older.</w:t>
      </w: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lastRenderedPageBreak/>
        <w:t>Where the decision is made to proceed with SRS, the surgery comprises at least two elements: breast and genital surgery,</w:t>
      </w:r>
      <w:r w:rsidRPr="0028108F">
        <w:rPr>
          <w:rStyle w:val="FootnoteReference"/>
          <w:rFonts w:ascii="Arial" w:hAnsi="Arial" w:cs="Arial"/>
          <w:color w:val="000000"/>
          <w:kern w:val="0"/>
          <w:szCs w:val="24"/>
          <w:lang w:val="en-GB"/>
        </w:rPr>
        <w:footnoteReference w:id="82"/>
      </w:r>
      <w:r w:rsidRPr="0028108F">
        <w:rPr>
          <w:rFonts w:ascii="Arial" w:hAnsi="Arial" w:cs="Arial"/>
          <w:color w:val="000000"/>
          <w:kern w:val="0"/>
          <w:szCs w:val="24"/>
          <w:lang w:val="en-GB"/>
        </w:rPr>
        <w:t xml:space="preserve"> with the procedures differing for male-to-female and female-to-male patients.</w:t>
      </w:r>
      <w:r w:rsidRPr="0028108F">
        <w:rPr>
          <w:rStyle w:val="FootnoteReference"/>
          <w:rFonts w:ascii="Arial" w:hAnsi="Arial" w:cs="Arial"/>
          <w:szCs w:val="24"/>
          <w:lang w:val="en-GB"/>
        </w:rPr>
        <w:footnoteReference w:id="83"/>
      </w:r>
      <w:r w:rsidRPr="0028108F">
        <w:rPr>
          <w:rFonts w:ascii="Arial" w:hAnsi="Arial" w:cs="Arial"/>
          <w:szCs w:val="24"/>
          <w:lang w:val="en-GB"/>
        </w:rPr>
        <w:t xml:space="preserve">  In the case of a male-to-female patient, SRS would involve the removal of the testes and the penis (orchidectomy and penectomy) and the construction of a vagina.  In the case of a female-to-male patient, SRS would involve the removal of the breasts (bilateral mastectomy), uterus and ovaries (hysterectomy) and the reconstruction of a penis (phalloplasty), or alternatively, less complicated surgery involving elongation of the clitoris (metoidioplasty).  In both cases, the effect of a complete (or full) SRS is sterility.</w:t>
      </w:r>
      <w:r w:rsidRPr="0028108F">
        <w:rPr>
          <w:rStyle w:val="FootnoteReference"/>
          <w:rFonts w:ascii="Arial" w:hAnsi="Arial" w:cs="Arial"/>
          <w:color w:val="000000"/>
          <w:kern w:val="0"/>
          <w:szCs w:val="24"/>
          <w:lang w:val="en-GB"/>
        </w:rPr>
        <w:footnoteReference w:id="84"/>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Expert evidence on the details of the relevant surgical procedures, and what can and cannot be achieved by surgical intervention, was provided in </w:t>
      </w:r>
      <w:r w:rsidRPr="0028108F">
        <w:rPr>
          <w:rFonts w:ascii="Arial" w:hAnsi="Arial" w:cs="Arial"/>
          <w:i/>
          <w:szCs w:val="24"/>
          <w:lang w:val="en-GB"/>
        </w:rPr>
        <w:t>W</w:t>
      </w:r>
      <w:r w:rsidRPr="0028108F">
        <w:rPr>
          <w:rFonts w:ascii="Arial" w:hAnsi="Arial" w:cs="Arial"/>
          <w:szCs w:val="24"/>
          <w:lang w:val="en-GB"/>
        </w:rPr>
        <w:t>’s case by Dr Albert Yuen Wai Cheung,</w:t>
      </w:r>
      <w:r w:rsidRPr="0028108F">
        <w:rPr>
          <w:rStyle w:val="FootnoteReference"/>
          <w:rFonts w:ascii="Arial" w:hAnsi="Arial" w:cs="Arial"/>
          <w:szCs w:val="24"/>
          <w:lang w:val="en-GB"/>
        </w:rPr>
        <w:footnoteReference w:id="85"/>
      </w:r>
      <w:r w:rsidRPr="0028108F">
        <w:rPr>
          <w:rFonts w:ascii="Arial" w:hAnsi="Arial" w:cs="Arial"/>
          <w:szCs w:val="24"/>
          <w:lang w:val="en-GB"/>
        </w:rPr>
        <w:t xml:space="preserve"> as follows:</w:t>
      </w:r>
    </w:p>
    <w:p w:rsidR="00915161" w:rsidRPr="0028108F" w:rsidRDefault="00915161" w:rsidP="00DE5BD5">
      <w:pPr>
        <w:tabs>
          <w:tab w:val="left" w:pos="993"/>
        </w:tabs>
        <w:adjustRightInd w:val="0"/>
        <w:snapToGrid w:val="0"/>
        <w:jc w:val="both"/>
        <w:rPr>
          <w:rFonts w:ascii="Arial" w:hAnsi="Arial" w:cs="Arial"/>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r w:rsidRPr="0028108F">
        <w:rPr>
          <w:rFonts w:ascii="Arial" w:hAnsi="Arial" w:cs="Arial"/>
          <w:i/>
          <w:kern w:val="0"/>
          <w:szCs w:val="24"/>
          <w:lang w:val="en-GB"/>
        </w:rPr>
        <w:t>“For male-to-female transsexual surgery, breast augmentation is done for patients whom the breast enlargement after hormone treatment is not sufficient for comfort in the social gender role. Genital surgery includes at least orchidectomy (removal of both testes), penectomy (removal of penis), creation of a new vagina. The new vagina enables penetration of penis during sexual intercourse. There is preservation of erotic sexual sensation. However, surgery cannot remove the prostate organ or provide a functional uterus or ovaries, or otherwise establish fertility or child-bearing ability. Neither can it change the sex chromosomes of the person, which remains that of a male (XY).</w:t>
      </w:r>
    </w:p>
    <w:p w:rsidR="00915161" w:rsidRPr="0028108F" w:rsidRDefault="00915161" w:rsidP="00DE5BD5">
      <w:pPr>
        <w:tabs>
          <w:tab w:val="left" w:pos="720"/>
        </w:tabs>
        <w:adjustRightInd w:val="0"/>
        <w:snapToGrid w:val="0"/>
        <w:ind w:left="709" w:rightChars="271" w:right="650"/>
        <w:jc w:val="both"/>
        <w:rPr>
          <w:rFonts w:ascii="Arial" w:hAnsi="Arial" w:cs="Arial"/>
          <w:i/>
          <w:kern w:val="0"/>
          <w:szCs w:val="24"/>
          <w:lang w:val="en-GB"/>
        </w:rPr>
      </w:pPr>
    </w:p>
    <w:p w:rsidR="00915161" w:rsidRPr="0028108F" w:rsidRDefault="00915161" w:rsidP="00DE5BD5">
      <w:pPr>
        <w:tabs>
          <w:tab w:val="left" w:pos="720"/>
        </w:tabs>
        <w:adjustRightInd w:val="0"/>
        <w:snapToGrid w:val="0"/>
        <w:ind w:left="709" w:rightChars="271" w:right="650"/>
        <w:jc w:val="both"/>
        <w:rPr>
          <w:rFonts w:ascii="Arial" w:hAnsi="Arial" w:cs="Arial"/>
          <w:kern w:val="0"/>
          <w:szCs w:val="24"/>
          <w:lang w:val="en-GB"/>
        </w:rPr>
      </w:pPr>
      <w:r w:rsidRPr="0028108F">
        <w:rPr>
          <w:rFonts w:ascii="Arial" w:hAnsi="Arial" w:cs="Arial"/>
          <w:i/>
          <w:kern w:val="0"/>
          <w:szCs w:val="24"/>
          <w:lang w:val="en-GB"/>
        </w:rPr>
        <w:t xml:space="preserve">For female-to-male transsexual surgery, the female breasts would be removed. The uterus, ovaries and vagina are removed. Construction of some form of penis is performed. There are different ways of constructing the penis, depending on the desire of person who would balance the risk of physical injuries inflicted on one's body due to the surgery with the benefits. The form of penis construction ranges from an elongation of patient's clitoris (metoidioplasty), raising an abdominal skin tube flap to mimic a penis, to the micro-vascular transfer of tissue from other parts of body to perineum to have a full construction of a penis inside which there is a passage for urine. The best outcome at present is that after surgery, the person can void urine while standing and </w:t>
      </w:r>
      <w:r w:rsidRPr="0028108F">
        <w:rPr>
          <w:rFonts w:ascii="Arial" w:hAnsi="Arial" w:cs="Arial"/>
          <w:i/>
          <w:kern w:val="0"/>
          <w:szCs w:val="24"/>
          <w:lang w:val="en-GB"/>
        </w:rPr>
        <w:lastRenderedPageBreak/>
        <w:t>can have a rigid penis which means it is rigid all the time, as opposed to an erected penis which is flaccid normally but becomes rigid when sexually aroused. However, the new penis, even fully constructed, cannot ejaculate or erect on stimulation, although it will not affect the person's ability to have sexual intercourse and the person can still penetrate a vagina and have sensation in the penis and achieve orgasm because the clitoris and its nerve endings are preserved. The person cannot be provided with prostate (a male sex organ which secretes prostatic fluid which when combined with sperms produced by the testes forms the semen; a female does not have such an organ) or any functioning testes and will have no ability to produce semen, to reproduce or otherwise to impregnate a female. The sex chromosomes also remain those of a female (XX).”</w:t>
      </w:r>
      <w:r w:rsidRPr="0028108F">
        <w:rPr>
          <w:rStyle w:val="FootnoteReference"/>
          <w:rFonts w:ascii="Arial" w:hAnsi="Arial" w:cs="Arial"/>
          <w:szCs w:val="24"/>
          <w:lang w:val="en-GB"/>
        </w:rPr>
        <w:footnoteReference w:id="86"/>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Surgically and technically speaking, the SRS process can stop at any point/stage as long as the patient is able to empty their bowel/bladder effectively and be free of surgical complications and morbidities.  The process in Hong Kong would be, in general, as follows:</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ab/>
        <w:t xml:space="preserve">For transition from female to male: </w:t>
      </w:r>
    </w:p>
    <w:p w:rsidR="00915161" w:rsidRPr="0028108F" w:rsidRDefault="00915161" w:rsidP="00DE5BD5">
      <w:pPr>
        <w:tabs>
          <w:tab w:val="left" w:pos="1418"/>
        </w:tabs>
        <w:adjustRightInd w:val="0"/>
        <w:snapToGrid w:val="0"/>
        <w:jc w:val="both"/>
        <w:rPr>
          <w:rFonts w:ascii="Arial" w:hAnsi="Arial" w:cs="Arial"/>
          <w:i/>
          <w:szCs w:val="24"/>
          <w:lang w:val="en-GB"/>
        </w:rPr>
      </w:pPr>
    </w:p>
    <w:p w:rsidR="00915161" w:rsidRPr="0028108F" w:rsidRDefault="00915161" w:rsidP="00915161">
      <w:pPr>
        <w:pStyle w:val="ListParagraph"/>
        <w:numPr>
          <w:ilvl w:val="0"/>
          <w:numId w:val="8"/>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 xml:space="preserve">Hysterectomy: Removal of uterus/ovaries and upper vagina. This can be done first, or after (2) below. </w:t>
      </w:r>
    </w:p>
    <w:p w:rsidR="00915161" w:rsidRPr="0028108F" w:rsidRDefault="00915161" w:rsidP="00915161">
      <w:pPr>
        <w:pStyle w:val="ListParagraph"/>
        <w:tabs>
          <w:tab w:val="left" w:pos="1418"/>
        </w:tabs>
        <w:adjustRightInd w:val="0"/>
        <w:snapToGrid w:val="0"/>
        <w:ind w:leftChars="0" w:left="1418"/>
        <w:jc w:val="both"/>
        <w:rPr>
          <w:rFonts w:ascii="Arial" w:hAnsi="Arial" w:cs="Arial"/>
          <w:szCs w:val="24"/>
          <w:lang w:val="en-GB"/>
        </w:rPr>
      </w:pPr>
    </w:p>
    <w:p w:rsidR="00915161" w:rsidRPr="0028108F" w:rsidRDefault="00915161" w:rsidP="00915161">
      <w:pPr>
        <w:pStyle w:val="ListParagraph"/>
        <w:numPr>
          <w:ilvl w:val="0"/>
          <w:numId w:val="8"/>
        </w:numPr>
        <w:tabs>
          <w:tab w:val="left" w:pos="1418"/>
        </w:tabs>
        <w:adjustRightInd w:val="0"/>
        <w:snapToGrid w:val="0"/>
        <w:ind w:leftChars="0" w:left="2127" w:hanging="1418"/>
        <w:jc w:val="both"/>
        <w:rPr>
          <w:rFonts w:ascii="Arial" w:hAnsi="Arial" w:cs="Arial"/>
          <w:szCs w:val="24"/>
          <w:lang w:val="en-GB"/>
        </w:rPr>
      </w:pPr>
      <w:r w:rsidRPr="0028108F">
        <w:rPr>
          <w:rFonts w:ascii="Arial" w:hAnsi="Arial" w:cs="Arial"/>
          <w:szCs w:val="24"/>
          <w:lang w:val="en-GB"/>
        </w:rPr>
        <w:t xml:space="preserve">(a) </w:t>
      </w:r>
      <w:r w:rsidRPr="0028108F">
        <w:rPr>
          <w:rFonts w:ascii="Arial" w:hAnsi="Arial" w:cs="Arial"/>
          <w:szCs w:val="24"/>
          <w:lang w:val="en-GB"/>
        </w:rPr>
        <w:tab/>
        <w:t xml:space="preserve">Phalloplasty: Construction of a phallus like structure from the forearm skin with a urethral tube that does not yet connect to the original female urethra. </w:t>
      </w:r>
    </w:p>
    <w:p w:rsidR="002C3BBD" w:rsidRPr="0028108F" w:rsidRDefault="002C3BBD" w:rsidP="0028108F">
      <w:pPr>
        <w:pStyle w:val="ListParagraph"/>
        <w:tabs>
          <w:tab w:val="left" w:pos="1418"/>
        </w:tabs>
        <w:adjustRightInd w:val="0"/>
        <w:snapToGrid w:val="0"/>
        <w:ind w:leftChars="0" w:left="2127"/>
        <w:jc w:val="both"/>
        <w:rPr>
          <w:rFonts w:ascii="Arial" w:hAnsi="Arial" w:cs="Arial"/>
          <w:szCs w:val="24"/>
          <w:lang w:val="en-GB"/>
        </w:rPr>
      </w:pPr>
    </w:p>
    <w:p w:rsidR="00915161" w:rsidRPr="0028108F" w:rsidRDefault="00915161" w:rsidP="00915161">
      <w:pPr>
        <w:tabs>
          <w:tab w:val="left" w:pos="1418"/>
        </w:tabs>
        <w:adjustRightInd w:val="0"/>
        <w:snapToGrid w:val="0"/>
        <w:ind w:leftChars="-295" w:left="2126" w:hangingChars="1181" w:hanging="2834"/>
        <w:jc w:val="both"/>
        <w:rPr>
          <w:rFonts w:ascii="Arial" w:hAnsi="Arial" w:cs="Arial"/>
          <w:szCs w:val="24"/>
          <w:lang w:val="en-GB"/>
        </w:rPr>
      </w:pPr>
      <w:r w:rsidRPr="0028108F">
        <w:rPr>
          <w:rFonts w:ascii="Arial" w:hAnsi="Arial" w:cs="Arial"/>
          <w:szCs w:val="24"/>
          <w:lang w:val="en-GB"/>
        </w:rPr>
        <w:tab/>
        <w:t xml:space="preserve">(b) </w:t>
      </w:r>
      <w:r w:rsidRPr="0028108F">
        <w:rPr>
          <w:rFonts w:ascii="Arial" w:hAnsi="Arial" w:cs="Arial"/>
          <w:szCs w:val="24"/>
          <w:lang w:val="en-GB"/>
        </w:rPr>
        <w:tab/>
        <w:t>Some patients may opt for metoidioplasty (ie</w:t>
      </w:r>
      <w:r w:rsidR="002C3BBD" w:rsidRPr="0028108F">
        <w:rPr>
          <w:rFonts w:ascii="Arial" w:hAnsi="Arial" w:cs="Arial"/>
          <w:szCs w:val="24"/>
          <w:lang w:val="en-GB"/>
        </w:rPr>
        <w:t>,</w:t>
      </w:r>
      <w:r w:rsidRPr="0028108F">
        <w:rPr>
          <w:rFonts w:ascii="Arial" w:hAnsi="Arial" w:cs="Arial"/>
          <w:szCs w:val="24"/>
          <w:lang w:val="en-GB"/>
        </w:rPr>
        <w:t xml:space="preserve"> elongating the enlarged clitoris), which is a less invasive surgery, instead of phalloplasty.  Urethroplasty may or may not be conducted after metoidioplasty.</w:t>
      </w:r>
    </w:p>
    <w:p w:rsidR="00915161" w:rsidRPr="0028108F" w:rsidRDefault="00915161" w:rsidP="008813DE">
      <w:pPr>
        <w:tabs>
          <w:tab w:val="left" w:pos="1418"/>
        </w:tabs>
        <w:adjustRightInd w:val="0"/>
        <w:snapToGrid w:val="0"/>
        <w:jc w:val="both"/>
        <w:rPr>
          <w:rFonts w:ascii="Arial" w:hAnsi="Arial" w:cs="Arial"/>
          <w:szCs w:val="24"/>
          <w:lang w:val="en-GB"/>
        </w:rPr>
      </w:pPr>
    </w:p>
    <w:p w:rsidR="00915161" w:rsidRPr="0028108F" w:rsidRDefault="00915161" w:rsidP="00915161">
      <w:pPr>
        <w:pStyle w:val="ListParagraph"/>
        <w:numPr>
          <w:ilvl w:val="0"/>
          <w:numId w:val="8"/>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 xml:space="preserve">Urethroplasty: After </w:t>
      </w:r>
      <w:r w:rsidR="002C3BBD" w:rsidRPr="0028108F">
        <w:rPr>
          <w:rFonts w:ascii="Arial" w:hAnsi="Arial" w:cs="Arial"/>
          <w:szCs w:val="24"/>
          <w:lang w:val="en-GB"/>
        </w:rPr>
        <w:t>three</w:t>
      </w:r>
      <w:r w:rsidRPr="0028108F">
        <w:rPr>
          <w:rFonts w:ascii="Arial" w:hAnsi="Arial" w:cs="Arial"/>
          <w:szCs w:val="24"/>
          <w:lang w:val="en-GB"/>
        </w:rPr>
        <w:t xml:space="preserve"> months or more, and after the hysterectomy, a urethroplasty procedure will connect up the tube previously made in the phallus to the original urethra. </w:t>
      </w:r>
    </w:p>
    <w:p w:rsidR="00915161" w:rsidRPr="0028108F" w:rsidRDefault="00915161" w:rsidP="008813DE">
      <w:pPr>
        <w:tabs>
          <w:tab w:val="left" w:pos="1418"/>
        </w:tabs>
        <w:adjustRightInd w:val="0"/>
        <w:snapToGrid w:val="0"/>
        <w:jc w:val="both"/>
        <w:rPr>
          <w:rFonts w:ascii="Arial" w:hAnsi="Arial" w:cs="Arial"/>
          <w:szCs w:val="24"/>
          <w:lang w:val="en-GB"/>
        </w:rPr>
      </w:pPr>
    </w:p>
    <w:p w:rsidR="00915161" w:rsidRPr="0028108F" w:rsidRDefault="00915161" w:rsidP="00915161">
      <w:pPr>
        <w:pStyle w:val="ListParagraph"/>
        <w:numPr>
          <w:ilvl w:val="0"/>
          <w:numId w:val="8"/>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Optional glansplasty</w:t>
      </w:r>
      <w:r w:rsidR="002C3BBD" w:rsidRPr="0028108F">
        <w:rPr>
          <w:rFonts w:ascii="Arial" w:hAnsi="Arial" w:cs="Arial"/>
          <w:szCs w:val="24"/>
          <w:lang w:val="en-GB"/>
        </w:rPr>
        <w:t>,</w:t>
      </w:r>
      <w:r w:rsidRPr="0028108F">
        <w:rPr>
          <w:rFonts w:ascii="Arial" w:hAnsi="Arial" w:cs="Arial"/>
          <w:szCs w:val="24"/>
          <w:lang w:val="en-GB"/>
        </w:rPr>
        <w:t xml:space="preserve"> ie</w:t>
      </w:r>
      <w:r w:rsidR="002C3BBD" w:rsidRPr="0028108F">
        <w:rPr>
          <w:rFonts w:ascii="Arial" w:hAnsi="Arial" w:cs="Arial"/>
          <w:szCs w:val="24"/>
          <w:lang w:val="en-GB"/>
        </w:rPr>
        <w:t>,</w:t>
      </w:r>
      <w:r w:rsidRPr="0028108F">
        <w:rPr>
          <w:rFonts w:ascii="Arial" w:hAnsi="Arial" w:cs="Arial"/>
          <w:szCs w:val="24"/>
          <w:lang w:val="en-GB"/>
        </w:rPr>
        <w:t xml:space="preserve"> creation of a more ’natural’ looking penile tip.</w:t>
      </w:r>
    </w:p>
    <w:p w:rsidR="00915161" w:rsidRPr="0028108F" w:rsidRDefault="00915161" w:rsidP="008813DE">
      <w:pPr>
        <w:tabs>
          <w:tab w:val="left" w:pos="1418"/>
        </w:tabs>
        <w:adjustRightInd w:val="0"/>
        <w:snapToGrid w:val="0"/>
        <w:jc w:val="both"/>
        <w:rPr>
          <w:rFonts w:ascii="Arial" w:hAnsi="Arial" w:cs="Arial"/>
          <w:szCs w:val="24"/>
          <w:lang w:val="en-GB"/>
        </w:rPr>
      </w:pPr>
    </w:p>
    <w:p w:rsidR="00915161" w:rsidRPr="0028108F" w:rsidRDefault="00915161" w:rsidP="00915161">
      <w:pPr>
        <w:pStyle w:val="ListParagraph"/>
        <w:numPr>
          <w:ilvl w:val="0"/>
          <w:numId w:val="8"/>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Optional scrotal implants.</w:t>
      </w:r>
    </w:p>
    <w:p w:rsidR="00915161" w:rsidRPr="0028108F" w:rsidRDefault="00915161" w:rsidP="008813DE">
      <w:pPr>
        <w:tabs>
          <w:tab w:val="left" w:pos="1418"/>
        </w:tabs>
        <w:adjustRightInd w:val="0"/>
        <w:snapToGrid w:val="0"/>
        <w:jc w:val="both"/>
        <w:rPr>
          <w:rFonts w:ascii="Arial" w:hAnsi="Arial" w:cs="Arial"/>
          <w:szCs w:val="24"/>
          <w:lang w:val="en-GB"/>
        </w:rPr>
      </w:pPr>
    </w:p>
    <w:p w:rsidR="00915161" w:rsidRPr="0028108F" w:rsidRDefault="00915161" w:rsidP="00915161">
      <w:pPr>
        <w:pStyle w:val="ListParagraph"/>
        <w:numPr>
          <w:ilvl w:val="0"/>
          <w:numId w:val="8"/>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 xml:space="preserve">Optional penile implants for those who want to have a phallus capable of ‘erection’. </w:t>
      </w:r>
      <w:r w:rsidR="002C3BBD" w:rsidRPr="0028108F">
        <w:rPr>
          <w:rFonts w:ascii="Arial" w:hAnsi="Arial" w:cs="Arial"/>
          <w:szCs w:val="24"/>
          <w:lang w:val="en-GB"/>
        </w:rPr>
        <w:t xml:space="preserve"> </w:t>
      </w:r>
      <w:r w:rsidRPr="0028108F">
        <w:rPr>
          <w:rFonts w:ascii="Arial" w:hAnsi="Arial" w:cs="Arial"/>
          <w:szCs w:val="24"/>
          <w:lang w:val="en-GB"/>
        </w:rPr>
        <w:t xml:space="preserve">To be conducted at least one year after the phalloplasty to allow protective sensation to develop. </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lastRenderedPageBreak/>
        <w:tab/>
        <w:t xml:space="preserve">For transition from male to female: </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pStyle w:val="ListParagraph"/>
        <w:numPr>
          <w:ilvl w:val="0"/>
          <w:numId w:val="9"/>
        </w:numPr>
        <w:tabs>
          <w:tab w:val="left" w:pos="1418"/>
        </w:tabs>
        <w:adjustRightInd w:val="0"/>
        <w:snapToGrid w:val="0"/>
        <w:ind w:leftChars="0" w:firstLine="349"/>
        <w:jc w:val="both"/>
        <w:rPr>
          <w:rFonts w:ascii="Arial" w:hAnsi="Arial" w:cs="Arial"/>
          <w:szCs w:val="24"/>
          <w:lang w:val="en-GB"/>
        </w:rPr>
      </w:pPr>
      <w:r w:rsidRPr="0028108F">
        <w:rPr>
          <w:rFonts w:ascii="Arial" w:hAnsi="Arial" w:cs="Arial"/>
          <w:szCs w:val="24"/>
          <w:lang w:val="en-GB"/>
        </w:rPr>
        <w:t>Bilateral orchiectomy: removal of testes.</w:t>
      </w:r>
    </w:p>
    <w:p w:rsidR="00915161" w:rsidRPr="0028108F" w:rsidRDefault="00915161" w:rsidP="00915161">
      <w:pPr>
        <w:pStyle w:val="ListParagraph"/>
        <w:tabs>
          <w:tab w:val="left" w:pos="1418"/>
        </w:tabs>
        <w:adjustRightInd w:val="0"/>
        <w:snapToGrid w:val="0"/>
        <w:ind w:leftChars="0" w:left="709"/>
        <w:jc w:val="both"/>
        <w:rPr>
          <w:rFonts w:ascii="Arial" w:hAnsi="Arial" w:cs="Arial"/>
          <w:szCs w:val="24"/>
          <w:lang w:val="en-GB"/>
        </w:rPr>
      </w:pPr>
    </w:p>
    <w:p w:rsidR="00915161" w:rsidRPr="0028108F" w:rsidRDefault="00915161" w:rsidP="00915161">
      <w:pPr>
        <w:pStyle w:val="ListParagraph"/>
        <w:numPr>
          <w:ilvl w:val="0"/>
          <w:numId w:val="9"/>
        </w:numPr>
        <w:tabs>
          <w:tab w:val="left" w:pos="1418"/>
        </w:tabs>
        <w:adjustRightInd w:val="0"/>
        <w:snapToGrid w:val="0"/>
        <w:ind w:leftChars="0" w:firstLine="349"/>
        <w:jc w:val="both"/>
        <w:rPr>
          <w:rFonts w:ascii="Arial" w:hAnsi="Arial" w:cs="Arial"/>
          <w:szCs w:val="24"/>
          <w:lang w:val="en-GB"/>
        </w:rPr>
      </w:pPr>
      <w:r w:rsidRPr="0028108F">
        <w:rPr>
          <w:rFonts w:ascii="Arial" w:hAnsi="Arial" w:cs="Arial"/>
          <w:szCs w:val="24"/>
          <w:lang w:val="en-GB"/>
        </w:rPr>
        <w:t>Penectomy: removal of the penis.</w:t>
      </w:r>
    </w:p>
    <w:p w:rsidR="00915161" w:rsidRPr="0028108F" w:rsidRDefault="00915161" w:rsidP="00915161">
      <w:pPr>
        <w:pStyle w:val="ListParagraph"/>
        <w:tabs>
          <w:tab w:val="left" w:pos="1418"/>
        </w:tabs>
        <w:adjustRightInd w:val="0"/>
        <w:snapToGrid w:val="0"/>
        <w:ind w:leftChars="0" w:left="709"/>
        <w:jc w:val="both"/>
        <w:rPr>
          <w:rFonts w:ascii="Arial" w:hAnsi="Arial" w:cs="Arial"/>
          <w:szCs w:val="24"/>
          <w:lang w:val="en-GB"/>
        </w:rPr>
      </w:pPr>
    </w:p>
    <w:p w:rsidR="00915161" w:rsidRPr="0028108F" w:rsidRDefault="00915161" w:rsidP="00915161">
      <w:pPr>
        <w:pStyle w:val="ListParagraph"/>
        <w:numPr>
          <w:ilvl w:val="0"/>
          <w:numId w:val="9"/>
        </w:numPr>
        <w:tabs>
          <w:tab w:val="left" w:pos="1418"/>
        </w:tabs>
        <w:adjustRightInd w:val="0"/>
        <w:snapToGrid w:val="0"/>
        <w:ind w:leftChars="0" w:firstLine="349"/>
        <w:jc w:val="both"/>
        <w:rPr>
          <w:rFonts w:ascii="Arial" w:hAnsi="Arial" w:cs="Arial"/>
          <w:szCs w:val="24"/>
          <w:lang w:val="en-GB"/>
        </w:rPr>
      </w:pPr>
      <w:r w:rsidRPr="0028108F">
        <w:rPr>
          <w:rFonts w:ascii="Arial" w:hAnsi="Arial" w:cs="Arial"/>
          <w:szCs w:val="24"/>
          <w:lang w:val="en-GB"/>
        </w:rPr>
        <w:t>Vaginoplasty: creation of vaginal space.</w:t>
      </w:r>
    </w:p>
    <w:p w:rsidR="00915161" w:rsidRPr="0028108F" w:rsidRDefault="00915161" w:rsidP="00DE5BD5">
      <w:pPr>
        <w:tabs>
          <w:tab w:val="left" w:pos="1418"/>
        </w:tabs>
        <w:adjustRightInd w:val="0"/>
        <w:snapToGrid w:val="0"/>
        <w:jc w:val="both"/>
        <w:rPr>
          <w:rFonts w:ascii="Arial" w:hAnsi="Arial" w:cs="Arial"/>
          <w:kern w:val="0"/>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According to the HA, from 2010/11 to 2014/15, 40 patients underwent partial or full SRS, including 22 male-to-female cases, and 18 female-to-male cases.</w:t>
      </w:r>
      <w:r w:rsidRPr="0028108F">
        <w:rPr>
          <w:rStyle w:val="FootnoteReference"/>
          <w:rFonts w:ascii="Arial" w:hAnsi="Arial" w:cs="Arial"/>
          <w:szCs w:val="24"/>
          <w:lang w:val="en-GB"/>
        </w:rPr>
        <w:footnoteReference w:id="87"/>
      </w:r>
      <w:r w:rsidRPr="0028108F">
        <w:rPr>
          <w:rFonts w:ascii="Arial" w:hAnsi="Arial" w:cs="Arial"/>
          <w:szCs w:val="24"/>
          <w:lang w:val="en-GB"/>
        </w:rPr>
        <w:t xml:space="preserve">  The CFA noted that it had been suggested during the proceedings that “</w:t>
      </w:r>
      <w:r w:rsidRPr="0028108F">
        <w:rPr>
          <w:rFonts w:ascii="Arial" w:hAnsi="Arial" w:cs="Arial"/>
          <w:i/>
          <w:szCs w:val="24"/>
          <w:lang w:val="en-GB"/>
        </w:rPr>
        <w:t>many more have undergone surgery privately, both in Hong Kong and, more commonly, overseas.</w:t>
      </w:r>
      <w:r w:rsidRPr="0028108F">
        <w:rPr>
          <w:rFonts w:ascii="Arial" w:hAnsi="Arial" w:cs="Arial"/>
          <w:szCs w:val="24"/>
          <w:lang w:val="en-GB"/>
        </w:rPr>
        <w:t>”</w:t>
      </w:r>
      <w:r w:rsidRPr="0028108F">
        <w:rPr>
          <w:rFonts w:ascii="Arial" w:hAnsi="Arial" w:cs="Arial"/>
          <w:vertAlign w:val="superscript"/>
          <w:lang w:val="en-GB"/>
        </w:rPr>
        <w:footnoteReference w:id="88"/>
      </w:r>
    </w:p>
    <w:p w:rsidR="00915161" w:rsidRPr="0028108F" w:rsidRDefault="00915161" w:rsidP="00915161">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kern w:val="0"/>
          <w:szCs w:val="24"/>
          <w:lang w:val="en-GB"/>
        </w:rPr>
        <w:t>After completion of the course of treatment, a letter certifying that the patient’s gender has been changed is issued by the HA and signed by the consultant surgeon in charge</w:t>
      </w:r>
      <w:r w:rsidR="00AF7651" w:rsidRPr="0028108F">
        <w:rPr>
          <w:rFonts w:ascii="Arial" w:hAnsi="Arial" w:cs="Arial"/>
          <w:kern w:val="0"/>
          <w:szCs w:val="24"/>
          <w:lang w:val="en-GB"/>
        </w:rPr>
        <w:t xml:space="preserve"> on the request of the patient</w:t>
      </w:r>
      <w:r w:rsidRPr="0028108F">
        <w:rPr>
          <w:rFonts w:ascii="Arial" w:hAnsi="Arial" w:cs="Arial"/>
          <w:kern w:val="0"/>
          <w:szCs w:val="24"/>
          <w:lang w:val="en-GB"/>
        </w:rPr>
        <w:t>.  The practice is for such a letter to be issued only where a person has had the original genital organs removed and has had some form of the genital organs of the opposite sex constructed.</w:t>
      </w:r>
      <w:r w:rsidRPr="0028108F">
        <w:rPr>
          <w:rStyle w:val="FootnoteReference"/>
          <w:rFonts w:ascii="Arial" w:hAnsi="Arial" w:cs="Arial"/>
          <w:kern w:val="0"/>
          <w:szCs w:val="24"/>
          <w:lang w:val="en-GB"/>
        </w:rPr>
        <w:footnoteReference w:id="89"/>
      </w:r>
      <w:r w:rsidRPr="0028108F">
        <w:rPr>
          <w:rFonts w:ascii="Arial" w:hAnsi="Arial" w:cs="Arial"/>
          <w:kern w:val="0"/>
          <w:szCs w:val="24"/>
          <w:lang w:val="en-GB"/>
        </w:rPr>
        <w:t xml:space="preserve">  Such letter serves as the medical certificate mentioned in </w:t>
      </w:r>
      <w:r w:rsidR="00451AB0" w:rsidRPr="0028108F">
        <w:rPr>
          <w:rFonts w:ascii="Arial" w:hAnsi="Arial" w:cs="Arial"/>
          <w:kern w:val="0"/>
          <w:szCs w:val="24"/>
          <w:lang w:val="en-GB"/>
        </w:rPr>
        <w:t>paragraph</w:t>
      </w:r>
      <w:r w:rsidRPr="0028108F">
        <w:rPr>
          <w:rFonts w:ascii="Arial" w:hAnsi="Arial" w:cs="Arial"/>
          <w:kern w:val="0"/>
          <w:szCs w:val="24"/>
          <w:lang w:val="en-GB"/>
        </w:rPr>
        <w:t xml:space="preserve"> 2.6 above for the application to change the sex entry on </w:t>
      </w:r>
      <w:r w:rsidR="002C3BBD" w:rsidRPr="0028108F">
        <w:rPr>
          <w:rFonts w:ascii="Arial" w:hAnsi="Arial" w:cs="Arial"/>
          <w:kern w:val="0"/>
          <w:szCs w:val="24"/>
          <w:lang w:val="en-GB"/>
        </w:rPr>
        <w:t>a person</w:t>
      </w:r>
      <w:r w:rsidRPr="0028108F">
        <w:rPr>
          <w:rFonts w:ascii="Arial" w:hAnsi="Arial" w:cs="Arial"/>
          <w:kern w:val="0"/>
          <w:szCs w:val="24"/>
          <w:lang w:val="en-GB"/>
        </w:rPr>
        <w:t xml:space="preserve">’s HKIC </w:t>
      </w:r>
      <w:r w:rsidR="002C3BBD" w:rsidRPr="0028108F">
        <w:rPr>
          <w:rFonts w:ascii="Arial" w:hAnsi="Arial" w:cs="Arial"/>
          <w:kern w:val="0"/>
          <w:szCs w:val="24"/>
          <w:lang w:val="en-GB"/>
        </w:rPr>
        <w:t>(</w:t>
      </w:r>
      <w:r w:rsidRPr="0028108F">
        <w:rPr>
          <w:rFonts w:ascii="Arial" w:hAnsi="Arial" w:cs="Arial"/>
          <w:kern w:val="0"/>
          <w:szCs w:val="24"/>
          <w:lang w:val="en-GB"/>
        </w:rPr>
        <w:t>pursuant to Regulations 14 and 18 of the Registration of Persons Regulations (Cap 177A)</w:t>
      </w:r>
      <w:r w:rsidR="002C3BBD" w:rsidRPr="0028108F">
        <w:rPr>
          <w:rFonts w:ascii="Arial" w:hAnsi="Arial" w:cs="Arial"/>
          <w:kern w:val="0"/>
          <w:szCs w:val="24"/>
          <w:lang w:val="en-GB"/>
        </w:rPr>
        <w:t>)</w:t>
      </w:r>
      <w:r w:rsidRPr="0028108F">
        <w:rPr>
          <w:rFonts w:ascii="Arial" w:hAnsi="Arial" w:cs="Arial"/>
          <w:kern w:val="0"/>
          <w:szCs w:val="24"/>
          <w:lang w:val="en-GB"/>
        </w:rPr>
        <w:t>.</w:t>
      </w:r>
    </w:p>
    <w:p w:rsidR="00915161" w:rsidRPr="0028108F" w:rsidRDefault="00915161">
      <w:pPr>
        <w:widowControl/>
        <w:rPr>
          <w:rFonts w:ascii="Arial" w:hAnsi="Arial" w:cs="Arial"/>
          <w:b/>
          <w:i/>
          <w:szCs w:val="24"/>
          <w:lang w:val="en-GB"/>
        </w:rPr>
      </w:pPr>
    </w:p>
    <w:p w:rsidR="00915161" w:rsidRPr="0028108F" w:rsidRDefault="00915161" w:rsidP="00DE5BD5">
      <w:pPr>
        <w:tabs>
          <w:tab w:val="left" w:pos="993"/>
        </w:tabs>
        <w:adjustRightInd w:val="0"/>
        <w:snapToGrid w:val="0"/>
        <w:jc w:val="both"/>
        <w:rPr>
          <w:rFonts w:ascii="Arial" w:hAnsi="Arial" w:cs="Arial"/>
          <w:b/>
          <w:i/>
          <w:szCs w:val="24"/>
          <w:lang w:val="en-GB"/>
        </w:rPr>
      </w:pPr>
      <w:r w:rsidRPr="0028108F">
        <w:rPr>
          <w:rFonts w:ascii="Arial" w:hAnsi="Arial" w:cs="Arial"/>
          <w:b/>
          <w:i/>
          <w:szCs w:val="24"/>
          <w:lang w:val="en-GB"/>
        </w:rPr>
        <w:t>Recent enhancement of HA services</w:t>
      </w: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Following consultation with patient groups, the HA has </w:t>
      </w:r>
      <w:r w:rsidR="002D2609">
        <w:rPr>
          <w:rFonts w:ascii="Arial" w:hAnsi="Arial" w:cs="Arial" w:hint="eastAsia"/>
          <w:szCs w:val="24"/>
          <w:lang w:val="en-GB"/>
        </w:rPr>
        <w:t>since</w:t>
      </w:r>
      <w:r w:rsidR="002D2609" w:rsidRPr="0028108F">
        <w:rPr>
          <w:rFonts w:ascii="Arial" w:hAnsi="Arial" w:cs="Arial"/>
          <w:szCs w:val="24"/>
          <w:lang w:val="en-GB"/>
        </w:rPr>
        <w:t xml:space="preserve"> </w:t>
      </w:r>
      <w:r w:rsidRPr="0028108F">
        <w:rPr>
          <w:rFonts w:ascii="Arial" w:hAnsi="Arial" w:cs="Arial"/>
          <w:szCs w:val="24"/>
          <w:lang w:val="en-GB"/>
        </w:rPr>
        <w:t xml:space="preserve">enhanced the services provided to people with </w:t>
      </w:r>
      <w:r w:rsidR="00334997" w:rsidRPr="0028108F">
        <w:rPr>
          <w:rFonts w:ascii="Arial" w:hAnsi="Arial" w:cs="Arial"/>
          <w:szCs w:val="24"/>
          <w:lang w:val="en-GB"/>
        </w:rPr>
        <w:t>gender identity disorder</w:t>
      </w:r>
      <w:r w:rsidRPr="0028108F">
        <w:rPr>
          <w:rFonts w:ascii="Arial" w:hAnsi="Arial" w:cs="Arial"/>
          <w:szCs w:val="24"/>
          <w:lang w:val="en-GB"/>
        </w:rPr>
        <w:t xml:space="preserve">, based on a </w:t>
      </w:r>
      <w:r w:rsidRPr="0028108F">
        <w:rPr>
          <w:rFonts w:ascii="Arial" w:hAnsi="Arial" w:cs="Arial"/>
          <w:i/>
          <w:szCs w:val="24"/>
          <w:lang w:val="en-GB"/>
        </w:rPr>
        <w:t>“multidisciplinary centre”</w:t>
      </w:r>
      <w:r w:rsidRPr="0028108F">
        <w:rPr>
          <w:rFonts w:ascii="Arial" w:hAnsi="Arial" w:cs="Arial"/>
          <w:szCs w:val="24"/>
          <w:lang w:val="en-GB"/>
        </w:rPr>
        <w:t xml:space="preserve"> approach.  Starting from</w:t>
      </w:r>
      <w:r w:rsidR="00455E1C">
        <w:rPr>
          <w:rFonts w:ascii="Arial" w:hAnsi="Arial" w:cs="Arial"/>
          <w:szCs w:val="24"/>
          <w:lang w:val="en-GB"/>
        </w:rPr>
        <w:t xml:space="preserve"> October 2016</w:t>
      </w:r>
      <w:r w:rsidRPr="0028108F">
        <w:rPr>
          <w:rFonts w:ascii="Arial" w:hAnsi="Arial" w:cs="Arial"/>
          <w:szCs w:val="24"/>
          <w:lang w:val="en-GB"/>
        </w:rPr>
        <w:t xml:space="preserve">, </w:t>
      </w:r>
      <w:r w:rsidRPr="00455E1C">
        <w:rPr>
          <w:rFonts w:ascii="Arial" w:hAnsi="Arial" w:cs="Arial"/>
          <w:szCs w:val="24"/>
          <w:lang w:val="en-GB"/>
        </w:rPr>
        <w:t xml:space="preserve">all </w:t>
      </w:r>
      <w:r w:rsidR="00334997" w:rsidRPr="00455E1C">
        <w:rPr>
          <w:rFonts w:ascii="Arial" w:hAnsi="Arial" w:cs="Arial"/>
          <w:szCs w:val="24"/>
          <w:lang w:val="en-GB"/>
        </w:rPr>
        <w:t>gender identity disorder</w:t>
      </w:r>
      <w:r w:rsidRPr="00455E1C">
        <w:rPr>
          <w:rFonts w:ascii="Arial" w:hAnsi="Arial" w:cs="Arial"/>
          <w:szCs w:val="24"/>
          <w:lang w:val="en-GB"/>
        </w:rPr>
        <w:t xml:space="preserve">-related services </w:t>
      </w:r>
      <w:r w:rsidR="00455E1C" w:rsidRPr="008813DE">
        <w:rPr>
          <w:rFonts w:ascii="Arial" w:hAnsi="Arial" w:cs="Arial"/>
          <w:szCs w:val="24"/>
          <w:lang w:val="en-GB"/>
        </w:rPr>
        <w:t xml:space="preserve">are </w:t>
      </w:r>
      <w:r w:rsidR="00C244A1">
        <w:rPr>
          <w:rFonts w:ascii="Arial" w:hAnsi="Arial" w:cs="Arial"/>
          <w:szCs w:val="24"/>
          <w:lang w:val="en-GB"/>
        </w:rPr>
        <w:t xml:space="preserve">being </w:t>
      </w:r>
      <w:r w:rsidR="00455E1C" w:rsidRPr="008813DE">
        <w:rPr>
          <w:rFonts w:ascii="Arial" w:hAnsi="Arial" w:cs="Arial"/>
          <w:szCs w:val="24"/>
          <w:lang w:val="en-GB"/>
        </w:rPr>
        <w:t>centralised at the Gender Identity Disorder Clinic of</w:t>
      </w:r>
      <w:r w:rsidRPr="00455E1C">
        <w:rPr>
          <w:rFonts w:ascii="Arial" w:hAnsi="Arial" w:cs="Arial"/>
          <w:szCs w:val="24"/>
          <w:lang w:val="en-GB"/>
        </w:rPr>
        <w:t xml:space="preserve"> the </w:t>
      </w:r>
      <w:r w:rsidR="001A11D5" w:rsidRPr="00455E1C">
        <w:rPr>
          <w:rFonts w:ascii="Arial" w:hAnsi="Arial" w:cs="Arial"/>
          <w:szCs w:val="24"/>
          <w:lang w:val="en-GB"/>
        </w:rPr>
        <w:t>Prince of Wales Hospital</w:t>
      </w:r>
      <w:r w:rsidR="00455E1C" w:rsidRPr="008813DE">
        <w:rPr>
          <w:rFonts w:ascii="Arial" w:hAnsi="Arial" w:cs="Arial"/>
          <w:szCs w:val="24"/>
          <w:lang w:val="en-GB"/>
        </w:rPr>
        <w:t xml:space="preserve"> by phases</w:t>
      </w:r>
      <w:r w:rsidRPr="00455E1C">
        <w:rPr>
          <w:rFonts w:ascii="Arial" w:hAnsi="Arial" w:cs="Arial"/>
          <w:szCs w:val="24"/>
          <w:lang w:val="en-GB"/>
        </w:rPr>
        <w:t>.</w:t>
      </w:r>
      <w:r w:rsidRPr="00455E1C">
        <w:rPr>
          <w:rFonts w:ascii="Arial" w:hAnsi="Arial" w:cs="Arial"/>
          <w:vertAlign w:val="superscript"/>
          <w:lang w:val="en-GB"/>
        </w:rPr>
        <w:footnoteReference w:id="90"/>
      </w:r>
    </w:p>
    <w:p w:rsidR="00915161" w:rsidRPr="0028108F" w:rsidRDefault="00915161" w:rsidP="00915161">
      <w:pPr>
        <w:tabs>
          <w:tab w:val="left" w:pos="1418"/>
        </w:tabs>
        <w:adjustRightInd w:val="0"/>
        <w:snapToGrid w:val="0"/>
        <w:jc w:val="both"/>
        <w:rPr>
          <w:rFonts w:ascii="Arial" w:hAnsi="Arial" w:cs="Arial"/>
          <w:szCs w:val="24"/>
          <w:lang w:val="en-GB"/>
        </w:rPr>
      </w:pPr>
    </w:p>
    <w:p w:rsidR="00915161"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With a view to facilitating provision of transgender patient care, on 16 July 2014 the Hospital Authority issued internal administrative guidelines on registration and admission of transgender patients in hospitals, inpatient arrangement</w:t>
      </w:r>
      <w:r w:rsidR="002C3BBD" w:rsidRPr="0028108F">
        <w:rPr>
          <w:rFonts w:ascii="Arial" w:hAnsi="Arial" w:cs="Arial"/>
          <w:szCs w:val="24"/>
          <w:lang w:val="en-GB"/>
        </w:rPr>
        <w:t>s</w:t>
      </w:r>
      <w:r w:rsidRPr="0028108F">
        <w:rPr>
          <w:rFonts w:ascii="Arial" w:hAnsi="Arial" w:cs="Arial"/>
          <w:szCs w:val="24"/>
          <w:lang w:val="en-GB"/>
        </w:rPr>
        <w:t xml:space="preserve"> (assigning transgender patients to wards according to their sex as shown in valid ID) and addressing those patients (by names rather than “</w:t>
      </w:r>
      <w:r w:rsidRPr="0028108F">
        <w:rPr>
          <w:rFonts w:ascii="Arial" w:hAnsi="Arial" w:cs="Arial"/>
          <w:i/>
          <w:szCs w:val="24"/>
          <w:lang w:val="en-GB"/>
        </w:rPr>
        <w:t>Miss</w:t>
      </w:r>
      <w:r w:rsidRPr="0028108F">
        <w:rPr>
          <w:rFonts w:ascii="Arial" w:hAnsi="Arial" w:cs="Arial"/>
          <w:szCs w:val="24"/>
          <w:lang w:val="en-GB"/>
        </w:rPr>
        <w:t>” or “</w:t>
      </w:r>
      <w:r w:rsidRPr="0028108F">
        <w:rPr>
          <w:rFonts w:ascii="Arial" w:hAnsi="Arial" w:cs="Arial"/>
          <w:i/>
          <w:szCs w:val="24"/>
          <w:lang w:val="en-GB"/>
        </w:rPr>
        <w:t>Mister</w:t>
      </w:r>
      <w:r w:rsidRPr="0028108F">
        <w:rPr>
          <w:rFonts w:ascii="Arial" w:hAnsi="Arial" w:cs="Arial"/>
          <w:szCs w:val="24"/>
          <w:lang w:val="en-GB"/>
        </w:rPr>
        <w:t xml:space="preserve">” to avoid misunderstandings).  </w:t>
      </w:r>
    </w:p>
    <w:p w:rsidR="00915161" w:rsidRPr="0028108F" w:rsidRDefault="00915161" w:rsidP="0028108F">
      <w:pPr>
        <w:tabs>
          <w:tab w:val="left" w:pos="1418"/>
        </w:tabs>
        <w:adjustRightInd w:val="0"/>
        <w:snapToGrid w:val="0"/>
        <w:jc w:val="both"/>
        <w:rPr>
          <w:rFonts w:ascii="Arial" w:hAnsi="Arial" w:cs="Arial"/>
          <w:szCs w:val="24"/>
          <w:lang w:val="en-GB"/>
        </w:rPr>
      </w:pPr>
    </w:p>
    <w:p w:rsidR="00DE5BD5" w:rsidRPr="0028108F" w:rsidRDefault="00915161" w:rsidP="00915161">
      <w:pPr>
        <w:numPr>
          <w:ilvl w:val="0"/>
          <w:numId w:val="6"/>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lastRenderedPageBreak/>
        <w:t>The above discussion sets out the current position in relation to transgender or transsexual people in Hong Kong.  In the following chapters, we will review some of the models in other jurisdictions, starting with the United Kingdom.</w:t>
      </w:r>
    </w:p>
    <w:p w:rsidR="00DE5BD5" w:rsidRPr="0028108F" w:rsidRDefault="00DE5BD5">
      <w:pPr>
        <w:widowControl/>
        <w:rPr>
          <w:rFonts w:ascii="Arial" w:hAnsi="Arial" w:cs="Arial"/>
          <w:szCs w:val="24"/>
          <w:lang w:val="en-GB"/>
        </w:rPr>
      </w:pPr>
      <w:r w:rsidRPr="0028108F">
        <w:rPr>
          <w:rFonts w:ascii="Arial" w:hAnsi="Arial" w:cs="Arial"/>
          <w:szCs w:val="24"/>
          <w:lang w:val="en-GB"/>
        </w:rPr>
        <w:br w:type="page"/>
      </w:r>
    </w:p>
    <w:p w:rsidR="00DE5BD5" w:rsidRPr="0028108F" w:rsidRDefault="00DE5BD5" w:rsidP="00DE5BD5">
      <w:pPr>
        <w:adjustRightInd w:val="0"/>
        <w:snapToGrid w:val="0"/>
        <w:jc w:val="both"/>
        <w:rPr>
          <w:rFonts w:ascii="Arial" w:hAnsi="Arial" w:cs="Arial"/>
          <w:b/>
          <w:sz w:val="32"/>
          <w:szCs w:val="32"/>
          <w:lang w:val="en-GB"/>
        </w:rPr>
      </w:pPr>
      <w:r w:rsidRPr="0028108F">
        <w:rPr>
          <w:rFonts w:ascii="Arial" w:hAnsi="Arial" w:cs="Arial"/>
          <w:b/>
          <w:sz w:val="32"/>
          <w:szCs w:val="32"/>
          <w:lang w:val="en-GB"/>
        </w:rPr>
        <w:lastRenderedPageBreak/>
        <w:t>CHAPTER 3</w:t>
      </w:r>
    </w:p>
    <w:p w:rsidR="00DE5BD5" w:rsidRPr="0028108F" w:rsidRDefault="00DE5BD5" w:rsidP="00DE5BD5">
      <w:pPr>
        <w:adjustRightInd w:val="0"/>
        <w:snapToGrid w:val="0"/>
        <w:jc w:val="both"/>
        <w:rPr>
          <w:rFonts w:ascii="Arial" w:hAnsi="Arial" w:cs="Arial"/>
          <w:b/>
          <w:szCs w:val="24"/>
          <w:lang w:val="en-GB"/>
        </w:rPr>
      </w:pPr>
    </w:p>
    <w:p w:rsidR="00DE5BD5" w:rsidRPr="0028108F" w:rsidRDefault="00DE5BD5" w:rsidP="00DE5BD5">
      <w:pPr>
        <w:adjustRightInd w:val="0"/>
        <w:snapToGrid w:val="0"/>
        <w:jc w:val="both"/>
        <w:rPr>
          <w:rFonts w:ascii="Arial" w:hAnsi="Arial" w:cs="Arial"/>
          <w:b/>
          <w:caps/>
          <w:sz w:val="32"/>
          <w:szCs w:val="32"/>
          <w:lang w:val="en-GB"/>
        </w:rPr>
      </w:pPr>
      <w:r w:rsidRPr="0028108F">
        <w:rPr>
          <w:rFonts w:ascii="Arial" w:hAnsi="Arial" w:cs="Arial"/>
          <w:b/>
          <w:sz w:val="32"/>
          <w:szCs w:val="32"/>
          <w:lang w:val="en-GB"/>
        </w:rPr>
        <w:t>United Kingdom Gender Recognition Scheme</w:t>
      </w:r>
    </w:p>
    <w:p w:rsidR="00DE5BD5" w:rsidRPr="0028108F" w:rsidRDefault="00DE5BD5" w:rsidP="00DE5BD5">
      <w:pPr>
        <w:adjustRightInd w:val="0"/>
        <w:snapToGrid w:val="0"/>
        <w:jc w:val="both"/>
        <w:rPr>
          <w:rFonts w:ascii="Arial" w:hAnsi="Arial" w:cs="Arial"/>
          <w:b/>
          <w:szCs w:val="24"/>
          <w:lang w:val="en-GB"/>
        </w:rPr>
      </w:pPr>
      <w:r w:rsidRPr="0028108F">
        <w:rPr>
          <w:rFonts w:ascii="Arial" w:hAnsi="Arial" w:cs="Arial"/>
          <w:b/>
          <w:szCs w:val="24"/>
          <w:lang w:val="en-GB"/>
        </w:rPr>
        <w:t>__________________________</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b/>
          <w:sz w:val="28"/>
          <w:szCs w:val="24"/>
          <w:lang w:val="en-GB"/>
        </w:rPr>
      </w:pPr>
      <w:r w:rsidRPr="0028108F">
        <w:rPr>
          <w:rFonts w:ascii="Arial" w:hAnsi="Arial" w:cs="Arial"/>
          <w:b/>
          <w:sz w:val="28"/>
          <w:szCs w:val="24"/>
          <w:lang w:val="en-GB"/>
        </w:rPr>
        <w:t>Introduction</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As will be illustrated in the next </w:t>
      </w:r>
      <w:r w:rsidR="0065537A" w:rsidRPr="0028108F">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of this paper, there is no single </w:t>
      </w:r>
      <w:r w:rsidR="008F5CF0">
        <w:rPr>
          <w:rFonts w:ascii="Arial" w:hAnsi="Arial" w:cs="Arial" w:hint="eastAsia"/>
          <w:szCs w:val="24"/>
          <w:lang w:val="en-GB"/>
        </w:rPr>
        <w:t>uniform</w:t>
      </w:r>
      <w:r w:rsidR="008F5CF0" w:rsidRPr="0028108F">
        <w:rPr>
          <w:rFonts w:ascii="Arial" w:hAnsi="Arial" w:cs="Arial"/>
          <w:szCs w:val="24"/>
          <w:lang w:val="en-GB"/>
        </w:rPr>
        <w:t xml:space="preserve"> </w:t>
      </w:r>
      <w:r w:rsidRPr="0028108F">
        <w:rPr>
          <w:rFonts w:ascii="Arial" w:hAnsi="Arial" w:cs="Arial"/>
          <w:szCs w:val="24"/>
          <w:lang w:val="en-GB"/>
        </w:rPr>
        <w:t xml:space="preserve">approach in overseas jurisdictions in relation to gender recognition and the issues that it raises.  Currently, all EU Member States already give legal recognition to gender change, as do many other countries in Europe and the </w:t>
      </w:r>
      <w:r w:rsidR="00614FD8">
        <w:rPr>
          <w:rFonts w:ascii="Arial" w:hAnsi="Arial" w:cs="Arial"/>
          <w:szCs w:val="24"/>
          <w:lang w:val="en-GB"/>
        </w:rPr>
        <w:t xml:space="preserve">British </w:t>
      </w:r>
      <w:r w:rsidRPr="0028108F">
        <w:rPr>
          <w:rFonts w:ascii="Arial" w:hAnsi="Arial" w:cs="Arial"/>
          <w:szCs w:val="24"/>
          <w:lang w:val="en-GB"/>
        </w:rPr>
        <w:t xml:space="preserve">Commonwealth and many American States.  In this </w:t>
      </w:r>
      <w:r w:rsidR="0065537A" w:rsidRPr="0028108F">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we examine the gender recognition scheme that applies in the United Kingdom, which was described as a </w:t>
      </w:r>
      <w:r w:rsidRPr="0028108F">
        <w:rPr>
          <w:rFonts w:ascii="Arial" w:hAnsi="Arial" w:cs="Arial"/>
          <w:i/>
          <w:szCs w:val="24"/>
          <w:lang w:val="en-GB"/>
        </w:rPr>
        <w:t>“compelling model”</w:t>
      </w:r>
      <w:r w:rsidRPr="0028108F">
        <w:rPr>
          <w:rFonts w:ascii="Arial" w:hAnsi="Arial" w:cs="Arial"/>
          <w:szCs w:val="24"/>
          <w:lang w:val="en-GB"/>
        </w:rPr>
        <w:t xml:space="preserve"> by the CFA in the </w:t>
      </w:r>
      <w:r w:rsidRPr="0028108F">
        <w:rPr>
          <w:rFonts w:ascii="Arial" w:hAnsi="Arial" w:cs="Arial"/>
          <w:i/>
          <w:szCs w:val="24"/>
          <w:lang w:val="en-GB"/>
        </w:rPr>
        <w:t>W</w:t>
      </w:r>
      <w:r w:rsidRPr="0028108F">
        <w:rPr>
          <w:rFonts w:ascii="Arial" w:hAnsi="Arial" w:cs="Arial"/>
          <w:szCs w:val="24"/>
          <w:lang w:val="en-GB"/>
        </w:rPr>
        <w:t>’s case.</w:t>
      </w:r>
      <w:r w:rsidRPr="0028108F">
        <w:rPr>
          <w:rStyle w:val="FootnoteReference"/>
          <w:rFonts w:ascii="Arial" w:hAnsi="Arial" w:cs="Arial"/>
          <w:szCs w:val="24"/>
          <w:lang w:val="en-GB"/>
        </w:rPr>
        <w:footnoteReference w:id="91"/>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Following an overview of the scheme, provided below, this </w:t>
      </w:r>
      <w:r w:rsidR="0065537A" w:rsidRPr="0028108F">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examines the developments which led up to the scheme’s introduction, including a review of the work of the UK’s Interdepartmental Working Group on Transsexual People and the important judicial decisions which informed the resulting legislation.  The Gender Recognition Act 2004 is then examined, followed by a discussion of the work of the Gender Recognition Panel set up to determine applications for gender recognition under the Act.</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b/>
          <w:sz w:val="28"/>
          <w:szCs w:val="24"/>
          <w:lang w:val="en-GB"/>
        </w:rPr>
      </w:pPr>
      <w:r w:rsidRPr="0028108F">
        <w:rPr>
          <w:rFonts w:ascii="Arial" w:hAnsi="Arial" w:cs="Arial"/>
          <w:b/>
          <w:sz w:val="28"/>
          <w:szCs w:val="24"/>
          <w:lang w:val="en-GB"/>
        </w:rPr>
        <w:t>Overview of the UK gender recognition scheme</w:t>
      </w:r>
    </w:p>
    <w:p w:rsidR="00DE5BD5" w:rsidRPr="0028108F" w:rsidRDefault="00DE5BD5" w:rsidP="00DE5BD5">
      <w:pPr>
        <w:adjustRightInd w:val="0"/>
        <w:snapToGrid w:val="0"/>
        <w:jc w:val="both"/>
        <w:rPr>
          <w:rFonts w:ascii="Arial" w:hAnsi="Arial" w:cs="Arial"/>
          <w:caps/>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legislation underpinning the UK’s gender recognition scheme is the Gender Recognition Act 2004 </w:t>
      </w:r>
      <w:r w:rsidR="00784AF1" w:rsidRPr="0028108F">
        <w:rPr>
          <w:rFonts w:ascii="Arial" w:hAnsi="Arial" w:cs="Arial"/>
          <w:szCs w:val="24"/>
          <w:lang w:val="en-GB"/>
        </w:rPr>
        <w:t>(“</w:t>
      </w:r>
      <w:r w:rsidR="00784AF1" w:rsidRPr="0028108F">
        <w:rPr>
          <w:rFonts w:ascii="Arial" w:hAnsi="Arial" w:cs="Arial"/>
          <w:i/>
          <w:szCs w:val="24"/>
          <w:lang w:val="en-GB"/>
        </w:rPr>
        <w:t>GRA</w:t>
      </w:r>
      <w:r w:rsidR="00784AF1" w:rsidRPr="00181CF2">
        <w:rPr>
          <w:rFonts w:ascii="Arial" w:hAnsi="Arial" w:cs="Arial"/>
          <w:szCs w:val="24"/>
          <w:lang w:val="en-GB"/>
        </w:rPr>
        <w:t xml:space="preserve">”) </w:t>
      </w:r>
      <w:r w:rsidRPr="00C57CE1">
        <w:rPr>
          <w:rFonts w:ascii="Arial" w:hAnsi="Arial" w:cs="Arial"/>
          <w:szCs w:val="24"/>
          <w:lang w:val="en-GB"/>
        </w:rPr>
        <w:t>which came into effect in April 2005.  The purpose of the Act is to provide transsexual people with legal recognition in their acquired gender</w:t>
      </w:r>
      <w:r w:rsidRPr="0028108F">
        <w:rPr>
          <w:rFonts w:ascii="Arial" w:hAnsi="Arial" w:cs="Arial"/>
          <w:szCs w:val="24"/>
          <w:lang w:val="en-GB"/>
        </w:rPr>
        <w:t>.</w:t>
      </w:r>
      <w:r w:rsidR="00F37F2D" w:rsidRPr="0028108F">
        <w:rPr>
          <w:rStyle w:val="FootnoteReference"/>
          <w:rFonts w:ascii="Arial" w:hAnsi="Arial" w:cs="Arial"/>
          <w:szCs w:val="24"/>
          <w:lang w:val="en-GB"/>
        </w:rPr>
        <w:footnoteReference w:id="92"/>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Under the Act, legal recognition follows from the issue of a Gender Recognition Certificate by a judicial Gender Recognition Panel </w:t>
      </w:r>
      <w:r w:rsidR="00FD426B" w:rsidRPr="0028108F">
        <w:rPr>
          <w:rFonts w:ascii="Arial" w:hAnsi="Arial" w:cs="Arial"/>
          <w:szCs w:val="24"/>
          <w:lang w:val="en-GB"/>
        </w:rPr>
        <w:t>(“</w:t>
      </w:r>
      <w:r w:rsidR="00FD426B" w:rsidRPr="0028108F">
        <w:rPr>
          <w:rFonts w:ascii="Arial" w:hAnsi="Arial" w:cs="Arial"/>
          <w:i/>
          <w:szCs w:val="24"/>
          <w:lang w:val="en-GB"/>
        </w:rPr>
        <w:t>GRP</w:t>
      </w:r>
      <w:r w:rsidR="00FD426B" w:rsidRPr="00181CF2">
        <w:rPr>
          <w:rFonts w:ascii="Arial" w:hAnsi="Arial" w:cs="Arial"/>
          <w:szCs w:val="24"/>
          <w:lang w:val="en-GB"/>
        </w:rPr>
        <w:t>”</w:t>
      </w:r>
      <w:r w:rsidR="00FD426B" w:rsidRPr="00C57CE1">
        <w:rPr>
          <w:rFonts w:ascii="Arial" w:hAnsi="Arial" w:cs="Arial"/>
          <w:szCs w:val="24"/>
          <w:lang w:val="en-GB"/>
        </w:rPr>
        <w:t xml:space="preserve">) </w:t>
      </w:r>
      <w:r w:rsidRPr="0028108F">
        <w:rPr>
          <w:rFonts w:ascii="Arial" w:hAnsi="Arial" w:cs="Arial"/>
          <w:szCs w:val="24"/>
          <w:lang w:val="en-GB"/>
        </w:rPr>
        <w:t xml:space="preserve">comprising qualified members from the legal and medical fields.  Based on specified evidence which the applicant must submit, the </w:t>
      </w:r>
      <w:r w:rsidR="00FD426B" w:rsidRPr="0028108F">
        <w:rPr>
          <w:rFonts w:ascii="Arial" w:hAnsi="Arial" w:cs="Arial"/>
          <w:szCs w:val="24"/>
          <w:lang w:val="en-GB"/>
        </w:rPr>
        <w:t>GRP</w:t>
      </w:r>
      <w:r w:rsidRPr="0028108F">
        <w:rPr>
          <w:rFonts w:ascii="Arial" w:hAnsi="Arial" w:cs="Arial"/>
          <w:szCs w:val="24"/>
          <w:lang w:val="en-GB"/>
        </w:rPr>
        <w:t xml:space="preserve"> is required to be satisfied that the applicant:</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has, or has had, gender dysphoria;</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has lived in the acquired gender throughout the preceding two years</w:t>
      </w:r>
      <w:r w:rsidR="0022178B">
        <w:rPr>
          <w:rFonts w:ascii="Arial" w:hAnsi="Arial" w:cs="Arial"/>
          <w:szCs w:val="24"/>
          <w:lang w:val="en-GB"/>
        </w:rPr>
        <w:t>;</w:t>
      </w:r>
      <w:r w:rsidRPr="0028108F">
        <w:rPr>
          <w:rFonts w:ascii="Arial" w:hAnsi="Arial" w:cs="Arial"/>
          <w:szCs w:val="24"/>
          <w:lang w:val="en-GB"/>
        </w:rPr>
        <w:t xml:space="preserve"> and</w:t>
      </w:r>
    </w:p>
    <w:p w:rsidR="00DE5BD5" w:rsidRPr="0028108F" w:rsidRDefault="00DE5BD5" w:rsidP="00DE5BD5">
      <w:pPr>
        <w:autoSpaceDE w:val="0"/>
        <w:autoSpaceDN w:val="0"/>
        <w:adjustRightInd w:val="0"/>
        <w:snapToGrid w:val="0"/>
        <w:ind w:left="992"/>
        <w:jc w:val="both"/>
        <w:rPr>
          <w:rFonts w:ascii="Arial" w:hAnsi="Arial" w:cs="Arial"/>
          <w:szCs w:val="24"/>
          <w:lang w:val="en-GB"/>
        </w:rPr>
      </w:pPr>
    </w:p>
    <w:p w:rsidR="00DE5BD5" w:rsidRPr="0028108F" w:rsidRDefault="00DE5BD5" w:rsidP="00DE5BD5">
      <w:pPr>
        <w:autoSpaceDE w:val="0"/>
        <w:autoSpaceDN w:val="0"/>
        <w:adjustRightInd w:val="0"/>
        <w:snapToGrid w:val="0"/>
        <w:ind w:left="992"/>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intends to continue to live in the acquired gender until death.</w:t>
      </w:r>
      <w:r w:rsidRPr="0028108F">
        <w:rPr>
          <w:rStyle w:val="FootnoteReference"/>
          <w:rFonts w:ascii="Arial" w:hAnsi="Arial" w:cs="Arial"/>
          <w:szCs w:val="24"/>
          <w:lang w:val="en-GB"/>
        </w:rPr>
        <w:footnoteReference w:id="93"/>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issue of the Gender Recognition Certificate signifies that the applicant</w:t>
      </w:r>
      <w:r w:rsidR="00F37F2D">
        <w:rPr>
          <w:rFonts w:ascii="Arial" w:hAnsi="Arial" w:cs="Arial"/>
          <w:szCs w:val="24"/>
          <w:lang w:val="en-GB"/>
        </w:rPr>
        <w:t>’</w:t>
      </w:r>
      <w:r w:rsidRPr="0028108F">
        <w:rPr>
          <w:rFonts w:ascii="Arial" w:hAnsi="Arial" w:cs="Arial"/>
          <w:szCs w:val="24"/>
          <w:lang w:val="en-GB"/>
        </w:rPr>
        <w:t>s new gender is officially recognised for all purposes; thus a male-to-female transsexual person will be legally recognised as a woman in English law and a female-to-male transsexual person will be legally recognised as a man.  The person is entitled to a new birth certificate reflecting his or her acquired gender (provided a UK birth register entry already exists for the person) and, under the previous version of the Act, would be able to marry someone of the opposite gender to his or her acquired gender provided any existing marriage or civil partnership was dissolved or annulled.</w:t>
      </w:r>
      <w:r w:rsidRPr="0028108F">
        <w:rPr>
          <w:rStyle w:val="FootnoteReference"/>
          <w:rFonts w:ascii="Arial" w:hAnsi="Arial" w:cs="Arial"/>
          <w:szCs w:val="24"/>
          <w:lang w:val="en-GB"/>
        </w:rPr>
        <w:footnoteReference w:id="94"/>
      </w:r>
      <w:r w:rsidRPr="0028108F">
        <w:rPr>
          <w:rFonts w:ascii="Arial" w:hAnsi="Arial" w:cs="Arial"/>
          <w:szCs w:val="24"/>
          <w:lang w:val="en-GB"/>
        </w:rPr>
        <w:t xml:space="preserve">  There have been developments allowing same-sex marriage</w:t>
      </w:r>
      <w:r w:rsidRPr="0028108F">
        <w:rPr>
          <w:rStyle w:val="FootnoteReference"/>
          <w:rFonts w:ascii="Arial" w:hAnsi="Arial" w:cs="Arial"/>
          <w:szCs w:val="24"/>
          <w:lang w:val="en-GB"/>
        </w:rPr>
        <w:footnoteReference w:id="95"/>
      </w:r>
      <w:r w:rsidRPr="0028108F">
        <w:rPr>
          <w:rFonts w:ascii="Arial" w:hAnsi="Arial" w:cs="Arial"/>
          <w:szCs w:val="24"/>
          <w:lang w:val="en-GB"/>
        </w:rPr>
        <w:t xml:space="preserve"> since the Act was introduced and under the current version of the Act, there is no longer a requirement for an existing marriage to be dissolved or annulled provided there was spousal consent to the marriage continuing after the issue of a Gender Recognition Certificate.</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In addition to its comprehensiveness, the inclusiveness of the Act </w:t>
      </w:r>
      <w:r w:rsidR="00722858">
        <w:rPr>
          <w:rFonts w:ascii="Arial" w:hAnsi="Arial" w:cs="Arial" w:hint="eastAsia"/>
          <w:szCs w:val="24"/>
          <w:lang w:val="en-GB"/>
        </w:rPr>
        <w:t>should be</w:t>
      </w:r>
      <w:r w:rsidRPr="0028108F">
        <w:rPr>
          <w:rFonts w:ascii="Arial" w:hAnsi="Arial" w:cs="Arial"/>
          <w:szCs w:val="24"/>
          <w:lang w:val="en-GB"/>
        </w:rPr>
        <w:t xml:space="preserve"> noted.  Compared to similar laws in other jurisdictions, the Act does not require specific nationality, residence in the country, infertility and childlessness, hormonal treatment, or gender reassignment surgery.</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caps/>
          <w:szCs w:val="24"/>
          <w:lang w:val="en-GB"/>
        </w:rPr>
      </w:pPr>
    </w:p>
    <w:p w:rsidR="00DE5BD5" w:rsidRPr="00181CF2" w:rsidRDefault="00DE5BD5" w:rsidP="00DE5BD5">
      <w:pPr>
        <w:adjustRightInd w:val="0"/>
        <w:snapToGrid w:val="0"/>
        <w:jc w:val="both"/>
        <w:rPr>
          <w:rFonts w:ascii="Arial" w:hAnsi="Arial" w:cs="Arial"/>
          <w:b/>
          <w:caps/>
          <w:sz w:val="28"/>
          <w:szCs w:val="24"/>
          <w:lang w:val="en-GB"/>
        </w:rPr>
      </w:pPr>
      <w:r w:rsidRPr="0028108F">
        <w:rPr>
          <w:rFonts w:ascii="Arial" w:hAnsi="Arial" w:cs="Arial"/>
          <w:b/>
          <w:sz w:val="28"/>
          <w:szCs w:val="24"/>
          <w:lang w:val="en-GB"/>
        </w:rPr>
        <w:t>Background</w:t>
      </w:r>
      <w:r w:rsidRPr="0028108F">
        <w:rPr>
          <w:rStyle w:val="FootnoteReference"/>
          <w:rFonts w:ascii="Arial" w:hAnsi="Arial" w:cs="Arial"/>
          <w:sz w:val="28"/>
          <w:szCs w:val="24"/>
          <w:lang w:val="en-GB"/>
        </w:rPr>
        <w:footnoteReference w:id="96"/>
      </w:r>
    </w:p>
    <w:p w:rsidR="00DE5BD5" w:rsidRPr="00C57CE1" w:rsidRDefault="00DE5BD5" w:rsidP="00DE5BD5">
      <w:pPr>
        <w:adjustRightInd w:val="0"/>
        <w:snapToGrid w:val="0"/>
        <w:jc w:val="both"/>
        <w:rPr>
          <w:rFonts w:ascii="Arial" w:hAnsi="Arial" w:cs="Arial"/>
          <w:caps/>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Prior to the enactment of the legislation, there was no provision under the law of any part of the UK to allow transsexual people to be officially recognised in the gender with which they identified.</w:t>
      </w:r>
      <w:r w:rsidRPr="0028108F">
        <w:rPr>
          <w:rStyle w:val="FootnoteReference"/>
          <w:rFonts w:ascii="Arial" w:hAnsi="Arial" w:cs="Arial"/>
          <w:color w:val="000000"/>
          <w:kern w:val="0"/>
          <w:szCs w:val="24"/>
          <w:lang w:val="en-GB"/>
        </w:rPr>
        <w:footnoteReference w:id="97"/>
      </w:r>
      <w:r w:rsidRPr="0028108F">
        <w:rPr>
          <w:rFonts w:ascii="Arial" w:hAnsi="Arial" w:cs="Arial"/>
          <w:szCs w:val="24"/>
          <w:lang w:val="en-GB"/>
        </w:rPr>
        <w:t xml:space="preserve">  The consequences of this included:</w:t>
      </w:r>
    </w:p>
    <w:p w:rsidR="00DE5BD5" w:rsidRPr="0028108F" w:rsidRDefault="00DE5BD5" w:rsidP="00DE5BD5">
      <w:pPr>
        <w:widowControl/>
        <w:tabs>
          <w:tab w:val="left" w:pos="1134"/>
        </w:tabs>
        <w:adjustRightInd w:val="0"/>
        <w:snapToGrid w:val="0"/>
        <w:ind w:leftChars="295" w:left="708"/>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991"/>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transsexual people could not marry in their adopted gender;</w:t>
      </w:r>
    </w:p>
    <w:p w:rsidR="00DE5BD5" w:rsidRPr="0028108F" w:rsidRDefault="00DE5BD5" w:rsidP="00DE5BD5">
      <w:pPr>
        <w:widowControl/>
        <w:tabs>
          <w:tab w:val="left" w:pos="1134"/>
        </w:tabs>
        <w:adjustRightInd w:val="0"/>
        <w:snapToGrid w:val="0"/>
        <w:ind w:leftChars="295" w:left="1133"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although transsexual people could obtain some official documents in their new name and gender (</w:t>
      </w:r>
      <w:r w:rsidR="00D6311F" w:rsidRPr="0028108F">
        <w:rPr>
          <w:rFonts w:ascii="Arial" w:hAnsi="Arial" w:cs="Arial"/>
          <w:szCs w:val="24"/>
          <w:lang w:val="en-GB"/>
        </w:rPr>
        <w:t>eg</w:t>
      </w:r>
      <w:r w:rsidRPr="0028108F">
        <w:rPr>
          <w:rFonts w:ascii="Arial" w:hAnsi="Arial" w:cs="Arial"/>
          <w:szCs w:val="24"/>
          <w:lang w:val="en-GB"/>
        </w:rPr>
        <w:t>, passports and driver’s licences</w:t>
      </w:r>
      <w:r w:rsidRPr="0028108F">
        <w:rPr>
          <w:rStyle w:val="FootnoteReference"/>
          <w:rFonts w:ascii="Arial" w:hAnsi="Arial" w:cs="Arial"/>
          <w:szCs w:val="24"/>
          <w:lang w:val="en-GB"/>
        </w:rPr>
        <w:footnoteReference w:id="98"/>
      </w:r>
      <w:r w:rsidRPr="0028108F">
        <w:rPr>
          <w:rFonts w:ascii="Arial" w:hAnsi="Arial" w:cs="Arial"/>
          <w:szCs w:val="24"/>
          <w:lang w:val="en-GB"/>
        </w:rPr>
        <w:t>), they were not entitled to have their birth certificates revised;</w:t>
      </w:r>
    </w:p>
    <w:p w:rsidR="00DE5BD5" w:rsidRPr="0028108F" w:rsidRDefault="00DE5BD5" w:rsidP="00DE5BD5">
      <w:pPr>
        <w:widowControl/>
        <w:tabs>
          <w:tab w:val="left" w:pos="1134"/>
        </w:tabs>
        <w:adjustRightInd w:val="0"/>
        <w:snapToGrid w:val="0"/>
        <w:ind w:leftChars="295" w:left="1133"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the age of qualification for the state pension was the age appropriate for their birth certificate gender;</w:t>
      </w:r>
    </w:p>
    <w:p w:rsidR="00DE5BD5" w:rsidRPr="0028108F" w:rsidRDefault="00DE5BD5" w:rsidP="00DE5BD5">
      <w:pPr>
        <w:widowControl/>
        <w:tabs>
          <w:tab w:val="left" w:pos="1134"/>
        </w:tabs>
        <w:adjustRightInd w:val="0"/>
        <w:snapToGrid w:val="0"/>
        <w:ind w:leftChars="295" w:left="1133"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it might be necessary to reveal the birth certificate gender when applying for a new job;</w:t>
      </w:r>
    </w:p>
    <w:p w:rsidR="00DE5BD5" w:rsidRPr="0028108F" w:rsidRDefault="00DE5BD5" w:rsidP="00DE5BD5">
      <w:pPr>
        <w:widowControl/>
        <w:tabs>
          <w:tab w:val="left" w:pos="1134"/>
        </w:tabs>
        <w:adjustRightInd w:val="0"/>
        <w:snapToGrid w:val="0"/>
        <w:ind w:leftChars="295" w:left="1133"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if transsexual people did not disclose their legal gender for car insurance purposes, they might have the concern that this may amount to fraud, since premiums can be lower for women;</w:t>
      </w:r>
    </w:p>
    <w:p w:rsidR="00DE5BD5" w:rsidRPr="0028108F" w:rsidRDefault="00DE5BD5" w:rsidP="00DE5BD5">
      <w:pPr>
        <w:widowControl/>
        <w:tabs>
          <w:tab w:val="left" w:pos="1134"/>
        </w:tabs>
        <w:adjustRightInd w:val="0"/>
        <w:snapToGrid w:val="0"/>
        <w:ind w:leftChars="295" w:left="1133"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transsexual people were not entitled to enjoy any rights legally confined to persons of the gender to which they felt they belonged.</w:t>
      </w:r>
      <w:r w:rsidRPr="0028108F">
        <w:rPr>
          <w:rStyle w:val="FootnoteReference"/>
          <w:rFonts w:ascii="Arial" w:hAnsi="Arial" w:cs="Arial"/>
          <w:color w:val="000000"/>
          <w:kern w:val="0"/>
          <w:szCs w:val="24"/>
          <w:lang w:val="en-GB"/>
        </w:rPr>
        <w:footnoteReference w:id="99"/>
      </w:r>
    </w:p>
    <w:p w:rsidR="00DE5BD5" w:rsidRPr="0028108F" w:rsidRDefault="00DE5BD5" w:rsidP="00DE5BD5">
      <w:pPr>
        <w:adjustRightInd w:val="0"/>
        <w:snapToGrid w:val="0"/>
        <w:jc w:val="both"/>
        <w:rPr>
          <w:rFonts w:ascii="Arial" w:hAnsi="Arial" w:cs="Arial"/>
          <w:b/>
          <w:caps/>
          <w:szCs w:val="24"/>
          <w:lang w:val="en-GB"/>
        </w:rPr>
      </w:pPr>
    </w:p>
    <w:p w:rsidR="00DE5BD5" w:rsidRPr="0028108F" w:rsidRDefault="00DE5BD5" w:rsidP="00DE5BD5">
      <w:pPr>
        <w:adjustRightInd w:val="0"/>
        <w:snapToGrid w:val="0"/>
        <w:jc w:val="both"/>
        <w:rPr>
          <w:rFonts w:ascii="Arial" w:hAnsi="Arial" w:cs="Arial"/>
          <w:b/>
          <w:i/>
          <w:szCs w:val="24"/>
          <w:lang w:val="en-GB"/>
        </w:rPr>
      </w:pPr>
      <w:r w:rsidRPr="0028108F">
        <w:rPr>
          <w:rFonts w:ascii="Arial" w:hAnsi="Arial" w:cs="Arial"/>
          <w:b/>
          <w:i/>
          <w:szCs w:val="24"/>
          <w:lang w:val="en-GB"/>
        </w:rPr>
        <w:t>The report of the Interdepartmental Working Group on Transsexual People</w:t>
      </w:r>
    </w:p>
    <w:p w:rsidR="00DE5BD5" w:rsidRPr="0028108F" w:rsidRDefault="00DE5BD5" w:rsidP="00DE5BD5">
      <w:pPr>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b/>
          <w:szCs w:val="24"/>
          <w:lang w:val="en-GB"/>
        </w:rPr>
      </w:pPr>
      <w:r w:rsidRPr="0028108F">
        <w:rPr>
          <w:rFonts w:ascii="Arial" w:hAnsi="Arial" w:cs="Arial"/>
          <w:szCs w:val="24"/>
          <w:lang w:val="en-GB"/>
        </w:rPr>
        <w:t>The above issues were first considered by the Interdepartmental Working Group on Transsexual People which</w:t>
      </w:r>
      <w:r w:rsidRPr="0028108F">
        <w:rPr>
          <w:rFonts w:ascii="Arial" w:hAnsi="Arial" w:cs="Arial"/>
          <w:b/>
          <w:szCs w:val="24"/>
          <w:lang w:val="en-GB"/>
        </w:rPr>
        <w:t xml:space="preserve"> </w:t>
      </w:r>
      <w:r w:rsidRPr="0028108F">
        <w:rPr>
          <w:rFonts w:ascii="Arial" w:hAnsi="Arial" w:cs="Arial"/>
          <w:szCs w:val="24"/>
          <w:lang w:val="en-GB"/>
        </w:rPr>
        <w:t xml:space="preserve">was set up by the UK Government in April 1999, </w:t>
      </w:r>
      <w:r w:rsidRPr="0028108F">
        <w:rPr>
          <w:rFonts w:ascii="Arial" w:hAnsi="Arial" w:cs="Arial"/>
          <w:i/>
          <w:szCs w:val="24"/>
          <w:lang w:val="en-GB"/>
        </w:rPr>
        <w:t>“to</w:t>
      </w:r>
      <w:r w:rsidRPr="0028108F">
        <w:rPr>
          <w:rFonts w:ascii="Arial" w:hAnsi="Arial" w:cs="Arial"/>
          <w:b/>
          <w:i/>
          <w:szCs w:val="24"/>
          <w:lang w:val="en-GB"/>
        </w:rPr>
        <w:t xml:space="preserve"> </w:t>
      </w:r>
      <w:r w:rsidRPr="0028108F">
        <w:rPr>
          <w:rFonts w:ascii="Arial" w:hAnsi="Arial" w:cs="Arial"/>
          <w:i/>
          <w:szCs w:val="24"/>
          <w:lang w:val="en-GB"/>
        </w:rPr>
        <w:t>consider, with particular reference to birth certificates, the need for appropriate legal measures to address the problems experienced by transsexual people, having due regard to scientific and societal developments, and measures undertaken in other countries to deal with this issue.”</w:t>
      </w:r>
      <w:r w:rsidRPr="0028108F">
        <w:rPr>
          <w:rStyle w:val="FootnoteReference"/>
          <w:rFonts w:ascii="Arial" w:hAnsi="Arial" w:cs="Arial"/>
          <w:szCs w:val="24"/>
          <w:lang w:val="en-GB"/>
        </w:rPr>
        <w:footnoteReference w:id="100"/>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In July 2000, the Working Group presented its report to Parliament.  As a significant observation, it had found that there was </w:t>
      </w:r>
      <w:r w:rsidRPr="0028108F">
        <w:rPr>
          <w:rFonts w:ascii="Arial" w:hAnsi="Arial" w:cs="Arial"/>
          <w:i/>
          <w:szCs w:val="24"/>
          <w:lang w:val="en-GB"/>
        </w:rPr>
        <w:t xml:space="preserve">“no common approach to the transsexual condition and the issues to which it gives </w:t>
      </w:r>
      <w:r w:rsidRPr="0028108F">
        <w:rPr>
          <w:rFonts w:ascii="Arial" w:hAnsi="Arial" w:cs="Arial"/>
          <w:i/>
          <w:szCs w:val="24"/>
          <w:lang w:val="en-GB"/>
        </w:rPr>
        <w:lastRenderedPageBreak/>
        <w:t>rise”</w:t>
      </w:r>
      <w:r w:rsidRPr="0028108F">
        <w:rPr>
          <w:rStyle w:val="FootnoteReference"/>
          <w:rFonts w:ascii="Arial" w:hAnsi="Arial" w:cs="Arial"/>
          <w:szCs w:val="24"/>
          <w:lang w:val="en-GB"/>
        </w:rPr>
        <w:footnoteReference w:id="101"/>
      </w:r>
      <w:r w:rsidRPr="0028108F">
        <w:rPr>
          <w:rFonts w:ascii="Arial" w:hAnsi="Arial" w:cs="Arial"/>
          <w:szCs w:val="24"/>
          <w:lang w:val="en-GB"/>
        </w:rPr>
        <w:t xml:space="preserve"> in the European and Commonwealth countries studied.  The Working Group stated:</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“Although there is a growing tendency to recognise a transsexual person’s acquired gender, the preconditions for and extent of such recognition vary considerably.  Some countries have not yet addressed all the issues affected by the change.”</w:t>
      </w:r>
      <w:r w:rsidRPr="0028108F">
        <w:rPr>
          <w:rStyle w:val="FootnoteReference"/>
          <w:rFonts w:ascii="Arial" w:hAnsi="Arial" w:cs="Arial"/>
          <w:szCs w:val="24"/>
          <w:lang w:val="en-GB"/>
        </w:rPr>
        <w:footnoteReference w:id="102"/>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In terms of those issues, the Working Group noted that it had looked in particular at the following areas: birth registration, marriage, family law, the criminal justice system, pensions and benefits, insurance, employment, and sport.</w:t>
      </w:r>
      <w:r w:rsidRPr="0028108F">
        <w:rPr>
          <w:rStyle w:val="FootnoteReference"/>
          <w:rFonts w:ascii="Arial" w:hAnsi="Arial" w:cs="Arial"/>
          <w:szCs w:val="24"/>
          <w:lang w:val="en-GB"/>
        </w:rPr>
        <w:footnoteReference w:id="103"/>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i/>
          <w:szCs w:val="24"/>
          <w:lang w:val="en-GB"/>
        </w:rPr>
      </w:pPr>
      <w:r w:rsidRPr="0028108F">
        <w:rPr>
          <w:rFonts w:ascii="Arial" w:hAnsi="Arial" w:cs="Arial"/>
          <w:i/>
          <w:szCs w:val="24"/>
          <w:lang w:val="en-GB"/>
        </w:rPr>
        <w:t>Proposed options for consultation</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Working Group proposed three options in its report for the Government to put out to public consultation:</w:t>
      </w:r>
    </w:p>
    <w:p w:rsidR="00DE5BD5" w:rsidRPr="0028108F" w:rsidRDefault="00DE5BD5" w:rsidP="00DE5BD5">
      <w:pPr>
        <w:tabs>
          <w:tab w:val="left" w:pos="1985"/>
        </w:tabs>
        <w:adjustRightInd w:val="0"/>
        <w:snapToGrid w:val="0"/>
        <w:ind w:leftChars="354" w:left="1983" w:hangingChars="472" w:hanging="1133"/>
        <w:jc w:val="both"/>
        <w:rPr>
          <w:rFonts w:ascii="Arial" w:hAnsi="Arial" w:cs="Arial"/>
          <w:szCs w:val="24"/>
          <w:lang w:val="en-GB"/>
        </w:rPr>
      </w:pPr>
    </w:p>
    <w:p w:rsidR="00DE5BD5" w:rsidRPr="0028108F" w:rsidRDefault="00DE5BD5" w:rsidP="00DE5BD5">
      <w:pPr>
        <w:tabs>
          <w:tab w:val="left" w:pos="1985"/>
        </w:tabs>
        <w:adjustRightInd w:val="0"/>
        <w:snapToGrid w:val="0"/>
        <w:ind w:leftChars="354" w:left="1983" w:hangingChars="472" w:hanging="1133"/>
        <w:jc w:val="both"/>
        <w:rPr>
          <w:rFonts w:ascii="Arial" w:hAnsi="Arial" w:cs="Arial"/>
          <w:szCs w:val="24"/>
          <w:lang w:val="en-GB"/>
        </w:rPr>
      </w:pPr>
      <w:r w:rsidRPr="0028108F">
        <w:rPr>
          <w:rFonts w:ascii="Arial" w:hAnsi="Arial" w:cs="Arial"/>
          <w:szCs w:val="24"/>
          <w:lang w:val="en-GB"/>
        </w:rPr>
        <w:t>Option 1:</w:t>
      </w:r>
      <w:r w:rsidRPr="0028108F">
        <w:rPr>
          <w:rFonts w:ascii="Arial" w:hAnsi="Arial" w:cs="Arial"/>
          <w:szCs w:val="24"/>
          <w:lang w:val="en-GB"/>
        </w:rPr>
        <w:tab/>
        <w:t>to retain the status quo and leave the then existing law unchanged;</w:t>
      </w:r>
    </w:p>
    <w:p w:rsidR="00DE5BD5" w:rsidRPr="0028108F" w:rsidRDefault="00DE5BD5" w:rsidP="00DE5BD5">
      <w:pPr>
        <w:tabs>
          <w:tab w:val="left" w:pos="1560"/>
        </w:tabs>
        <w:adjustRightInd w:val="0"/>
        <w:snapToGrid w:val="0"/>
        <w:ind w:left="1560"/>
        <w:jc w:val="both"/>
        <w:rPr>
          <w:rFonts w:ascii="Arial" w:hAnsi="Arial" w:cs="Arial"/>
          <w:szCs w:val="24"/>
          <w:lang w:val="en-GB"/>
        </w:rPr>
      </w:pPr>
    </w:p>
    <w:p w:rsidR="00DE5BD5" w:rsidRPr="0028108F" w:rsidRDefault="00DE5BD5" w:rsidP="00DE5BD5">
      <w:pPr>
        <w:tabs>
          <w:tab w:val="left" w:pos="1985"/>
        </w:tabs>
        <w:adjustRightInd w:val="0"/>
        <w:snapToGrid w:val="0"/>
        <w:ind w:leftChars="354" w:left="1983" w:hangingChars="472" w:hanging="1133"/>
        <w:jc w:val="both"/>
        <w:rPr>
          <w:rFonts w:ascii="Arial" w:hAnsi="Arial" w:cs="Arial"/>
          <w:szCs w:val="24"/>
          <w:lang w:val="en-GB"/>
        </w:rPr>
      </w:pPr>
      <w:r w:rsidRPr="0028108F">
        <w:rPr>
          <w:rFonts w:ascii="Arial" w:hAnsi="Arial" w:cs="Arial"/>
          <w:szCs w:val="24"/>
          <w:lang w:val="en-GB"/>
        </w:rPr>
        <w:t>Option 2:</w:t>
      </w:r>
      <w:r w:rsidRPr="0028108F">
        <w:rPr>
          <w:rFonts w:ascii="Arial" w:hAnsi="Arial" w:cs="Arial"/>
          <w:szCs w:val="24"/>
          <w:lang w:val="en-GB"/>
        </w:rPr>
        <w:tab/>
        <w:t>to issue birth certificates showing a transsexual person’s new name and, possibly, gender; and</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tabs>
          <w:tab w:val="left" w:pos="1985"/>
        </w:tabs>
        <w:adjustRightInd w:val="0"/>
        <w:snapToGrid w:val="0"/>
        <w:ind w:leftChars="354" w:left="1983" w:hangingChars="472" w:hanging="1133"/>
        <w:jc w:val="both"/>
        <w:rPr>
          <w:rFonts w:ascii="Arial" w:hAnsi="Arial" w:cs="Arial"/>
          <w:szCs w:val="24"/>
          <w:lang w:val="en-GB"/>
        </w:rPr>
      </w:pPr>
      <w:r w:rsidRPr="0028108F">
        <w:rPr>
          <w:rFonts w:ascii="Arial" w:hAnsi="Arial" w:cs="Arial"/>
          <w:szCs w:val="24"/>
          <w:lang w:val="en-GB"/>
        </w:rPr>
        <w:t>Option 3:</w:t>
      </w:r>
      <w:r w:rsidRPr="0028108F">
        <w:rPr>
          <w:rFonts w:ascii="Arial" w:hAnsi="Arial" w:cs="Arial"/>
          <w:szCs w:val="24"/>
          <w:lang w:val="en-GB"/>
        </w:rPr>
        <w:tab/>
        <w:t>to grant full legal recognition of the transsexual person’s acquired gender, subject to certain criteria and procedures.</w:t>
      </w:r>
      <w:r w:rsidRPr="0028108F">
        <w:rPr>
          <w:rStyle w:val="FootnoteReference"/>
          <w:rFonts w:ascii="Arial" w:hAnsi="Arial" w:cs="Arial"/>
          <w:szCs w:val="24"/>
          <w:lang w:val="en-GB"/>
        </w:rPr>
        <w:footnoteReference w:id="104"/>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tabs>
          <w:tab w:val="left" w:pos="851"/>
        </w:tabs>
        <w:adjustRightInd w:val="0"/>
        <w:snapToGrid w:val="0"/>
        <w:jc w:val="both"/>
        <w:rPr>
          <w:rFonts w:ascii="Arial" w:hAnsi="Arial" w:cs="Arial"/>
          <w:i/>
          <w:szCs w:val="24"/>
          <w:lang w:val="en-GB"/>
        </w:rPr>
      </w:pPr>
      <w:r w:rsidRPr="0028108F">
        <w:rPr>
          <w:rFonts w:ascii="Arial" w:hAnsi="Arial" w:cs="Arial"/>
          <w:i/>
          <w:szCs w:val="24"/>
          <w:lang w:val="en-GB"/>
        </w:rPr>
        <w:t>(1)</w:t>
      </w:r>
      <w:r w:rsidRPr="0028108F">
        <w:rPr>
          <w:rFonts w:ascii="Arial" w:hAnsi="Arial" w:cs="Arial"/>
          <w:i/>
          <w:szCs w:val="24"/>
          <w:lang w:val="en-GB"/>
        </w:rPr>
        <w:tab/>
        <w:t>Maintaining the status quo</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Working Group observed that within the UK, measures had already been taken in a number of areas to assist transsexual people.  One example, in the employment context, was the prohibition set out in the Sex Discrimination (Gender Reassignment) Regulations 1999 on discriminating against people on the basis of their transsexuality (whether pre- or post-operative).  It was noted also that the criminal justice system (</w:t>
      </w:r>
      <w:r w:rsidR="00D6311F" w:rsidRPr="0028108F">
        <w:rPr>
          <w:rFonts w:ascii="Arial" w:hAnsi="Arial" w:cs="Arial"/>
          <w:szCs w:val="24"/>
          <w:lang w:val="en-GB"/>
        </w:rPr>
        <w:t>ie</w:t>
      </w:r>
      <w:r w:rsidR="006B78C8">
        <w:rPr>
          <w:rFonts w:ascii="Arial" w:hAnsi="Arial" w:cs="Arial" w:hint="eastAsia"/>
          <w:szCs w:val="24"/>
          <w:lang w:val="en-GB"/>
        </w:rPr>
        <w:t>,</w:t>
      </w:r>
      <w:r w:rsidRPr="0028108F">
        <w:rPr>
          <w:rFonts w:ascii="Arial" w:hAnsi="Arial" w:cs="Arial"/>
          <w:szCs w:val="24"/>
          <w:lang w:val="en-GB"/>
        </w:rPr>
        <w:t xml:space="preserve"> the police, prisons and the courts) endeavoured </w:t>
      </w:r>
      <w:r w:rsidRPr="0028108F">
        <w:rPr>
          <w:rFonts w:ascii="Arial" w:hAnsi="Arial" w:cs="Arial"/>
          <w:i/>
          <w:szCs w:val="24"/>
          <w:lang w:val="en-GB"/>
        </w:rPr>
        <w:t>“to accommodate the needs of transsexual people as far as possible within operational constraints.”</w:t>
      </w:r>
      <w:r w:rsidRPr="0028108F">
        <w:rPr>
          <w:rStyle w:val="FootnoteReference"/>
          <w:rFonts w:ascii="Arial" w:hAnsi="Arial" w:cs="Arial"/>
          <w:szCs w:val="24"/>
          <w:lang w:val="en-GB"/>
        </w:rPr>
        <w:footnoteReference w:id="105"/>
      </w:r>
      <w:r w:rsidRPr="0028108F">
        <w:rPr>
          <w:rFonts w:ascii="Arial" w:hAnsi="Arial" w:cs="Arial"/>
          <w:szCs w:val="24"/>
          <w:lang w:val="en-GB"/>
        </w:rPr>
        <w:t xml:space="preserve">  Instances cited included:</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 xml:space="preserve">“A transsexual offender will normally be charged in their acquired gender, and a post-operative prisoner will usually be sent to a prison appropriate to their new status. Transsexual victims and </w:t>
      </w:r>
      <w:r w:rsidRPr="0028108F">
        <w:rPr>
          <w:rFonts w:ascii="Arial" w:hAnsi="Arial" w:cs="Arial"/>
          <w:i/>
          <w:szCs w:val="24"/>
          <w:lang w:val="en-GB"/>
        </w:rPr>
        <w:lastRenderedPageBreak/>
        <w:t>witnesses will, in most circumstances, similarly be treated as belonging to their acquired gender.”</w:t>
      </w:r>
      <w:r w:rsidRPr="0028108F">
        <w:rPr>
          <w:rStyle w:val="FootnoteReference"/>
          <w:rFonts w:ascii="Arial" w:hAnsi="Arial" w:cs="Arial"/>
          <w:szCs w:val="24"/>
          <w:lang w:val="en-GB"/>
        </w:rPr>
        <w:footnoteReference w:id="106"/>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Working Group commented further that </w:t>
      </w:r>
      <w:r w:rsidRPr="0028108F">
        <w:rPr>
          <w:rFonts w:ascii="Arial" w:hAnsi="Arial" w:cs="Arial"/>
          <w:i/>
          <w:szCs w:val="24"/>
          <w:lang w:val="en-GB"/>
        </w:rPr>
        <w:t>“official documents will often be issued in the acquired gender where the issue is identifying the individual rather than legal status.  Thus, a transsexual person may obtain a passport, driving licence, medical card etc</w:t>
      </w:r>
      <w:r w:rsidR="00BE259B" w:rsidRPr="0028108F">
        <w:rPr>
          <w:rFonts w:ascii="Arial" w:hAnsi="Arial" w:cs="Arial"/>
          <w:i/>
          <w:szCs w:val="24"/>
          <w:lang w:val="en-GB"/>
        </w:rPr>
        <w:t>.</w:t>
      </w:r>
      <w:r w:rsidRPr="0028108F">
        <w:rPr>
          <w:rFonts w:ascii="Arial" w:hAnsi="Arial" w:cs="Arial"/>
          <w:i/>
          <w:szCs w:val="24"/>
          <w:lang w:val="en-GB"/>
        </w:rPr>
        <w:t xml:space="preserve"> in their new gender.”</w:t>
      </w:r>
      <w:r w:rsidRPr="0028108F">
        <w:rPr>
          <w:rStyle w:val="FootnoteReference"/>
          <w:rFonts w:ascii="Arial" w:hAnsi="Arial" w:cs="Arial"/>
          <w:szCs w:val="24"/>
          <w:lang w:val="en-GB"/>
        </w:rPr>
        <w:footnoteReference w:id="107"/>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However, the limitations of these measures from the point of view of transsexual people were also noted:</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“Notwithstanding such provisions, transsexual people are conscious of certain problems which do not have to be faced by the majority of the population. Submissions to the Group suggested that the principal areas where the transsexual community is seeking change are birth certificates, the right to marry [in their new gender] and full recognition of their new gender for all legal purposes.”</w:t>
      </w:r>
      <w:r w:rsidRPr="0028108F">
        <w:rPr>
          <w:rStyle w:val="FootnoteReference"/>
          <w:rFonts w:ascii="Arial" w:hAnsi="Arial" w:cs="Arial"/>
          <w:szCs w:val="24"/>
          <w:lang w:val="en-GB"/>
        </w:rPr>
        <w:footnoteReference w:id="108"/>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851"/>
        </w:tabs>
        <w:adjustRightInd w:val="0"/>
        <w:snapToGrid w:val="0"/>
        <w:jc w:val="both"/>
        <w:rPr>
          <w:rFonts w:ascii="Arial" w:hAnsi="Arial" w:cs="Arial"/>
          <w:i/>
          <w:szCs w:val="24"/>
          <w:lang w:val="en-GB"/>
        </w:rPr>
      </w:pPr>
      <w:r w:rsidRPr="0028108F">
        <w:rPr>
          <w:rFonts w:ascii="Arial" w:hAnsi="Arial" w:cs="Arial"/>
          <w:i/>
          <w:szCs w:val="24"/>
          <w:lang w:val="en-GB"/>
        </w:rPr>
        <w:t>(2)</w:t>
      </w:r>
      <w:r w:rsidRPr="0028108F">
        <w:rPr>
          <w:rFonts w:ascii="Arial" w:hAnsi="Arial" w:cs="Arial"/>
          <w:i/>
          <w:szCs w:val="24"/>
          <w:lang w:val="en-GB"/>
        </w:rPr>
        <w:tab/>
        <w:t>The option of issuing new birth certificates</w:t>
      </w:r>
    </w:p>
    <w:p w:rsidR="00DE5BD5" w:rsidRPr="0028108F" w:rsidRDefault="00DE5BD5" w:rsidP="00DE5BD5">
      <w:pPr>
        <w:widowControl/>
        <w:tabs>
          <w:tab w:val="left" w:pos="851"/>
        </w:tabs>
        <w:adjustRightInd w:val="0"/>
        <w:snapToGrid w:val="0"/>
        <w:jc w:val="both"/>
        <w:rPr>
          <w:rFonts w:ascii="Arial" w:hAnsi="Arial" w:cs="Arial"/>
          <w:i/>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At the time of the Working Group’s report, the birth certificate and birth register were a record of the facts applying at the time of birth, and the person’s sex was determined based on biological criteria, </w:t>
      </w:r>
      <w:r w:rsidR="00D6311F" w:rsidRPr="0028108F">
        <w:rPr>
          <w:rFonts w:ascii="Arial" w:hAnsi="Arial" w:cs="Arial"/>
          <w:szCs w:val="24"/>
          <w:lang w:val="en-GB"/>
        </w:rPr>
        <w:t>ie</w:t>
      </w:r>
      <w:r w:rsidRPr="0028108F">
        <w:rPr>
          <w:rFonts w:ascii="Arial" w:hAnsi="Arial" w:cs="Arial"/>
          <w:szCs w:val="24"/>
          <w:lang w:val="en-GB"/>
        </w:rPr>
        <w:t>, chromosomal, gonadal and genital congruity.</w:t>
      </w:r>
      <w:r w:rsidRPr="0028108F">
        <w:rPr>
          <w:rStyle w:val="FootnoteReference"/>
          <w:rFonts w:ascii="Arial" w:hAnsi="Arial" w:cs="Arial"/>
          <w:szCs w:val="24"/>
          <w:lang w:val="en-GB"/>
        </w:rPr>
        <w:footnoteReference w:id="109"/>
      </w:r>
      <w:r w:rsidRPr="0028108F">
        <w:rPr>
          <w:rFonts w:ascii="Arial" w:hAnsi="Arial" w:cs="Arial"/>
          <w:szCs w:val="24"/>
          <w:lang w:val="en-GB"/>
        </w:rPr>
        <w:t xml:space="preserve">  Subsequent amendments to the birth register could be made only where medical evidence showed that an apparent error had been made at the time of registration.</w:t>
      </w:r>
      <w:r w:rsidRPr="0028108F">
        <w:rPr>
          <w:rStyle w:val="FootnoteReference"/>
          <w:rFonts w:ascii="Arial" w:hAnsi="Arial" w:cs="Arial"/>
          <w:szCs w:val="24"/>
          <w:lang w:val="en-GB"/>
        </w:rPr>
        <w:footnoteReference w:id="110"/>
      </w:r>
      <w:r w:rsidRPr="0028108F">
        <w:rPr>
          <w:rFonts w:ascii="Arial" w:hAnsi="Arial" w:cs="Arial"/>
          <w:szCs w:val="24"/>
          <w:lang w:val="en-GB"/>
        </w:rPr>
        <w:t xml:space="preserve">  It was therefore impossible for a revised birth certificate to be issued to a transsexual person on the basis of gender reassignment.  </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With a view to easing the potentially embarrassing position of transsexual people in circumstances when they might be called upon to produce their birth certificates (for example, in relation to employment), the Working Group considered the option of procedures being put in place for the issue of short birth certificates, showing either:</w:t>
      </w:r>
      <w:r w:rsidRPr="0028108F">
        <w:rPr>
          <w:rStyle w:val="FootnoteReference"/>
          <w:rFonts w:ascii="Arial" w:hAnsi="Arial" w:cs="Arial"/>
          <w:szCs w:val="24"/>
          <w:lang w:val="en-GB"/>
        </w:rPr>
        <w:footnoteReference w:id="111"/>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a person’s new name, with no indication of his/her gender; or</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lastRenderedPageBreak/>
        <w:t xml:space="preserve">• </w:t>
      </w:r>
      <w:r w:rsidRPr="0028108F">
        <w:rPr>
          <w:rFonts w:ascii="Arial" w:hAnsi="Arial" w:cs="Arial"/>
          <w:szCs w:val="24"/>
          <w:lang w:val="en-GB"/>
        </w:rPr>
        <w:tab/>
        <w:t>both the person’s new name and new gender (which would require primary legislation affecting all parts of the UK</w:t>
      </w:r>
      <w:r w:rsidRPr="0028108F">
        <w:rPr>
          <w:rStyle w:val="FootnoteReference"/>
          <w:rFonts w:ascii="Arial" w:hAnsi="Arial" w:cs="Arial"/>
          <w:szCs w:val="24"/>
          <w:lang w:val="en-GB"/>
        </w:rPr>
        <w:footnoteReference w:id="112"/>
      </w:r>
      <w:r w:rsidRPr="0028108F">
        <w:rPr>
          <w:rFonts w:ascii="Arial" w:hAnsi="Arial" w:cs="Arial"/>
          <w:szCs w:val="24"/>
          <w:lang w:val="en-GB"/>
        </w:rPr>
        <w:t>).</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However, the Working Group thought that, unless the issuing of new birth certificates carried with it recognition for some or all legal purposes, it would do little to relieve the underlying concerns of transsexual people, </w:t>
      </w:r>
      <w:r w:rsidRPr="0028108F">
        <w:rPr>
          <w:rFonts w:ascii="Arial" w:hAnsi="Arial" w:cs="Arial"/>
          <w:i/>
          <w:szCs w:val="24"/>
          <w:lang w:val="en-GB"/>
        </w:rPr>
        <w:t>“as it would not constitute evidence of a person’s identity and they would still for all legal purposes be of their birth sex as recorded on their full birth certificate.”</w:t>
      </w:r>
      <w:r w:rsidRPr="0028108F">
        <w:rPr>
          <w:rStyle w:val="FootnoteReference"/>
          <w:rFonts w:ascii="Arial" w:hAnsi="Arial" w:cs="Arial"/>
          <w:szCs w:val="24"/>
          <w:lang w:val="en-GB"/>
        </w:rPr>
        <w:footnoteReference w:id="113"/>
      </w:r>
      <w:r w:rsidRPr="0028108F">
        <w:rPr>
          <w:rFonts w:ascii="Arial" w:hAnsi="Arial" w:cs="Arial"/>
          <w:szCs w:val="24"/>
          <w:lang w:val="en-GB"/>
        </w:rPr>
        <w:t xml:space="preserve">  </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Working Group also considered whether, following the issue of a short certificate showing the holder’s new name and gender, it might be possible for a transsexual person to be formally recognised as a member of the new gender </w:t>
      </w:r>
      <w:r w:rsidRPr="0028108F">
        <w:rPr>
          <w:rFonts w:ascii="Arial" w:hAnsi="Arial" w:cs="Arial"/>
          <w:i/>
          <w:szCs w:val="24"/>
          <w:lang w:val="en-GB"/>
        </w:rPr>
        <w:t>“for certain specific purposes but not in all respects.”</w:t>
      </w:r>
      <w:r w:rsidRPr="0028108F">
        <w:rPr>
          <w:rFonts w:ascii="Arial" w:hAnsi="Arial" w:cs="Arial"/>
          <w:szCs w:val="24"/>
          <w:lang w:val="en-GB"/>
        </w:rPr>
        <w:t xml:space="preserve">  The Working Group went on to comment, however:</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"[But] we have not been able to identify any areas in which recognition could be given without leading to confusion and uncertainty.  We were very doubtful whether there could be a halfway house between the present position and full legal recognition for all purposes.”</w:t>
      </w:r>
      <w:r w:rsidRPr="0028108F">
        <w:rPr>
          <w:rStyle w:val="FootnoteReference"/>
          <w:rFonts w:ascii="Arial" w:hAnsi="Arial" w:cs="Arial"/>
          <w:szCs w:val="24"/>
          <w:lang w:val="en-GB"/>
        </w:rPr>
        <w:footnoteReference w:id="114"/>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tabs>
          <w:tab w:val="left" w:pos="851"/>
        </w:tabs>
        <w:adjustRightInd w:val="0"/>
        <w:snapToGrid w:val="0"/>
        <w:jc w:val="both"/>
        <w:rPr>
          <w:rFonts w:ascii="Arial" w:hAnsi="Arial" w:cs="Arial"/>
          <w:i/>
          <w:szCs w:val="24"/>
          <w:lang w:val="en-GB"/>
        </w:rPr>
      </w:pPr>
      <w:r w:rsidRPr="0028108F">
        <w:rPr>
          <w:rFonts w:ascii="Arial" w:hAnsi="Arial" w:cs="Arial"/>
          <w:i/>
          <w:szCs w:val="24"/>
          <w:lang w:val="en-GB"/>
        </w:rPr>
        <w:t>(3)</w:t>
      </w:r>
      <w:r w:rsidRPr="0028108F">
        <w:rPr>
          <w:rFonts w:ascii="Arial" w:hAnsi="Arial" w:cs="Arial"/>
          <w:i/>
          <w:szCs w:val="24"/>
          <w:lang w:val="en-GB"/>
        </w:rPr>
        <w:tab/>
        <w:t>The option of a full legal recognition scheme</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Under this head, the Working Group considered that:</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 xml:space="preserve">there would need to be a formal stage when the change of gender would be recognised so that the legal position is clear, </w:t>
      </w:r>
      <w:r w:rsidRPr="0028108F">
        <w:rPr>
          <w:rFonts w:ascii="Arial" w:hAnsi="Arial" w:cs="Arial"/>
          <w:i/>
          <w:szCs w:val="24"/>
          <w:lang w:val="en-GB"/>
        </w:rPr>
        <w:t>“even though the stage at which a transsexual person may apply for the order may not be fixed”</w:t>
      </w:r>
      <w:r w:rsidRPr="0028108F">
        <w:rPr>
          <w:rFonts w:ascii="Arial" w:hAnsi="Arial" w:cs="Arial"/>
          <w:szCs w:val="24"/>
          <w:lang w:val="en-GB"/>
        </w:rPr>
        <w:t>;</w:t>
      </w:r>
      <w:r w:rsidR="00F37F2D" w:rsidRPr="0028108F">
        <w:rPr>
          <w:rStyle w:val="FootnoteReference"/>
          <w:rFonts w:ascii="Arial" w:hAnsi="Arial" w:cs="Arial"/>
          <w:szCs w:val="24"/>
          <w:lang w:val="en-GB"/>
        </w:rPr>
        <w:footnoteReference w:id="115"/>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 xml:space="preserve">full legal recognition could be given by means of a Court Order which would define the date and process from which the applicant acquired the new gender; </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legislation would be needed to define the grounds on which such an Order could be made;</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t>the Registrar General would re-register the birth on the basis of the information provided by the Court (as happens where a person is adopted);</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lastRenderedPageBreak/>
        <w:t xml:space="preserve">• </w:t>
      </w:r>
      <w:r w:rsidRPr="0028108F">
        <w:rPr>
          <w:rFonts w:ascii="Arial" w:hAnsi="Arial" w:cs="Arial"/>
          <w:szCs w:val="24"/>
          <w:lang w:val="en-GB"/>
        </w:rPr>
        <w:tab/>
        <w:t xml:space="preserve">after that point, the transsexual person would be treated as of his or her acquired gender for </w:t>
      </w:r>
      <w:r w:rsidRPr="0028108F">
        <w:rPr>
          <w:rFonts w:ascii="Arial" w:hAnsi="Arial" w:cs="Arial"/>
          <w:szCs w:val="24"/>
          <w:u w:val="single"/>
          <w:lang w:val="en-GB"/>
        </w:rPr>
        <w:t>all</w:t>
      </w:r>
      <w:r w:rsidRPr="0028108F">
        <w:rPr>
          <w:rFonts w:ascii="Arial" w:hAnsi="Arial" w:cs="Arial"/>
          <w:szCs w:val="24"/>
          <w:lang w:val="en-GB"/>
        </w:rPr>
        <w:t xml:space="preserve"> purposes.</w:t>
      </w:r>
      <w:r w:rsidRPr="0028108F">
        <w:rPr>
          <w:rStyle w:val="FootnoteReference"/>
          <w:rFonts w:ascii="Arial" w:hAnsi="Arial" w:cs="Arial"/>
          <w:szCs w:val="24"/>
          <w:lang w:val="en-GB"/>
        </w:rPr>
        <w:footnoteReference w:id="116"/>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The Working Group also added the following rider:</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szCs w:val="24"/>
          <w:lang w:val="en-GB"/>
        </w:rPr>
        <w:t>“But there would be no rewriting of history and the legislation would have to make it clear that in certain circumstances access could be given to records held in the person’s previous identity, for example in connection with criminal investigations or medical treatment.”</w:t>
      </w:r>
      <w:r w:rsidRPr="0028108F">
        <w:rPr>
          <w:rStyle w:val="FootnoteReference"/>
          <w:rFonts w:ascii="Arial" w:hAnsi="Arial" w:cs="Arial"/>
          <w:szCs w:val="24"/>
          <w:lang w:val="en-GB"/>
        </w:rPr>
        <w:footnoteReference w:id="117"/>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report noted that transsexual people deal with their gender identity condition in different ways, and the extent of treatment undertaken may be determined by individual choice or other factors including but not limited to financial resources and/or medical contra-indications to undergoing surgery.  It was recognised that “</w:t>
      </w:r>
      <w:r w:rsidRPr="0028108F">
        <w:rPr>
          <w:rFonts w:ascii="Arial" w:hAnsi="Arial" w:cs="Arial"/>
          <w:i/>
          <w:szCs w:val="24"/>
          <w:lang w:val="en-GB"/>
        </w:rPr>
        <w:t>[m]any people revert to their biological sex after living for some time in the opposite sex, and some alternate between the two sexes throughout their lives</w:t>
      </w:r>
      <w:r w:rsidRPr="0028108F">
        <w:rPr>
          <w:rFonts w:ascii="Arial" w:hAnsi="Arial" w:cs="Arial"/>
          <w:szCs w:val="24"/>
          <w:lang w:val="en-GB"/>
        </w:rPr>
        <w:t>”.</w:t>
      </w:r>
      <w:r w:rsidRPr="0028108F">
        <w:rPr>
          <w:rStyle w:val="FootnoteReference"/>
          <w:rFonts w:ascii="Arial" w:hAnsi="Arial" w:cs="Arial"/>
          <w:szCs w:val="24"/>
          <w:lang w:val="en-GB"/>
        </w:rPr>
        <w:footnoteReference w:id="118"/>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Working Group observed that there were three stages of gender change, </w:t>
      </w:r>
      <w:r w:rsidRPr="0028108F">
        <w:rPr>
          <w:rFonts w:ascii="Arial" w:hAnsi="Arial" w:cs="Arial"/>
          <w:i/>
          <w:szCs w:val="24"/>
          <w:lang w:val="en-GB"/>
        </w:rPr>
        <w:t>“each of which might be considered as the point at which full recognition could be given.”</w:t>
      </w:r>
      <w:r w:rsidRPr="0028108F">
        <w:rPr>
          <w:rStyle w:val="FootnoteReference"/>
          <w:rFonts w:ascii="Arial" w:hAnsi="Arial" w:cs="Arial"/>
          <w:szCs w:val="24"/>
          <w:lang w:val="en-GB"/>
        </w:rPr>
        <w:footnoteReference w:id="119"/>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418"/>
          <w:tab w:val="left" w:pos="2410"/>
        </w:tabs>
        <w:adjustRightInd w:val="0"/>
        <w:snapToGrid w:val="0"/>
        <w:ind w:leftChars="413" w:left="2409" w:hangingChars="591" w:hanging="1418"/>
        <w:jc w:val="both"/>
        <w:rPr>
          <w:rFonts w:ascii="Arial" w:hAnsi="Arial" w:cs="Arial"/>
          <w:szCs w:val="24"/>
          <w:lang w:val="en-GB"/>
        </w:rPr>
      </w:pPr>
      <w:r w:rsidRPr="0028108F">
        <w:rPr>
          <w:rFonts w:ascii="Arial" w:hAnsi="Arial" w:cs="Arial"/>
          <w:szCs w:val="24"/>
          <w:lang w:val="en-GB"/>
        </w:rPr>
        <w:tab/>
        <w:t>Stage 1:</w:t>
      </w:r>
      <w:r w:rsidRPr="0028108F">
        <w:rPr>
          <w:rFonts w:ascii="Arial" w:hAnsi="Arial" w:cs="Arial"/>
          <w:szCs w:val="24"/>
          <w:lang w:val="en-GB"/>
        </w:rPr>
        <w:tab/>
      </w:r>
      <w:r w:rsidRPr="0028108F">
        <w:rPr>
          <w:rFonts w:ascii="Arial" w:hAnsi="Arial" w:cs="Arial"/>
          <w:i/>
          <w:szCs w:val="24"/>
          <w:lang w:val="en-GB"/>
        </w:rPr>
        <w:t>Living in the role of the new gender</w:t>
      </w:r>
      <w:r w:rsidRPr="0028108F">
        <w:rPr>
          <w:rFonts w:ascii="Arial" w:hAnsi="Arial" w:cs="Arial"/>
          <w:szCs w:val="24"/>
          <w:lang w:val="en-GB"/>
        </w:rPr>
        <w:t xml:space="preserve"> – the person would still bear most of the physical characteristics of the birth sex (and </w:t>
      </w:r>
      <w:r w:rsidRPr="0028108F">
        <w:rPr>
          <w:rFonts w:ascii="Arial" w:hAnsi="Arial" w:cs="Arial"/>
          <w:i/>
          <w:szCs w:val="24"/>
          <w:lang w:val="en-GB"/>
        </w:rPr>
        <w:t>“there is a significant chance that some people will revert to their birth gender”</w:t>
      </w:r>
      <w:r w:rsidRPr="0028108F">
        <w:rPr>
          <w:rStyle w:val="FootnoteReference"/>
          <w:rFonts w:ascii="Arial" w:hAnsi="Arial" w:cs="Arial"/>
          <w:szCs w:val="24"/>
          <w:lang w:val="en-GB"/>
        </w:rPr>
        <w:footnoteReference w:id="120"/>
      </w:r>
      <w:r w:rsidRPr="0028108F">
        <w:rPr>
          <w:rFonts w:ascii="Arial" w:hAnsi="Arial" w:cs="Arial"/>
          <w:szCs w:val="24"/>
          <w:lang w:val="en-GB"/>
        </w:rPr>
        <w:t>).</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418"/>
          <w:tab w:val="left" w:pos="2410"/>
        </w:tabs>
        <w:adjustRightInd w:val="0"/>
        <w:snapToGrid w:val="0"/>
        <w:ind w:leftChars="413" w:left="2409" w:hangingChars="591" w:hanging="1418"/>
        <w:jc w:val="both"/>
        <w:rPr>
          <w:rFonts w:ascii="Arial" w:hAnsi="Arial" w:cs="Arial"/>
          <w:szCs w:val="24"/>
          <w:lang w:val="en-GB"/>
        </w:rPr>
      </w:pPr>
      <w:r w:rsidRPr="0028108F">
        <w:rPr>
          <w:rFonts w:ascii="Arial" w:hAnsi="Arial" w:cs="Arial"/>
          <w:szCs w:val="24"/>
          <w:lang w:val="en-GB"/>
        </w:rPr>
        <w:tab/>
        <w:t>Stage 2:</w:t>
      </w:r>
      <w:r w:rsidRPr="0028108F">
        <w:rPr>
          <w:rFonts w:ascii="Arial" w:hAnsi="Arial" w:cs="Arial"/>
          <w:szCs w:val="24"/>
          <w:lang w:val="en-GB"/>
        </w:rPr>
        <w:tab/>
      </w:r>
      <w:r w:rsidRPr="0028108F">
        <w:rPr>
          <w:rFonts w:ascii="Arial" w:hAnsi="Arial" w:cs="Arial"/>
          <w:i/>
          <w:szCs w:val="24"/>
          <w:lang w:val="en-GB"/>
        </w:rPr>
        <w:t>Hormonal treatment</w:t>
      </w:r>
      <w:r w:rsidRPr="0028108F">
        <w:rPr>
          <w:rFonts w:ascii="Arial" w:hAnsi="Arial" w:cs="Arial"/>
          <w:szCs w:val="24"/>
          <w:lang w:val="en-GB"/>
        </w:rPr>
        <w:t xml:space="preserve"> – the person would have sought medical intervention and their body would have at least some of the physical characteristics of the opposite sex. Although they will still have many physical characteristics of their birth gender, they would likely be rendered infertile after a few years of hormone treatment.  There is however still a chance of reversion to the birth gender.</w:t>
      </w:r>
      <w:r w:rsidRPr="0028108F">
        <w:rPr>
          <w:rStyle w:val="FootnoteReference"/>
          <w:rFonts w:ascii="Arial" w:hAnsi="Arial" w:cs="Arial"/>
          <w:szCs w:val="24"/>
          <w:lang w:val="en-GB"/>
        </w:rPr>
        <w:footnoteReference w:id="121"/>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418"/>
          <w:tab w:val="left" w:pos="2410"/>
        </w:tabs>
        <w:adjustRightInd w:val="0"/>
        <w:snapToGrid w:val="0"/>
        <w:ind w:leftChars="413" w:left="2409" w:hangingChars="591" w:hanging="1418"/>
        <w:jc w:val="both"/>
        <w:rPr>
          <w:rFonts w:ascii="Arial" w:hAnsi="Arial" w:cs="Arial"/>
          <w:szCs w:val="24"/>
          <w:lang w:val="en-GB"/>
        </w:rPr>
      </w:pPr>
      <w:r w:rsidRPr="0028108F">
        <w:rPr>
          <w:rFonts w:ascii="Arial" w:hAnsi="Arial" w:cs="Arial"/>
          <w:szCs w:val="24"/>
          <w:lang w:val="en-GB"/>
        </w:rPr>
        <w:tab/>
        <w:t>Stage 3:</w:t>
      </w:r>
      <w:r w:rsidRPr="0028108F">
        <w:rPr>
          <w:rFonts w:ascii="Arial" w:hAnsi="Arial" w:cs="Arial"/>
          <w:szCs w:val="24"/>
          <w:lang w:val="en-GB"/>
        </w:rPr>
        <w:tab/>
      </w:r>
      <w:r w:rsidRPr="0028108F">
        <w:rPr>
          <w:rFonts w:ascii="Arial" w:hAnsi="Arial" w:cs="Arial"/>
          <w:i/>
          <w:szCs w:val="24"/>
          <w:lang w:val="en-GB"/>
        </w:rPr>
        <w:t>After surgery</w:t>
      </w:r>
      <w:r w:rsidRPr="0028108F">
        <w:rPr>
          <w:rFonts w:ascii="Arial" w:hAnsi="Arial" w:cs="Arial"/>
          <w:szCs w:val="24"/>
          <w:lang w:val="en-GB"/>
        </w:rPr>
        <w:t>.</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lastRenderedPageBreak/>
        <w:t xml:space="preserve">Under the </w:t>
      </w:r>
      <w:r w:rsidRPr="0028108F">
        <w:rPr>
          <w:rFonts w:ascii="Arial" w:hAnsi="Arial" w:cs="Arial"/>
          <w:i/>
          <w:szCs w:val="24"/>
          <w:lang w:val="en-GB"/>
        </w:rPr>
        <w:t>“After surgery”</w:t>
      </w:r>
      <w:r w:rsidRPr="0028108F">
        <w:rPr>
          <w:rFonts w:ascii="Arial" w:hAnsi="Arial" w:cs="Arial"/>
          <w:szCs w:val="24"/>
          <w:lang w:val="en-GB"/>
        </w:rPr>
        <w:t xml:space="preserve"> stage, the Working Group made the following observations:</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“Not all transsexuals, particularly female to male transsexuals, can undergo full reassignment surgery. For most the process is complete (apart from continuing hormonal treatment) after surgery which may not cover the gonads or the genitals.”</w:t>
      </w:r>
      <w:r w:rsidRPr="0028108F">
        <w:rPr>
          <w:rStyle w:val="FootnoteReference"/>
          <w:rFonts w:ascii="Arial" w:hAnsi="Arial" w:cs="Arial"/>
          <w:szCs w:val="24"/>
          <w:lang w:val="en-GB"/>
        </w:rPr>
        <w:footnoteReference w:id="122"/>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“A transsexual person who has had, for example, breast implantations or a double mastectomy, combined with hormone treatment, will have clear physical attributes of the opposite gender.  There is a reasonable expectation that the change of gender will be permanent, although the possibility of a reversion to the birth sex cannot be ruled out. They would probably not be able to consummate a marriage with someone of their birth sex: but it would almost certainly be impossible for them to father or bear a child.”</w:t>
      </w:r>
      <w:r w:rsidRPr="0028108F">
        <w:rPr>
          <w:rStyle w:val="FootnoteReference"/>
          <w:rFonts w:ascii="Arial" w:hAnsi="Arial" w:cs="Arial"/>
          <w:szCs w:val="24"/>
          <w:lang w:val="en-GB"/>
        </w:rPr>
        <w:footnoteReference w:id="123"/>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Working Group then went on to consider a range of possible pre-conditions to the grant of full recognition.</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adjustRightInd w:val="0"/>
        <w:snapToGrid w:val="0"/>
        <w:ind w:leftChars="116" w:left="1413" w:hangingChars="473" w:hanging="1135"/>
        <w:jc w:val="both"/>
        <w:rPr>
          <w:rFonts w:ascii="Arial" w:hAnsi="Arial" w:cs="Arial"/>
          <w:szCs w:val="24"/>
          <w:lang w:val="en-GB"/>
        </w:rPr>
      </w:pPr>
      <w:r w:rsidRPr="0028108F">
        <w:rPr>
          <w:rFonts w:ascii="Arial" w:hAnsi="Arial" w:cs="Arial"/>
          <w:i/>
          <w:szCs w:val="24"/>
          <w:lang w:val="en-GB"/>
        </w:rPr>
        <w:t>Sterility</w:t>
      </w:r>
      <w:r w:rsidRPr="0028108F">
        <w:rPr>
          <w:rFonts w:ascii="Arial" w:hAnsi="Arial" w:cs="Arial"/>
          <w:szCs w:val="24"/>
          <w:lang w:val="en-GB"/>
        </w:rPr>
        <w:t>:</w:t>
      </w:r>
      <w:r w:rsidRPr="0028108F">
        <w:rPr>
          <w:rFonts w:ascii="Arial" w:hAnsi="Arial" w:cs="Arial"/>
          <w:szCs w:val="24"/>
          <w:lang w:val="en-GB"/>
        </w:rPr>
        <w:tab/>
        <w:t>Noting that this was a pre-condition in some jurisdictions, but was opposed by the transsexual community,</w:t>
      </w:r>
      <w:r w:rsidRPr="0028108F">
        <w:rPr>
          <w:rStyle w:val="FootnoteReference"/>
          <w:rFonts w:ascii="Arial" w:hAnsi="Arial" w:cs="Arial"/>
          <w:szCs w:val="24"/>
          <w:lang w:val="en-GB"/>
        </w:rPr>
        <w:footnoteReference w:id="124"/>
      </w:r>
      <w:r w:rsidRPr="0028108F">
        <w:rPr>
          <w:rFonts w:ascii="Arial" w:hAnsi="Arial" w:cs="Arial"/>
          <w:szCs w:val="24"/>
          <w:lang w:val="en-GB"/>
        </w:rPr>
        <w:t xml:space="preserve"> the Working Group commented that there might be great public concern </w:t>
      </w:r>
      <w:r w:rsidRPr="0028108F">
        <w:rPr>
          <w:rFonts w:ascii="Arial" w:hAnsi="Arial" w:cs="Arial"/>
          <w:i/>
          <w:szCs w:val="24"/>
          <w:lang w:val="en-GB"/>
        </w:rPr>
        <w:t>“if someone who was legally a man gave birth to a child or someone who was legally a woman became the father of one."</w:t>
      </w:r>
      <w:r w:rsidRPr="0028108F">
        <w:rPr>
          <w:rStyle w:val="FootnoteReference"/>
          <w:rFonts w:ascii="Arial" w:hAnsi="Arial" w:cs="Arial"/>
          <w:szCs w:val="24"/>
          <w:lang w:val="en-GB"/>
        </w:rPr>
        <w:footnoteReference w:id="125"/>
      </w:r>
      <w:r w:rsidRPr="0028108F">
        <w:rPr>
          <w:rFonts w:ascii="Arial" w:hAnsi="Arial" w:cs="Arial"/>
          <w:szCs w:val="24"/>
          <w:lang w:val="en-GB"/>
        </w:rPr>
        <w:t xml:space="preserve">  Related to this would be implications for artificial fertilisation and surrogacy (</w:t>
      </w:r>
      <w:r w:rsidR="00D6311F" w:rsidRPr="0028108F">
        <w:rPr>
          <w:rFonts w:ascii="Arial" w:hAnsi="Arial" w:cs="Arial"/>
          <w:szCs w:val="24"/>
          <w:lang w:val="en-GB"/>
        </w:rPr>
        <w:t>ie</w:t>
      </w:r>
      <w:r w:rsidRPr="0028108F">
        <w:rPr>
          <w:rFonts w:ascii="Arial" w:hAnsi="Arial" w:cs="Arial"/>
          <w:szCs w:val="24"/>
          <w:lang w:val="en-GB"/>
        </w:rPr>
        <w:t xml:space="preserve">, if a transsexual woman’s preserved sperm were used through a surrogate, she could in theory </w:t>
      </w:r>
      <w:r w:rsidRPr="0028108F">
        <w:rPr>
          <w:rFonts w:ascii="Arial" w:hAnsi="Arial" w:cs="Arial"/>
          <w:i/>
          <w:szCs w:val="24"/>
          <w:lang w:val="en-GB"/>
        </w:rPr>
        <w:t>“become biologically the father but legally the mother of the same child.”</w:t>
      </w:r>
      <w:r w:rsidRPr="0028108F">
        <w:rPr>
          <w:rFonts w:ascii="Arial" w:hAnsi="Arial" w:cs="Arial"/>
          <w:szCs w:val="24"/>
          <w:lang w:val="en-GB"/>
        </w:rPr>
        <w:t>)</w:t>
      </w:r>
      <w:r w:rsidRPr="0028108F">
        <w:rPr>
          <w:rStyle w:val="FootnoteReference"/>
          <w:rFonts w:ascii="Arial" w:hAnsi="Arial" w:cs="Arial"/>
          <w:szCs w:val="24"/>
          <w:lang w:val="en-GB"/>
        </w:rPr>
        <w:footnoteReference w:id="126"/>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adjustRightInd w:val="0"/>
        <w:snapToGrid w:val="0"/>
        <w:ind w:leftChars="118" w:left="1416" w:hangingChars="472" w:hanging="1133"/>
        <w:jc w:val="both"/>
        <w:rPr>
          <w:rFonts w:ascii="Arial" w:hAnsi="Arial" w:cs="Arial"/>
          <w:szCs w:val="24"/>
          <w:lang w:val="en-GB"/>
        </w:rPr>
      </w:pPr>
      <w:r w:rsidRPr="0028108F">
        <w:rPr>
          <w:rFonts w:ascii="Arial" w:hAnsi="Arial" w:cs="Arial"/>
          <w:i/>
          <w:szCs w:val="24"/>
          <w:lang w:val="en-GB"/>
        </w:rPr>
        <w:t>Marriage:</w:t>
      </w:r>
      <w:r w:rsidRPr="0028108F">
        <w:rPr>
          <w:rFonts w:ascii="Arial" w:hAnsi="Arial" w:cs="Arial"/>
          <w:i/>
          <w:szCs w:val="24"/>
          <w:lang w:val="en-GB"/>
        </w:rPr>
        <w:tab/>
      </w:r>
      <w:r w:rsidRPr="0028108F">
        <w:rPr>
          <w:rFonts w:ascii="Arial" w:hAnsi="Arial" w:cs="Arial"/>
          <w:szCs w:val="24"/>
          <w:lang w:val="en-GB"/>
        </w:rPr>
        <w:t xml:space="preserve">The Working Group noted that legal recognition of a change of gender would have implications for pre-existing marriages.  </w:t>
      </w:r>
      <w:r w:rsidRPr="0028108F">
        <w:rPr>
          <w:rFonts w:ascii="Arial" w:hAnsi="Arial" w:cs="Arial"/>
          <w:i/>
          <w:szCs w:val="24"/>
          <w:lang w:val="en-GB"/>
        </w:rPr>
        <w:t>“If a subsisting marriage continued after one of the partners had changed sex, this would conflict with the [then current] legal position that a person can be married only to someone of the opposite (legal) sex.  It might therefore be necessary to require, as in most countries which allow marriage after a change of sex, that any previous marriage should be dissolved before the change of sex could be legally recognised.”</w:t>
      </w:r>
      <w:r w:rsidRPr="0028108F">
        <w:rPr>
          <w:rStyle w:val="FootnoteReference"/>
          <w:rFonts w:ascii="Arial" w:hAnsi="Arial" w:cs="Arial"/>
          <w:szCs w:val="24"/>
          <w:lang w:val="en-GB"/>
        </w:rPr>
        <w:footnoteReference w:id="127"/>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In relation to the suggested pre-condition on existing marriages, the Working Group referred to a counter argument they had received, that care should be taken not to disadvantage those few persons whose marriages, conducted in their former gender role, had survived gender change.  The argument was that no purpose would be served by insisting that a couple should divorce in order for the transsexual partner’s acquired gender to be recognised, and that </w:t>
      </w:r>
      <w:r w:rsidRPr="0028108F">
        <w:rPr>
          <w:rFonts w:ascii="Arial" w:hAnsi="Arial" w:cs="Arial"/>
          <w:i/>
          <w:szCs w:val="24"/>
          <w:lang w:val="en-GB"/>
        </w:rPr>
        <w:t>“the rights and interests of the non-transsexual partner should be borne in mind since divorce inevitably involved a loss of security and financial benefits for at least one person.”</w:t>
      </w:r>
      <w:r w:rsidRPr="0028108F">
        <w:rPr>
          <w:rStyle w:val="FootnoteReference"/>
          <w:rFonts w:ascii="Arial" w:hAnsi="Arial" w:cs="Arial"/>
          <w:szCs w:val="24"/>
          <w:lang w:val="en-GB"/>
        </w:rPr>
        <w:footnoteReference w:id="128"/>
      </w:r>
      <w:r w:rsidRPr="0028108F">
        <w:rPr>
          <w:rFonts w:ascii="Arial" w:hAnsi="Arial" w:cs="Arial"/>
          <w:szCs w:val="24"/>
          <w:lang w:val="en-GB"/>
        </w:rPr>
        <w:t xml:space="preserve">  The Working Group concluded, however, that it would be very difficult </w:t>
      </w:r>
      <w:r w:rsidRPr="0028108F">
        <w:rPr>
          <w:rFonts w:ascii="Arial" w:hAnsi="Arial" w:cs="Arial"/>
          <w:i/>
          <w:szCs w:val="24"/>
          <w:lang w:val="en-GB"/>
        </w:rPr>
        <w:t>“to allow same-sex marriages in this context but no other, and that it seems reasonable to expect the transsexual partner in a subsisting marriage to take into account the effects on the other partner before seeking legal recognition of a change of sex.”</w:t>
      </w:r>
      <w:r w:rsidRPr="0028108F">
        <w:rPr>
          <w:rStyle w:val="FootnoteReference"/>
          <w:rFonts w:ascii="Arial" w:hAnsi="Arial" w:cs="Arial"/>
          <w:szCs w:val="24"/>
          <w:lang w:val="en-GB"/>
        </w:rPr>
        <w:footnoteReference w:id="129"/>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Suggestions for legislative changes</w:t>
      </w:r>
    </w:p>
    <w:p w:rsidR="00DE5BD5" w:rsidRPr="0028108F" w:rsidRDefault="00DE5BD5" w:rsidP="00DE5BD5">
      <w:pPr>
        <w:tabs>
          <w:tab w:val="left" w:pos="851"/>
        </w:tabs>
        <w:adjustRightInd w:val="0"/>
        <w:snapToGrid w:val="0"/>
        <w:jc w:val="both"/>
        <w:rPr>
          <w:rFonts w:ascii="Arial" w:hAnsi="Arial" w:cs="Arial"/>
          <w:b/>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(1)</w:t>
      </w:r>
      <w:r w:rsidRPr="0028108F">
        <w:rPr>
          <w:rFonts w:ascii="Arial" w:hAnsi="Arial" w:cs="Arial"/>
          <w:i/>
          <w:szCs w:val="24"/>
          <w:lang w:val="en-GB"/>
        </w:rPr>
        <w:tab/>
        <w:t>Marriage</w:t>
      </w:r>
    </w:p>
    <w:p w:rsidR="00DE5BD5" w:rsidRPr="0028108F" w:rsidRDefault="00DE5BD5" w:rsidP="00DE5BD5">
      <w:pPr>
        <w:tabs>
          <w:tab w:val="left" w:pos="851"/>
        </w:tabs>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At the time of the Working Group’s report, the marriage law in the UK only permitted marriage between one biological male and one biological female.  Further, the case of </w:t>
      </w:r>
      <w:r w:rsidRPr="0028108F">
        <w:rPr>
          <w:rFonts w:ascii="Arial" w:hAnsi="Arial" w:cs="Arial"/>
          <w:i/>
          <w:szCs w:val="24"/>
          <w:lang w:val="en-GB"/>
        </w:rPr>
        <w:t>Corbett v Corbett</w:t>
      </w:r>
      <w:r w:rsidR="00C9791A" w:rsidRPr="0028108F">
        <w:rPr>
          <w:rFonts w:ascii="Arial" w:hAnsi="Arial" w:cs="Arial"/>
          <w:szCs w:val="24"/>
          <w:lang w:val="en-GB"/>
        </w:rPr>
        <w:t xml:space="preserve"> (1971)</w:t>
      </w:r>
      <w:r w:rsidRPr="0028108F">
        <w:rPr>
          <w:rStyle w:val="FootnoteReference"/>
          <w:rFonts w:ascii="Arial" w:hAnsi="Arial" w:cs="Arial"/>
          <w:szCs w:val="24"/>
          <w:lang w:val="en-GB"/>
        </w:rPr>
        <w:footnoteReference w:id="130"/>
      </w:r>
      <w:r w:rsidRPr="0028108F">
        <w:rPr>
          <w:rFonts w:ascii="Arial" w:hAnsi="Arial" w:cs="Arial"/>
          <w:szCs w:val="24"/>
          <w:lang w:val="en-GB"/>
        </w:rPr>
        <w:t xml:space="preserve"> had established that the three biological criteria (chromosomal, gonadal and genital tests) were relevant in determining the sex of a person for the purpose of marriage.  This resulted in the situation that a transsexual person could legally marry only a person of his/her acquired gender</w:t>
      </w:r>
      <w:r w:rsidR="006B78C8">
        <w:rPr>
          <w:rFonts w:ascii="Arial" w:hAnsi="Arial" w:cs="Arial" w:hint="eastAsia"/>
          <w:szCs w:val="24"/>
          <w:lang w:val="en-GB"/>
        </w:rPr>
        <w:t>,</w:t>
      </w:r>
      <w:r w:rsidRPr="0028108F">
        <w:rPr>
          <w:rFonts w:ascii="Arial" w:hAnsi="Arial" w:cs="Arial"/>
          <w:szCs w:val="24"/>
          <w:lang w:val="en-GB"/>
        </w:rPr>
        <w:t xml:space="preserve"> creating what was, to all appearances, a same sex marriage.</w:t>
      </w:r>
      <w:r w:rsidRPr="0028108F">
        <w:rPr>
          <w:rStyle w:val="FootnoteReference"/>
          <w:rFonts w:ascii="Arial" w:hAnsi="Arial" w:cs="Arial"/>
          <w:szCs w:val="24"/>
          <w:lang w:val="en-GB"/>
        </w:rPr>
        <w:footnoteReference w:id="131"/>
      </w:r>
      <w:r w:rsidRPr="0028108F">
        <w:rPr>
          <w:rFonts w:ascii="Arial" w:hAnsi="Arial" w:cs="Arial"/>
          <w:szCs w:val="24"/>
          <w:lang w:val="en-GB"/>
        </w:rPr>
        <w:t xml:space="preserve"> </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It was therefore suggested that legislation providing for the grant of recognition of a transsexual person’s new gender for all legal purposes should include a requirement that any subsisting marriage must have been annulled or would be treated as ended from the date of the grant of official recognition.</w:t>
      </w:r>
      <w:r w:rsidRPr="0028108F">
        <w:rPr>
          <w:rStyle w:val="FootnoteReference"/>
          <w:rFonts w:ascii="Arial" w:hAnsi="Arial" w:cs="Arial"/>
          <w:szCs w:val="24"/>
          <w:lang w:val="en-GB"/>
        </w:rPr>
        <w:footnoteReference w:id="132"/>
      </w:r>
      <w:r w:rsidRPr="0028108F">
        <w:rPr>
          <w:rFonts w:ascii="Arial" w:hAnsi="Arial" w:cs="Arial"/>
          <w:szCs w:val="24"/>
          <w:lang w:val="en-GB"/>
        </w:rPr>
        <w:t xml:space="preserve"> </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(2)</w:t>
      </w:r>
      <w:r w:rsidRPr="0028108F">
        <w:rPr>
          <w:rFonts w:ascii="Arial" w:hAnsi="Arial" w:cs="Arial"/>
          <w:i/>
          <w:szCs w:val="24"/>
          <w:lang w:val="en-GB"/>
        </w:rPr>
        <w:tab/>
        <w:t>Parenthood</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i/>
          <w:szCs w:val="24"/>
          <w:lang w:val="en-GB"/>
        </w:rPr>
      </w:pPr>
      <w:r w:rsidRPr="0028108F">
        <w:rPr>
          <w:rFonts w:ascii="Arial" w:hAnsi="Arial" w:cs="Arial"/>
          <w:szCs w:val="24"/>
          <w:lang w:val="en-GB"/>
        </w:rPr>
        <w:t>At the time of the Working Group’s report, a female-to-male transsexual person could not be legally recognised as the father of children born to his partner, or a male-to-female transsexual person could not be recognised as the mother.</w:t>
      </w:r>
      <w:r w:rsidRPr="0028108F">
        <w:rPr>
          <w:rStyle w:val="FootnoteReference"/>
          <w:rFonts w:ascii="Arial" w:hAnsi="Arial" w:cs="Arial"/>
          <w:szCs w:val="24"/>
          <w:lang w:val="en-GB"/>
        </w:rPr>
        <w:footnoteReference w:id="133"/>
      </w:r>
      <w:r w:rsidRPr="0028108F">
        <w:rPr>
          <w:rFonts w:ascii="Arial" w:hAnsi="Arial" w:cs="Arial"/>
          <w:szCs w:val="24"/>
          <w:lang w:val="en-GB"/>
        </w:rPr>
        <w:t xml:space="preserve">  The Working Group suggested that, following </w:t>
      </w:r>
      <w:r w:rsidRPr="0028108F">
        <w:rPr>
          <w:rFonts w:ascii="Arial" w:hAnsi="Arial" w:cs="Arial"/>
          <w:szCs w:val="24"/>
          <w:lang w:val="en-GB"/>
        </w:rPr>
        <w:lastRenderedPageBreak/>
        <w:t xml:space="preserve">formal legal recognition of a change of gender, the transsexual person would keep (or acquire in their new gender) all, or all pre-existing, parental rights and responsibilities subject to intervention of the </w:t>
      </w:r>
      <w:r w:rsidR="006B78C8">
        <w:rPr>
          <w:rFonts w:ascii="Arial" w:hAnsi="Arial" w:cs="Arial" w:hint="eastAsia"/>
          <w:szCs w:val="24"/>
          <w:lang w:val="en-GB"/>
        </w:rPr>
        <w:t>c</w:t>
      </w:r>
      <w:r w:rsidR="006B78C8" w:rsidRPr="0028108F">
        <w:rPr>
          <w:rFonts w:ascii="Arial" w:hAnsi="Arial" w:cs="Arial"/>
          <w:szCs w:val="24"/>
          <w:lang w:val="en-GB"/>
        </w:rPr>
        <w:t>ourts</w:t>
      </w:r>
      <w:r w:rsidRPr="0028108F">
        <w:rPr>
          <w:rFonts w:ascii="Arial" w:hAnsi="Arial" w:cs="Arial"/>
          <w:szCs w:val="24"/>
          <w:lang w:val="en-GB"/>
        </w:rPr>
        <w:t>.</w:t>
      </w:r>
      <w:r w:rsidRPr="0028108F">
        <w:rPr>
          <w:rStyle w:val="FootnoteReference"/>
          <w:rFonts w:ascii="Arial" w:hAnsi="Arial" w:cs="Arial"/>
          <w:szCs w:val="24"/>
          <w:lang w:val="en-GB"/>
        </w:rPr>
        <w:footnoteReference w:id="134"/>
      </w:r>
      <w:r w:rsidRPr="0028108F">
        <w:rPr>
          <w:rFonts w:ascii="Arial" w:hAnsi="Arial" w:cs="Arial"/>
          <w:szCs w:val="24"/>
          <w:lang w:val="en-GB"/>
        </w:rPr>
        <w:t xml:space="preserve"> </w:t>
      </w:r>
    </w:p>
    <w:p w:rsidR="00DE5BD5" w:rsidRPr="0028108F" w:rsidRDefault="00DE5BD5" w:rsidP="00DE5BD5">
      <w:pPr>
        <w:widowControl/>
        <w:tabs>
          <w:tab w:val="left" w:pos="1134"/>
        </w:tabs>
        <w:adjustRightInd w:val="0"/>
        <w:snapToGrid w:val="0"/>
        <w:jc w:val="both"/>
        <w:rPr>
          <w:rFonts w:ascii="Arial" w:hAnsi="Arial" w:cs="Arial"/>
          <w:i/>
          <w:szCs w:val="24"/>
          <w:lang w:val="en-GB"/>
        </w:rPr>
      </w:pPr>
    </w:p>
    <w:p w:rsidR="00DE5BD5" w:rsidRPr="0028108F" w:rsidRDefault="00DE5BD5" w:rsidP="00DE5BD5">
      <w:pPr>
        <w:widowControl/>
        <w:tabs>
          <w:tab w:val="left" w:pos="1134"/>
        </w:tabs>
        <w:adjustRightInd w:val="0"/>
        <w:snapToGrid w:val="0"/>
        <w:jc w:val="both"/>
        <w:rPr>
          <w:rFonts w:ascii="Arial" w:hAnsi="Arial" w:cs="Arial"/>
          <w:i/>
          <w:szCs w:val="24"/>
          <w:lang w:val="en-GB"/>
        </w:rPr>
      </w:pPr>
      <w:r w:rsidRPr="0028108F">
        <w:rPr>
          <w:rFonts w:ascii="Arial" w:hAnsi="Arial" w:cs="Arial"/>
          <w:i/>
          <w:szCs w:val="24"/>
          <w:lang w:val="en-GB"/>
        </w:rPr>
        <w:t>(3)</w:t>
      </w:r>
      <w:r w:rsidRPr="0028108F">
        <w:rPr>
          <w:rFonts w:ascii="Arial" w:hAnsi="Arial" w:cs="Arial"/>
          <w:i/>
          <w:szCs w:val="24"/>
          <w:lang w:val="en-GB"/>
        </w:rPr>
        <w:tab/>
        <w:t>Criminal Justice System</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Working Group noticed that most offences did not identify the gender of the offender or of the victim, and thus it suggested that a transsexual person ought to be in exactly the same position as any other person who commits, or is a victim of, crime in the substantive criminal law.</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At the time of the report, there were a number of criminal offences where the gender of the offender or the victim was specified</w:t>
      </w:r>
      <w:r w:rsidR="006B78C8">
        <w:rPr>
          <w:rFonts w:ascii="Arial" w:hAnsi="Arial" w:cs="Arial" w:hint="eastAsia"/>
          <w:szCs w:val="24"/>
          <w:lang w:val="en-GB"/>
        </w:rPr>
        <w:t>;</w:t>
      </w:r>
      <w:r w:rsidRPr="0028108F">
        <w:rPr>
          <w:rFonts w:ascii="Arial" w:hAnsi="Arial" w:cs="Arial"/>
          <w:szCs w:val="24"/>
          <w:lang w:val="en-GB"/>
        </w:rPr>
        <w:t xml:space="preserve"> such as rape, indecent assault, incest, etc, where the </w:t>
      </w:r>
      <w:r w:rsidR="00282BCA">
        <w:rPr>
          <w:rFonts w:ascii="Arial" w:hAnsi="Arial" w:cs="Arial" w:hint="eastAsia"/>
          <w:szCs w:val="24"/>
          <w:lang w:val="en-GB"/>
        </w:rPr>
        <w:t>c</w:t>
      </w:r>
      <w:r w:rsidR="00282BCA" w:rsidRPr="0028108F">
        <w:rPr>
          <w:rFonts w:ascii="Arial" w:hAnsi="Arial" w:cs="Arial"/>
          <w:szCs w:val="24"/>
          <w:lang w:val="en-GB"/>
        </w:rPr>
        <w:t>ourts</w:t>
      </w:r>
      <w:r w:rsidRPr="0028108F">
        <w:rPr>
          <w:rFonts w:ascii="Arial" w:hAnsi="Arial" w:cs="Arial"/>
          <w:szCs w:val="24"/>
          <w:lang w:val="en-GB"/>
        </w:rPr>
        <w:t xml:space="preserve">, in determining the gender of one party, would have regard to case law such as </w:t>
      </w:r>
      <w:r w:rsidRPr="0028108F">
        <w:rPr>
          <w:rFonts w:ascii="Arial" w:hAnsi="Arial" w:cs="Arial"/>
          <w:i/>
          <w:szCs w:val="24"/>
          <w:lang w:val="en-GB"/>
        </w:rPr>
        <w:t>Corbett,</w:t>
      </w:r>
      <w:r w:rsidRPr="0028108F">
        <w:rPr>
          <w:rFonts w:ascii="Arial" w:hAnsi="Arial" w:cs="Arial"/>
          <w:szCs w:val="24"/>
          <w:lang w:val="en-GB"/>
        </w:rPr>
        <w:t xml:space="preserve"> which rested on the medical evidence of the biological position at birth.  A possible outcome would be that a </w:t>
      </w:r>
      <w:r w:rsidR="00282BCA">
        <w:rPr>
          <w:rFonts w:ascii="Arial" w:hAnsi="Arial" w:cs="Arial" w:hint="eastAsia"/>
          <w:szCs w:val="24"/>
          <w:lang w:val="en-GB"/>
        </w:rPr>
        <w:t>fe</w:t>
      </w:r>
      <w:r w:rsidRPr="0028108F">
        <w:rPr>
          <w:rFonts w:ascii="Arial" w:hAnsi="Arial" w:cs="Arial"/>
          <w:szCs w:val="24"/>
          <w:lang w:val="en-GB"/>
        </w:rPr>
        <w:t>male-to-male transsexual person could not commit rape</w:t>
      </w:r>
      <w:r w:rsidR="00AC716B">
        <w:rPr>
          <w:rFonts w:ascii="Arial" w:hAnsi="Arial" w:cs="Arial"/>
          <w:szCs w:val="24"/>
          <w:lang w:val="en-GB"/>
        </w:rPr>
        <w:t xml:space="preserve"> (according to the biological position at birth)</w:t>
      </w:r>
      <w:r w:rsidRPr="0028108F">
        <w:rPr>
          <w:rFonts w:ascii="Arial" w:hAnsi="Arial" w:cs="Arial"/>
          <w:szCs w:val="24"/>
          <w:lang w:val="en-GB"/>
        </w:rPr>
        <w:t>, as this was an offence that could only be committed by a man.  Further, it was doubtful whether a transsexual person who used a public lavatory or changing room of his or her acquired gender would be committing an offence of outraging public decency and/or breach of the peace or (in Scotland) shameless indecency.</w:t>
      </w:r>
      <w:r w:rsidRPr="0028108F">
        <w:rPr>
          <w:rStyle w:val="FootnoteReference"/>
          <w:rFonts w:ascii="Arial" w:hAnsi="Arial" w:cs="Arial"/>
          <w:szCs w:val="24"/>
          <w:lang w:val="en-GB"/>
        </w:rPr>
        <w:footnoteReference w:id="135"/>
      </w:r>
      <w:r w:rsidRPr="0028108F">
        <w:rPr>
          <w:rFonts w:ascii="Arial" w:hAnsi="Arial" w:cs="Arial"/>
          <w:szCs w:val="24"/>
          <w:lang w:val="en-GB"/>
        </w:rPr>
        <w:t xml:space="preserve"> </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In light of this, the Working Group considered that it was necessary for transsexual people to be treated as their acquired gender for all legal purposes, including within and by the legal system.  There should also be a requirement that in certain circumstances, a transsexual person’s former identity and gender could be disclosed, for example, to allow criminal record checks to be made.</w:t>
      </w:r>
      <w:r w:rsidRPr="0028108F">
        <w:rPr>
          <w:rStyle w:val="FootnoteReference"/>
          <w:rFonts w:ascii="Arial" w:hAnsi="Arial" w:cs="Arial"/>
          <w:szCs w:val="24"/>
          <w:lang w:val="en-GB"/>
        </w:rPr>
        <w:footnoteReference w:id="136"/>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(4)</w:t>
      </w:r>
      <w:r w:rsidRPr="0028108F">
        <w:rPr>
          <w:rFonts w:ascii="Arial" w:hAnsi="Arial" w:cs="Arial"/>
          <w:i/>
          <w:szCs w:val="24"/>
          <w:lang w:val="en-GB"/>
        </w:rPr>
        <w:tab/>
        <w:t>Employment</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Sex Discrimination (Gender Reassignment) Regulations 1999 afforded a measure to prevent discrimination against transsexual people in employment, whether before, during or after reassignment surgery.</w:t>
      </w:r>
      <w:r w:rsidRPr="0028108F">
        <w:rPr>
          <w:rFonts w:ascii="Arial" w:hAnsi="Arial" w:cs="Arial"/>
          <w:szCs w:val="24"/>
          <w:vertAlign w:val="superscript"/>
          <w:lang w:val="en-GB"/>
        </w:rPr>
        <w:footnoteReference w:id="137"/>
      </w:r>
      <w:r w:rsidRPr="0028108F">
        <w:rPr>
          <w:rFonts w:ascii="Arial" w:hAnsi="Arial" w:cs="Arial"/>
          <w:szCs w:val="24"/>
          <w:lang w:val="en-GB"/>
        </w:rPr>
        <w:t xml:space="preserve"> The Working Group suggested that where the existing regulations would continue to serve their protective purpose, provision might need to be made in the current employment regulations for the continuation of certain exceptions, for example, in respect of the period of transition for the transsexual person, and in relation to the taking of intimate searches by police and prison officers.</w:t>
      </w:r>
      <w:r w:rsidRPr="0028108F">
        <w:rPr>
          <w:rStyle w:val="FootnoteReference"/>
          <w:rFonts w:ascii="Arial" w:hAnsi="Arial" w:cs="Arial"/>
          <w:szCs w:val="24"/>
          <w:lang w:val="en-GB"/>
        </w:rPr>
        <w:footnoteReference w:id="138"/>
      </w:r>
      <w:r w:rsidRPr="0028108F">
        <w:rPr>
          <w:rFonts w:ascii="Arial" w:hAnsi="Arial" w:cs="Arial"/>
          <w:szCs w:val="24"/>
          <w:lang w:val="en-GB"/>
        </w:rPr>
        <w:t xml:space="preserve"> </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lastRenderedPageBreak/>
        <w:t>(5)</w:t>
      </w:r>
      <w:r w:rsidRPr="0028108F">
        <w:rPr>
          <w:rFonts w:ascii="Arial" w:hAnsi="Arial" w:cs="Arial"/>
          <w:i/>
          <w:szCs w:val="24"/>
          <w:lang w:val="en-GB"/>
        </w:rPr>
        <w:tab/>
        <w:t>Social Security</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At the time of the Working Group’s report, legislation in the UK covering social security benefits provided that where sex was relevant, this must be the sex on the birth certificate.  Further, other benefits might be dependent on a valid marriage which could disadvantage transsexual people who were unable to claim or marry in their acquired gender.</w:t>
      </w:r>
      <w:r w:rsidRPr="0028108F">
        <w:rPr>
          <w:rStyle w:val="FootnoteReference"/>
          <w:rFonts w:ascii="Arial" w:hAnsi="Arial" w:cs="Arial"/>
          <w:szCs w:val="24"/>
          <w:lang w:val="en-GB"/>
        </w:rPr>
        <w:footnoteReference w:id="139"/>
      </w:r>
      <w:r w:rsidRPr="0028108F">
        <w:rPr>
          <w:rFonts w:ascii="Arial" w:hAnsi="Arial" w:cs="Arial"/>
          <w:szCs w:val="24"/>
          <w:lang w:val="en-GB"/>
        </w:rPr>
        <w:t xml:space="preserve"> The Working Group considered that legal recognition of transsexual people in their new gender, and their ability to marry in that gender, would solve such problems (for example, a couple in which one party was a transsexual person, even if unmarried, could be regarded as a married couple for Income Related Benefit purposes).</w:t>
      </w:r>
      <w:r w:rsidRPr="0028108F">
        <w:rPr>
          <w:rStyle w:val="FootnoteReference"/>
          <w:rFonts w:ascii="Arial" w:hAnsi="Arial" w:cs="Arial"/>
          <w:szCs w:val="24"/>
          <w:lang w:val="en-GB"/>
        </w:rPr>
        <w:footnoteReference w:id="140"/>
      </w:r>
      <w:r w:rsidRPr="0028108F">
        <w:rPr>
          <w:rFonts w:ascii="Arial" w:hAnsi="Arial" w:cs="Arial"/>
          <w:szCs w:val="24"/>
          <w:lang w:val="en-GB"/>
        </w:rPr>
        <w:t xml:space="preserve"> </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(6)</w:t>
      </w:r>
      <w:r w:rsidRPr="0028108F">
        <w:rPr>
          <w:rFonts w:ascii="Arial" w:hAnsi="Arial" w:cs="Arial"/>
          <w:i/>
          <w:szCs w:val="24"/>
          <w:lang w:val="en-GB"/>
        </w:rPr>
        <w:tab/>
        <w:t>Insurance</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Working Group considered that the terms and conditions of insurance policies were a commercial matter for the insurance industry and it would not be appropriate for the Government to try to regulate these matters.</w:t>
      </w:r>
      <w:r w:rsidRPr="0028108F">
        <w:rPr>
          <w:rStyle w:val="FootnoteReference"/>
          <w:rFonts w:ascii="Arial" w:hAnsi="Arial" w:cs="Arial"/>
          <w:szCs w:val="24"/>
          <w:lang w:val="en-GB"/>
        </w:rPr>
        <w:footnoteReference w:id="141"/>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(7)</w:t>
      </w:r>
      <w:r w:rsidRPr="0028108F">
        <w:rPr>
          <w:rFonts w:ascii="Arial" w:hAnsi="Arial" w:cs="Arial"/>
          <w:i/>
          <w:szCs w:val="24"/>
          <w:lang w:val="en-GB"/>
        </w:rPr>
        <w:tab/>
        <w:t>Sport</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Working Group took the view that the question of transsexual people in sport did not appear to have been addressed by the sporting authorities,</w:t>
      </w:r>
      <w:r w:rsidRPr="0028108F">
        <w:rPr>
          <w:rStyle w:val="FootnoteReference"/>
          <w:rFonts w:ascii="Arial" w:hAnsi="Arial" w:cs="Arial"/>
          <w:szCs w:val="24"/>
          <w:lang w:val="en-GB"/>
        </w:rPr>
        <w:footnoteReference w:id="142"/>
      </w:r>
      <w:r w:rsidRPr="0028108F">
        <w:rPr>
          <w:rFonts w:ascii="Arial" w:hAnsi="Arial" w:cs="Arial"/>
          <w:szCs w:val="24"/>
          <w:lang w:val="en-GB"/>
        </w:rPr>
        <w:t xml:space="preserve"> but practical issues might arise where, for example, a male-to-female transsexual would retain a physical advantage over other women despite reassignment treatment.  The Working Group deemed this issue not a purely domestic one and thus it would be for the governing bodies of individual sports to decide how to address the issues raised by transsexual athletes.</w:t>
      </w:r>
      <w:r w:rsidRPr="0028108F">
        <w:rPr>
          <w:rStyle w:val="FootnoteReference"/>
          <w:rFonts w:ascii="Arial" w:hAnsi="Arial" w:cs="Arial"/>
          <w:szCs w:val="24"/>
          <w:lang w:val="en-GB"/>
        </w:rPr>
        <w:footnoteReference w:id="143"/>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b/>
          <w:i/>
          <w:szCs w:val="24"/>
          <w:lang w:val="en-GB"/>
        </w:rPr>
      </w:pPr>
      <w:r w:rsidRPr="0028108F">
        <w:rPr>
          <w:rFonts w:ascii="Arial" w:hAnsi="Arial" w:cs="Arial"/>
          <w:b/>
          <w:i/>
          <w:szCs w:val="24"/>
          <w:lang w:val="en-GB"/>
        </w:rPr>
        <w:t>Developments following the Working Group’s report</w:t>
      </w:r>
    </w:p>
    <w:p w:rsidR="00DE5BD5" w:rsidRPr="0028108F" w:rsidRDefault="00DE5BD5" w:rsidP="008813DE">
      <w:pPr>
        <w:tabs>
          <w:tab w:val="left" w:pos="851"/>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i/>
          <w:szCs w:val="24"/>
          <w:lang w:val="en-GB"/>
        </w:rPr>
      </w:pPr>
      <w:r w:rsidRPr="0028108F">
        <w:rPr>
          <w:rFonts w:ascii="Arial" w:hAnsi="Arial" w:cs="Arial"/>
          <w:i/>
          <w:szCs w:val="24"/>
          <w:lang w:val="en-GB"/>
        </w:rPr>
        <w:t>Reconvening of the Working Group</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In 2002, the UK Government reconvened the Interdepartmental Working Group on Transsexual People.  On 9 July 2002, the Working Group resumed meeting, with a view to examining the implications of granting full legal status to transsexual people in their acquired gender and reporting to Government.</w:t>
      </w:r>
      <w:r w:rsidRPr="0028108F">
        <w:rPr>
          <w:rStyle w:val="FootnoteReference"/>
          <w:rFonts w:ascii="Arial" w:hAnsi="Arial" w:cs="Arial"/>
          <w:color w:val="000000"/>
          <w:kern w:val="0"/>
          <w:szCs w:val="24"/>
          <w:lang w:val="en-GB"/>
        </w:rPr>
        <w:footnoteReference w:id="144"/>
      </w:r>
    </w:p>
    <w:p w:rsidR="00DE5BD5" w:rsidRDefault="00DE5BD5" w:rsidP="00DE5BD5">
      <w:pPr>
        <w:widowControl/>
        <w:tabs>
          <w:tab w:val="left" w:pos="1134"/>
        </w:tabs>
        <w:adjustRightInd w:val="0"/>
        <w:snapToGrid w:val="0"/>
        <w:jc w:val="both"/>
        <w:rPr>
          <w:rFonts w:ascii="Arial" w:hAnsi="Arial" w:cs="Arial"/>
          <w:szCs w:val="24"/>
          <w:lang w:val="en-GB"/>
        </w:rPr>
      </w:pPr>
    </w:p>
    <w:p w:rsidR="00D52EC6" w:rsidRPr="0028108F" w:rsidRDefault="00D52EC6"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szCs w:val="24"/>
          <w:lang w:val="en-GB"/>
        </w:rPr>
      </w:pPr>
      <w:r w:rsidRPr="0028108F">
        <w:rPr>
          <w:rFonts w:ascii="Arial" w:hAnsi="Arial" w:cs="Arial"/>
          <w:i/>
          <w:szCs w:val="24"/>
          <w:lang w:val="en-GB"/>
        </w:rPr>
        <w:lastRenderedPageBreak/>
        <w:t>Christine Goodwin v The United Kingdom</w:t>
      </w:r>
      <w:r w:rsidRPr="0028108F">
        <w:rPr>
          <w:rFonts w:ascii="Arial" w:hAnsi="Arial" w:cs="Arial"/>
          <w:szCs w:val="24"/>
          <w:lang w:val="en-GB"/>
        </w:rPr>
        <w:t xml:space="preserve"> and </w:t>
      </w:r>
      <w:r w:rsidRPr="0028108F">
        <w:rPr>
          <w:rFonts w:ascii="Arial" w:hAnsi="Arial" w:cs="Arial"/>
          <w:i/>
          <w:szCs w:val="24"/>
          <w:lang w:val="en-GB"/>
        </w:rPr>
        <w:t>I v The United Kingdom</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On 11 July 2002, the European Court of Human Rights </w:t>
      </w:r>
      <w:r w:rsidR="00451AB0" w:rsidRPr="0028108F">
        <w:rPr>
          <w:rFonts w:ascii="Arial" w:hAnsi="Arial" w:cs="Arial"/>
          <w:szCs w:val="24"/>
          <w:lang w:val="en-GB"/>
        </w:rPr>
        <w:t>(“</w:t>
      </w:r>
      <w:r w:rsidR="00451AB0" w:rsidRPr="0028108F">
        <w:rPr>
          <w:rFonts w:ascii="Arial" w:hAnsi="Arial" w:cs="Arial"/>
          <w:i/>
          <w:szCs w:val="24"/>
          <w:lang w:val="en-GB"/>
        </w:rPr>
        <w:t>ECtHR</w:t>
      </w:r>
      <w:r w:rsidR="00451AB0" w:rsidRPr="00181CF2">
        <w:rPr>
          <w:rFonts w:ascii="Arial" w:hAnsi="Arial" w:cs="Arial"/>
          <w:szCs w:val="24"/>
          <w:lang w:val="en-GB"/>
        </w:rPr>
        <w:t>”</w:t>
      </w:r>
      <w:r w:rsidR="00451AB0" w:rsidRPr="00C57CE1">
        <w:rPr>
          <w:rFonts w:ascii="Arial" w:hAnsi="Arial" w:cs="Arial"/>
          <w:szCs w:val="24"/>
          <w:lang w:val="en-GB"/>
        </w:rPr>
        <w:t xml:space="preserve">) </w:t>
      </w:r>
      <w:r w:rsidRPr="0028108F">
        <w:rPr>
          <w:rFonts w:ascii="Arial" w:hAnsi="Arial" w:cs="Arial"/>
          <w:szCs w:val="24"/>
          <w:lang w:val="en-GB"/>
        </w:rPr>
        <w:t xml:space="preserve">delivered judgments in the cases of </w:t>
      </w:r>
      <w:r w:rsidRPr="0028108F">
        <w:rPr>
          <w:rFonts w:ascii="Arial" w:hAnsi="Arial" w:cs="Arial"/>
          <w:i/>
          <w:szCs w:val="24"/>
          <w:lang w:val="en-GB"/>
        </w:rPr>
        <w:t>Christine Goodwin v The United Kingdom</w:t>
      </w:r>
      <w:r w:rsidR="003B666D" w:rsidRPr="008813DE">
        <w:rPr>
          <w:rStyle w:val="FootnoteReference"/>
          <w:rFonts w:ascii="Arial" w:hAnsi="Arial" w:cs="Arial"/>
          <w:szCs w:val="24"/>
          <w:lang w:val="en-GB"/>
        </w:rPr>
        <w:footnoteReference w:id="145"/>
      </w:r>
      <w:r w:rsidRPr="0028108F">
        <w:rPr>
          <w:rFonts w:ascii="Arial" w:hAnsi="Arial" w:cs="Arial"/>
          <w:szCs w:val="24"/>
          <w:lang w:val="en-GB"/>
        </w:rPr>
        <w:t xml:space="preserve"> and </w:t>
      </w:r>
      <w:r w:rsidRPr="0028108F">
        <w:rPr>
          <w:rFonts w:ascii="Arial" w:hAnsi="Arial" w:cs="Arial"/>
          <w:i/>
          <w:szCs w:val="24"/>
          <w:lang w:val="en-GB"/>
        </w:rPr>
        <w:t>I v The United Kingdom</w:t>
      </w:r>
      <w:r w:rsidRPr="0028108F">
        <w:rPr>
          <w:rStyle w:val="FootnoteReference"/>
          <w:rFonts w:ascii="Arial" w:hAnsi="Arial" w:cs="Arial"/>
          <w:szCs w:val="24"/>
          <w:lang w:val="en-GB"/>
        </w:rPr>
        <w:footnoteReference w:id="146"/>
      </w:r>
      <w:r w:rsidRPr="0028108F">
        <w:rPr>
          <w:rFonts w:ascii="Arial" w:hAnsi="Arial" w:cs="Arial"/>
          <w:szCs w:val="24"/>
          <w:lang w:val="en-GB"/>
        </w:rPr>
        <w:t xml:space="preserve"> in favour of two transsexual people, </w:t>
      </w:r>
      <w:r w:rsidRPr="0028108F">
        <w:rPr>
          <w:rFonts w:ascii="Arial" w:hAnsi="Arial" w:cs="Arial"/>
          <w:i/>
          <w:szCs w:val="24"/>
          <w:lang w:val="en-GB"/>
        </w:rPr>
        <w:t>“in effect obliging the United Kingdom Government to recognise sex changes as legally valid.”</w:t>
      </w:r>
      <w:r w:rsidRPr="0028108F">
        <w:rPr>
          <w:rStyle w:val="FootnoteReference"/>
          <w:rFonts w:ascii="Arial" w:hAnsi="Arial" w:cs="Arial"/>
          <w:color w:val="000000"/>
          <w:kern w:val="0"/>
          <w:szCs w:val="24"/>
          <w:lang w:val="en-GB"/>
        </w:rPr>
        <w:footnoteReference w:id="147"/>
      </w:r>
      <w:r w:rsidRPr="0028108F">
        <w:rPr>
          <w:rFonts w:ascii="Arial" w:hAnsi="Arial" w:cs="Arial"/>
          <w:szCs w:val="24"/>
          <w:lang w:val="en-GB"/>
        </w:rPr>
        <w:t xml:space="preserve">  In each of the two cases, the applicant had undergone gender reassignment surgery provided by the National Health Service and had lived in society as a female, but because of the UK law then applying, had remained a male for legal purposes.</w:t>
      </w:r>
      <w:r w:rsidRPr="0028108F">
        <w:rPr>
          <w:rStyle w:val="FootnoteReference"/>
          <w:rFonts w:ascii="Arial" w:hAnsi="Arial" w:cs="Arial"/>
          <w:szCs w:val="24"/>
          <w:lang w:val="en-GB"/>
        </w:rPr>
        <w:footnoteReference w:id="148"/>
      </w:r>
      <w:r w:rsidRPr="0028108F">
        <w:rPr>
          <w:rFonts w:ascii="Arial" w:hAnsi="Arial" w:cs="Arial"/>
          <w:szCs w:val="24"/>
          <w:lang w:val="en-GB"/>
        </w:rPr>
        <w:t xml:space="preserve">  Goodwin argued that the refusal by the Government of the UK to change her listed gender in a number of official documents amounted to a violation of Article 8 and Article 12 of the European Convention on Human Rights</w:t>
      </w:r>
      <w:r w:rsidR="00451606" w:rsidRPr="0028108F">
        <w:rPr>
          <w:rFonts w:ascii="Arial" w:hAnsi="Arial" w:cs="Arial"/>
          <w:szCs w:val="24"/>
          <w:lang w:val="en-GB"/>
        </w:rPr>
        <w:t xml:space="preserve"> (“</w:t>
      </w:r>
      <w:r w:rsidR="00451606" w:rsidRPr="0028108F">
        <w:rPr>
          <w:rFonts w:ascii="Arial" w:hAnsi="Arial" w:cs="Arial"/>
          <w:i/>
          <w:szCs w:val="24"/>
          <w:lang w:val="en-GB"/>
        </w:rPr>
        <w:t>ECHR</w:t>
      </w:r>
      <w:r w:rsidR="00451606" w:rsidRPr="00181CF2">
        <w:rPr>
          <w:rFonts w:ascii="Arial" w:hAnsi="Arial" w:cs="Arial"/>
          <w:szCs w:val="24"/>
          <w:lang w:val="en-GB"/>
        </w:rPr>
        <w:t>”</w:t>
      </w:r>
      <w:r w:rsidR="00451606" w:rsidRPr="00C57CE1">
        <w:rPr>
          <w:rFonts w:ascii="Arial" w:hAnsi="Arial" w:cs="Arial"/>
          <w:szCs w:val="24"/>
          <w:lang w:val="en-GB"/>
        </w:rPr>
        <w:t>)</w:t>
      </w:r>
      <w:r w:rsidRPr="0028108F">
        <w:rPr>
          <w:rFonts w:ascii="Arial" w:hAnsi="Arial" w:cs="Arial"/>
          <w:szCs w:val="24"/>
          <w:lang w:val="en-GB"/>
        </w:rPr>
        <w:t xml:space="preserve"> (the right to respect for private life and the right to marry).  The </w:t>
      </w:r>
      <w:r w:rsidR="00451AB0" w:rsidRPr="0028108F">
        <w:rPr>
          <w:rFonts w:ascii="Arial" w:hAnsi="Arial" w:cs="Arial"/>
          <w:szCs w:val="24"/>
          <w:lang w:val="en-GB"/>
        </w:rPr>
        <w:t>ECtHR</w:t>
      </w:r>
      <w:r w:rsidRPr="0028108F">
        <w:rPr>
          <w:rFonts w:ascii="Arial" w:hAnsi="Arial" w:cs="Arial"/>
          <w:szCs w:val="24"/>
          <w:lang w:val="en-GB"/>
        </w:rPr>
        <w:t xml:space="preserve"> found that the UK had breached these Convention rights.  The Court also ruled that a Contracting State could </w:t>
      </w:r>
      <w:r w:rsidRPr="0028108F">
        <w:rPr>
          <w:rFonts w:ascii="Arial" w:hAnsi="Arial" w:cs="Arial"/>
          <w:i/>
          <w:szCs w:val="24"/>
          <w:lang w:val="en-GB"/>
        </w:rPr>
        <w:t>“determine inter alia the conditions under which a person claiming legal recognition as a transsexual establishes that gender re-assignment has been properly effected or under which past marriages cease to be valid and the formalities applicable to future marriages (including, for example, the information to be furnished to intended spouses).”</w:t>
      </w:r>
      <w:r w:rsidRPr="0028108F">
        <w:rPr>
          <w:rStyle w:val="FootnoteReference"/>
          <w:rFonts w:ascii="Arial" w:hAnsi="Arial" w:cs="Arial"/>
          <w:color w:val="000000"/>
          <w:kern w:val="0"/>
          <w:szCs w:val="24"/>
          <w:lang w:val="en-GB"/>
        </w:rPr>
        <w:footnoteReference w:id="149"/>
      </w:r>
      <w:r w:rsidRPr="0028108F">
        <w:rPr>
          <w:rFonts w:ascii="Arial" w:hAnsi="Arial" w:cs="Arial"/>
          <w:szCs w:val="24"/>
          <w:lang w:val="en-GB"/>
        </w:rPr>
        <w:t xml:space="preserve">  However, the Court found no justification for barring transsexuals from enjoying the right to marry under any circumstances.</w:t>
      </w:r>
      <w:r w:rsidRPr="0028108F">
        <w:rPr>
          <w:rStyle w:val="FootnoteReference"/>
          <w:rFonts w:ascii="Arial" w:hAnsi="Arial" w:cs="Arial"/>
          <w:szCs w:val="24"/>
          <w:lang w:val="en-GB"/>
        </w:rPr>
        <w:footnoteReference w:id="150"/>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i/>
          <w:szCs w:val="24"/>
          <w:lang w:val="en-GB"/>
        </w:rPr>
      </w:pPr>
      <w:r w:rsidRPr="0028108F">
        <w:rPr>
          <w:rFonts w:ascii="Arial" w:hAnsi="Arial" w:cs="Arial"/>
          <w:i/>
          <w:szCs w:val="24"/>
          <w:lang w:val="en-GB"/>
        </w:rPr>
        <w:t>Draft legislation</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On 13 December 2002, the Government announced its intention to bring forward legislation in this area to implement the European Court</w:t>
      </w:r>
      <w:r w:rsidR="001D119D">
        <w:rPr>
          <w:rFonts w:ascii="Arial" w:hAnsi="Arial" w:cs="Arial"/>
          <w:szCs w:val="24"/>
          <w:lang w:val="en-GB"/>
        </w:rPr>
        <w:t>’</w:t>
      </w:r>
      <w:r w:rsidRPr="0028108F">
        <w:rPr>
          <w:rFonts w:ascii="Arial" w:hAnsi="Arial" w:cs="Arial"/>
          <w:szCs w:val="24"/>
          <w:lang w:val="en-GB"/>
        </w:rPr>
        <w:t>s judgments and</w:t>
      </w:r>
      <w:r w:rsidRPr="0028108F">
        <w:rPr>
          <w:rFonts w:ascii="Arial" w:hAnsi="Arial" w:cs="Arial"/>
          <w:i/>
          <w:szCs w:val="24"/>
          <w:lang w:val="en-GB"/>
        </w:rPr>
        <w:t xml:space="preserve"> “to give transsexual people their Convention rights.”</w:t>
      </w:r>
      <w:r w:rsidRPr="0028108F">
        <w:rPr>
          <w:rStyle w:val="FootnoteReference"/>
          <w:rFonts w:ascii="Arial" w:hAnsi="Arial" w:cs="Arial"/>
          <w:szCs w:val="24"/>
          <w:lang w:val="en-GB"/>
        </w:rPr>
        <w:footnoteReference w:id="151"/>
      </w:r>
      <w:r w:rsidRPr="0028108F">
        <w:rPr>
          <w:rFonts w:ascii="Arial" w:hAnsi="Arial" w:cs="Arial"/>
          <w:szCs w:val="24"/>
          <w:lang w:val="en-GB"/>
        </w:rPr>
        <w:t xml:space="preserve">  It stated also that the Interdepartmental Working Group on Transsexual People </w:t>
      </w:r>
      <w:r w:rsidRPr="0028108F">
        <w:rPr>
          <w:rFonts w:ascii="Arial" w:hAnsi="Arial" w:cs="Arial"/>
          <w:i/>
          <w:szCs w:val="24"/>
          <w:lang w:val="en-GB"/>
        </w:rPr>
        <w:t>“was being tasked additionally with considering urgently the implications of the judgments”</w:t>
      </w:r>
      <w:r w:rsidRPr="0028108F">
        <w:rPr>
          <w:rFonts w:ascii="Arial" w:hAnsi="Arial" w:cs="Arial"/>
          <w:szCs w:val="24"/>
          <w:lang w:val="en-GB"/>
        </w:rPr>
        <w:t xml:space="preserve"> in </w:t>
      </w:r>
      <w:r w:rsidRPr="0028108F">
        <w:rPr>
          <w:rFonts w:ascii="Arial" w:hAnsi="Arial" w:cs="Arial"/>
          <w:i/>
          <w:szCs w:val="24"/>
          <w:lang w:val="en-GB"/>
        </w:rPr>
        <w:t>Goodwin v The United Kingdom</w:t>
      </w:r>
      <w:r w:rsidRPr="0028108F">
        <w:rPr>
          <w:rFonts w:ascii="Arial" w:hAnsi="Arial" w:cs="Arial"/>
          <w:szCs w:val="24"/>
          <w:lang w:val="en-GB"/>
        </w:rPr>
        <w:t xml:space="preserve"> and </w:t>
      </w:r>
      <w:r w:rsidRPr="0028108F">
        <w:rPr>
          <w:rFonts w:ascii="Arial" w:hAnsi="Arial" w:cs="Arial"/>
          <w:i/>
          <w:szCs w:val="24"/>
          <w:lang w:val="en-GB"/>
        </w:rPr>
        <w:t>I v The United Kingdom</w:t>
      </w:r>
      <w:r w:rsidRPr="0028108F">
        <w:rPr>
          <w:rFonts w:ascii="Arial" w:hAnsi="Arial" w:cs="Arial"/>
          <w:szCs w:val="24"/>
          <w:lang w:val="en-GB"/>
        </w:rPr>
        <w:t>.</w:t>
      </w:r>
      <w:r w:rsidRPr="0028108F">
        <w:rPr>
          <w:rStyle w:val="FootnoteReference"/>
          <w:rFonts w:ascii="Arial" w:hAnsi="Arial" w:cs="Arial"/>
          <w:szCs w:val="24"/>
          <w:lang w:val="en-GB"/>
        </w:rPr>
        <w:footnoteReference w:id="152"/>
      </w:r>
    </w:p>
    <w:p w:rsidR="00DE5BD5" w:rsidRPr="0028108F" w:rsidRDefault="00DE5BD5" w:rsidP="00DE5BD5">
      <w:pPr>
        <w:tabs>
          <w:tab w:val="left" w:pos="851"/>
        </w:tabs>
        <w:adjustRightInd w:val="0"/>
        <w:snapToGrid w:val="0"/>
        <w:jc w:val="both"/>
        <w:rPr>
          <w:rFonts w:ascii="Arial" w:hAnsi="Arial" w:cs="Arial"/>
          <w:i/>
          <w:szCs w:val="24"/>
          <w:lang w:val="en-GB"/>
        </w:rPr>
      </w:pPr>
    </w:p>
    <w:p w:rsidR="00DE5BD5" w:rsidRPr="0028108F" w:rsidRDefault="00DE5BD5" w:rsidP="00DE5BD5">
      <w:pPr>
        <w:tabs>
          <w:tab w:val="left" w:pos="851"/>
        </w:tabs>
        <w:adjustRightInd w:val="0"/>
        <w:snapToGrid w:val="0"/>
        <w:jc w:val="both"/>
        <w:rPr>
          <w:rFonts w:ascii="Arial" w:hAnsi="Arial" w:cs="Arial"/>
          <w:szCs w:val="24"/>
          <w:lang w:val="en-GB"/>
        </w:rPr>
      </w:pPr>
      <w:r w:rsidRPr="0028108F">
        <w:rPr>
          <w:rFonts w:ascii="Arial" w:hAnsi="Arial" w:cs="Arial"/>
          <w:i/>
          <w:szCs w:val="24"/>
          <w:lang w:val="en-GB"/>
        </w:rPr>
        <w:t>Bellinger v Bellinger</w:t>
      </w:r>
      <w:r w:rsidR="00C9791A" w:rsidRPr="0028108F">
        <w:rPr>
          <w:rFonts w:ascii="Arial" w:hAnsi="Arial" w:cs="Arial"/>
          <w:szCs w:val="24"/>
          <w:lang w:val="en-GB"/>
        </w:rPr>
        <w:t xml:space="preserve"> </w:t>
      </w:r>
    </w:p>
    <w:p w:rsidR="00DE5BD5" w:rsidRPr="00181CF2"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C57CE1">
        <w:rPr>
          <w:rFonts w:ascii="Arial" w:hAnsi="Arial" w:cs="Arial"/>
          <w:szCs w:val="24"/>
          <w:lang w:val="en-GB"/>
        </w:rPr>
        <w:t xml:space="preserve">In 2003, a year after the </w:t>
      </w:r>
      <w:r w:rsidR="00451AB0" w:rsidRPr="0028108F">
        <w:rPr>
          <w:rFonts w:ascii="Arial" w:hAnsi="Arial" w:cs="Arial"/>
          <w:szCs w:val="24"/>
          <w:lang w:val="en-GB"/>
        </w:rPr>
        <w:t>ECtHR</w:t>
      </w:r>
      <w:r w:rsidRPr="0028108F">
        <w:rPr>
          <w:rFonts w:ascii="Arial" w:hAnsi="Arial" w:cs="Arial"/>
          <w:szCs w:val="24"/>
          <w:lang w:val="en-GB"/>
        </w:rPr>
        <w:t xml:space="preserve"> judgment in </w:t>
      </w:r>
      <w:r w:rsidRPr="0028108F">
        <w:rPr>
          <w:rFonts w:ascii="Arial" w:hAnsi="Arial" w:cs="Arial"/>
          <w:i/>
          <w:szCs w:val="24"/>
          <w:lang w:val="en-GB"/>
        </w:rPr>
        <w:t>Goodwin</w:t>
      </w:r>
      <w:r w:rsidRPr="0028108F">
        <w:rPr>
          <w:rFonts w:ascii="Arial" w:hAnsi="Arial" w:cs="Arial"/>
          <w:szCs w:val="24"/>
          <w:lang w:val="en-GB"/>
        </w:rPr>
        <w:t xml:space="preserve">, the case of </w:t>
      </w:r>
      <w:r w:rsidRPr="0028108F">
        <w:rPr>
          <w:rFonts w:ascii="Arial" w:hAnsi="Arial" w:cs="Arial"/>
          <w:i/>
          <w:szCs w:val="24"/>
          <w:lang w:val="en-GB"/>
        </w:rPr>
        <w:t>Bellinger v Bellinger</w:t>
      </w:r>
      <w:r w:rsidRPr="0028108F">
        <w:rPr>
          <w:rStyle w:val="FootnoteReference"/>
          <w:rFonts w:ascii="Arial" w:hAnsi="Arial" w:cs="Arial"/>
          <w:i/>
          <w:szCs w:val="24"/>
          <w:lang w:val="en-GB"/>
        </w:rPr>
        <w:footnoteReference w:id="153"/>
      </w:r>
      <w:r w:rsidRPr="0028108F">
        <w:rPr>
          <w:rFonts w:ascii="Arial" w:hAnsi="Arial" w:cs="Arial"/>
          <w:szCs w:val="24"/>
          <w:lang w:val="en-GB"/>
        </w:rPr>
        <w:t xml:space="preserve"> was decided by the House of Lords.  The case </w:t>
      </w:r>
      <w:r w:rsidRPr="0028108F">
        <w:rPr>
          <w:rFonts w:ascii="Arial" w:hAnsi="Arial" w:cs="Arial"/>
          <w:szCs w:val="24"/>
          <w:lang w:val="en-GB"/>
        </w:rPr>
        <w:lastRenderedPageBreak/>
        <w:t xml:space="preserve">concerned a male-to-female transsexual person who </w:t>
      </w:r>
      <w:r w:rsidR="00722858">
        <w:rPr>
          <w:rFonts w:ascii="Arial" w:hAnsi="Arial" w:cs="Arial" w:hint="eastAsia"/>
          <w:szCs w:val="24"/>
          <w:lang w:val="en-GB"/>
        </w:rPr>
        <w:t>sought</w:t>
      </w:r>
      <w:r w:rsidRPr="0028108F">
        <w:rPr>
          <w:rFonts w:ascii="Arial" w:hAnsi="Arial" w:cs="Arial"/>
          <w:szCs w:val="24"/>
          <w:lang w:val="en-GB"/>
        </w:rPr>
        <w:t xml:space="preserve"> legal recognition of her 1981 marriage to a man.  While expressing sympathy for Mrs Bellinger</w:t>
      </w:r>
      <w:r w:rsidR="00D52EC6">
        <w:rPr>
          <w:rFonts w:ascii="Arial" w:hAnsi="Arial" w:cs="Arial"/>
          <w:szCs w:val="24"/>
          <w:lang w:val="en-GB"/>
        </w:rPr>
        <w:t>’</w:t>
      </w:r>
      <w:r w:rsidRPr="0028108F">
        <w:rPr>
          <w:rFonts w:ascii="Arial" w:hAnsi="Arial" w:cs="Arial"/>
          <w:szCs w:val="24"/>
          <w:lang w:val="en-GB"/>
        </w:rPr>
        <w:t>s plight, the Law Lords ruled that the marriage was void.  They considered the fact that recognition of the post-operative sex of a transsexual person for the purposes of marriage would give a novel and extended meaning to the words ‘male’ and ‘female’ in the Matrimonial Causes Act 1973</w:t>
      </w:r>
      <w:r w:rsidRPr="0028108F">
        <w:rPr>
          <w:rFonts w:ascii="Arial" w:hAnsi="Arial" w:cs="Arial"/>
          <w:i/>
          <w:szCs w:val="24"/>
          <w:lang w:val="en-GB"/>
        </w:rPr>
        <w:t>,</w:t>
      </w:r>
      <w:r w:rsidRPr="0028108F">
        <w:rPr>
          <w:rStyle w:val="FootnoteReference"/>
          <w:rFonts w:ascii="Arial" w:hAnsi="Arial" w:cs="Arial"/>
          <w:szCs w:val="24"/>
          <w:lang w:val="en-GB"/>
        </w:rPr>
        <w:footnoteReference w:id="154"/>
      </w:r>
      <w:r w:rsidRPr="0028108F">
        <w:rPr>
          <w:rFonts w:ascii="Arial" w:hAnsi="Arial" w:cs="Arial"/>
          <w:szCs w:val="24"/>
          <w:lang w:val="en-GB"/>
        </w:rPr>
        <w:t xml:space="preserve"> and that the issues raised (including what should be the prerequisites for the recognition of gender change and its effect on other areas such as criminal law, child care and pension), </w:t>
      </w:r>
      <w:r w:rsidRPr="0028108F">
        <w:rPr>
          <w:rFonts w:ascii="Arial" w:hAnsi="Arial" w:cs="Arial"/>
          <w:i/>
          <w:szCs w:val="24"/>
          <w:lang w:val="en-GB"/>
        </w:rPr>
        <w:t>“required extensive enquiries and the widest public consultation and discussion.”</w:t>
      </w:r>
      <w:r w:rsidRPr="0028108F">
        <w:rPr>
          <w:rStyle w:val="FootnoteReference"/>
          <w:rFonts w:ascii="Arial" w:hAnsi="Arial" w:cs="Arial"/>
          <w:szCs w:val="24"/>
          <w:lang w:val="en-GB"/>
        </w:rPr>
        <w:footnoteReference w:id="155"/>
      </w:r>
      <w:r w:rsidRPr="0028108F">
        <w:rPr>
          <w:rFonts w:ascii="Arial" w:hAnsi="Arial" w:cs="Arial"/>
          <w:szCs w:val="24"/>
          <w:lang w:val="en-GB"/>
        </w:rPr>
        <w:t xml:space="preserve">  The Lords considered the problem best dealt with as a whole and not in piecemeal fashion, and in effect, deferred the issue to Parliament, which, at that time,</w:t>
      </w:r>
      <w:r w:rsidRPr="0028108F">
        <w:rPr>
          <w:rFonts w:ascii="Arial" w:hAnsi="Arial" w:cs="Arial"/>
          <w:i/>
          <w:szCs w:val="24"/>
          <w:lang w:val="en-GB"/>
        </w:rPr>
        <w:t xml:space="preserve"> </w:t>
      </w:r>
      <w:r w:rsidRPr="0028108F">
        <w:rPr>
          <w:rFonts w:ascii="Arial" w:hAnsi="Arial" w:cs="Arial"/>
          <w:szCs w:val="24"/>
          <w:lang w:val="en-GB"/>
        </w:rPr>
        <w:t>had</w:t>
      </w:r>
      <w:r w:rsidRPr="0028108F">
        <w:rPr>
          <w:rFonts w:ascii="Arial" w:hAnsi="Arial" w:cs="Arial"/>
          <w:i/>
          <w:szCs w:val="24"/>
          <w:lang w:val="en-GB"/>
        </w:rPr>
        <w:t xml:space="preserve"> </w:t>
      </w:r>
      <w:r w:rsidRPr="0028108F">
        <w:rPr>
          <w:rFonts w:ascii="Arial" w:hAnsi="Arial" w:cs="Arial"/>
          <w:szCs w:val="24"/>
          <w:lang w:val="en-GB"/>
        </w:rPr>
        <w:t>expressed intention to bring forward legislation to allow transsexuals to change their legal gender</w:t>
      </w:r>
      <w:r w:rsidRPr="0028108F">
        <w:rPr>
          <w:rFonts w:ascii="Arial" w:hAnsi="Arial" w:cs="Arial"/>
          <w:i/>
          <w:szCs w:val="24"/>
          <w:lang w:val="en-GB"/>
        </w:rPr>
        <w:t>.</w:t>
      </w:r>
      <w:r w:rsidRPr="0028108F">
        <w:rPr>
          <w:rStyle w:val="FootnoteReference"/>
          <w:rFonts w:ascii="Arial" w:hAnsi="Arial" w:cs="Arial"/>
          <w:szCs w:val="24"/>
          <w:lang w:val="en-GB"/>
        </w:rPr>
        <w:footnoteReference w:id="156"/>
      </w:r>
      <w:r w:rsidRPr="0028108F">
        <w:rPr>
          <w:rFonts w:ascii="Arial" w:hAnsi="Arial" w:cs="Arial"/>
          <w:szCs w:val="24"/>
          <w:lang w:val="en-GB"/>
        </w:rPr>
        <w:t xml:space="preserve">  Pursuant to the decision in </w:t>
      </w:r>
      <w:r w:rsidRPr="0028108F">
        <w:rPr>
          <w:rFonts w:ascii="Arial" w:hAnsi="Arial" w:cs="Arial"/>
          <w:i/>
          <w:szCs w:val="24"/>
          <w:lang w:val="en-GB"/>
        </w:rPr>
        <w:t>Goodwin</w:t>
      </w:r>
      <w:r w:rsidRPr="0028108F">
        <w:rPr>
          <w:rFonts w:ascii="Arial" w:hAnsi="Arial" w:cs="Arial"/>
          <w:szCs w:val="24"/>
          <w:lang w:val="en-GB"/>
        </w:rPr>
        <w:t xml:space="preserve">, the Law Lords issued a declaration of incompatibility of section 11(c) of the Matrimonial Causes Act 1973 with the </w:t>
      </w:r>
      <w:r w:rsidR="00451606" w:rsidRPr="0028108F">
        <w:rPr>
          <w:rFonts w:ascii="Arial" w:hAnsi="Arial" w:cs="Arial"/>
          <w:szCs w:val="24"/>
          <w:lang w:val="en-GB"/>
        </w:rPr>
        <w:t>ECHR</w:t>
      </w:r>
      <w:r w:rsidRPr="0028108F">
        <w:rPr>
          <w:rFonts w:ascii="Arial" w:hAnsi="Arial" w:cs="Arial"/>
          <w:szCs w:val="24"/>
          <w:lang w:val="en-GB"/>
        </w:rPr>
        <w:t>.</w:t>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adjustRightInd w:val="0"/>
        <w:snapToGrid w:val="0"/>
        <w:jc w:val="both"/>
        <w:rPr>
          <w:rFonts w:ascii="Arial" w:hAnsi="Arial" w:cs="Arial"/>
          <w:b/>
          <w:sz w:val="28"/>
          <w:szCs w:val="24"/>
          <w:lang w:val="en-GB"/>
        </w:rPr>
      </w:pPr>
      <w:r w:rsidRPr="0028108F">
        <w:rPr>
          <w:rFonts w:ascii="Arial" w:hAnsi="Arial" w:cs="Arial"/>
          <w:b/>
          <w:sz w:val="28"/>
          <w:szCs w:val="24"/>
          <w:lang w:val="en-GB"/>
        </w:rPr>
        <w:t>The Gender Recognition Act 2004</w:t>
      </w:r>
    </w:p>
    <w:p w:rsidR="00DE5BD5" w:rsidRPr="0028108F" w:rsidRDefault="00DE5BD5" w:rsidP="00DE5BD5">
      <w:pPr>
        <w:adjustRightInd w:val="0"/>
        <w:snapToGrid w:val="0"/>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b/>
          <w:i/>
          <w:szCs w:val="24"/>
          <w:lang w:val="en-GB"/>
        </w:rPr>
      </w:pPr>
      <w:r w:rsidRPr="0028108F">
        <w:rPr>
          <w:rFonts w:ascii="Arial" w:hAnsi="Arial" w:cs="Arial"/>
          <w:b/>
          <w:i/>
          <w:szCs w:val="24"/>
          <w:lang w:val="en-GB"/>
        </w:rPr>
        <w:t>Introduction of the Act</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 draft Gender Recognition Bill was published on 11 July 2003 and, after consultation and scrutiny of the draft Bill by the Joint Committee on Human Rights</w:t>
      </w:r>
      <w:r w:rsidR="00D41803">
        <w:rPr>
          <w:rFonts w:ascii="Arial" w:hAnsi="Arial" w:cs="Arial" w:hint="eastAsia"/>
          <w:szCs w:val="24"/>
          <w:lang w:val="en-GB"/>
        </w:rPr>
        <w:t>,</w:t>
      </w:r>
      <w:r w:rsidRPr="0028108F">
        <w:rPr>
          <w:rStyle w:val="FootnoteReference"/>
          <w:rFonts w:ascii="Arial" w:hAnsi="Arial" w:cs="Arial"/>
          <w:szCs w:val="24"/>
          <w:lang w:val="en-GB"/>
        </w:rPr>
        <w:footnoteReference w:id="157"/>
      </w:r>
      <w:r w:rsidRPr="0028108F">
        <w:rPr>
          <w:rFonts w:ascii="Arial" w:hAnsi="Arial" w:cs="Arial"/>
          <w:szCs w:val="24"/>
          <w:lang w:val="en-GB"/>
        </w:rPr>
        <w:t xml:space="preserve"> </w:t>
      </w:r>
      <w:r w:rsidR="00D41803">
        <w:rPr>
          <w:rFonts w:ascii="Arial" w:hAnsi="Arial" w:cs="Arial" w:hint="eastAsia"/>
          <w:szCs w:val="24"/>
          <w:lang w:val="en-GB"/>
        </w:rPr>
        <w:t>t</w:t>
      </w:r>
      <w:r w:rsidRPr="0028108F">
        <w:rPr>
          <w:rFonts w:ascii="Arial" w:hAnsi="Arial" w:cs="Arial"/>
          <w:szCs w:val="24"/>
          <w:lang w:val="en-GB"/>
        </w:rPr>
        <w:t>he Bill</w:t>
      </w:r>
      <w:r w:rsidRPr="0028108F">
        <w:rPr>
          <w:rFonts w:ascii="Arial" w:hAnsi="Arial" w:cs="Arial"/>
          <w:b/>
          <w:szCs w:val="24"/>
          <w:lang w:val="en-GB"/>
        </w:rPr>
        <w:t xml:space="preserve"> </w:t>
      </w:r>
      <w:r w:rsidRPr="0028108F">
        <w:rPr>
          <w:rFonts w:ascii="Arial" w:hAnsi="Arial" w:cs="Arial"/>
          <w:szCs w:val="24"/>
          <w:lang w:val="en-GB"/>
        </w:rPr>
        <w:t>was introduced in the House of Lords on 27 November 2003</w:t>
      </w:r>
      <w:r w:rsidR="00D41803">
        <w:rPr>
          <w:rFonts w:ascii="Arial" w:hAnsi="Arial" w:cs="Arial" w:hint="eastAsia"/>
          <w:szCs w:val="24"/>
          <w:lang w:val="en-GB"/>
        </w:rPr>
        <w:t>.</w:t>
      </w:r>
      <w:r w:rsidRPr="0028108F">
        <w:rPr>
          <w:rFonts w:ascii="Arial" w:hAnsi="Arial" w:cs="Arial"/>
          <w:szCs w:val="24"/>
          <w:lang w:val="en-GB"/>
        </w:rPr>
        <w:t xml:space="preserve"> </w:t>
      </w:r>
      <w:r w:rsidR="00D41803">
        <w:rPr>
          <w:rFonts w:ascii="Arial" w:hAnsi="Arial" w:cs="Arial" w:hint="eastAsia"/>
          <w:szCs w:val="24"/>
          <w:lang w:val="en-GB"/>
        </w:rPr>
        <w:t xml:space="preserve"> T</w:t>
      </w:r>
      <w:r w:rsidR="00784AF1" w:rsidRPr="0028108F">
        <w:rPr>
          <w:rFonts w:ascii="Arial" w:hAnsi="Arial" w:cs="Arial"/>
          <w:szCs w:val="24"/>
          <w:lang w:val="en-GB"/>
        </w:rPr>
        <w:t xml:space="preserve">he GRA </w:t>
      </w:r>
      <w:r w:rsidRPr="0028108F">
        <w:rPr>
          <w:rFonts w:ascii="Arial" w:hAnsi="Arial" w:cs="Arial"/>
          <w:szCs w:val="24"/>
          <w:lang w:val="en-GB"/>
        </w:rPr>
        <w:t xml:space="preserve">came into effect on 4 April 2005.  It </w:t>
      </w:r>
      <w:r w:rsidRPr="0028108F">
        <w:rPr>
          <w:rFonts w:ascii="Arial" w:hAnsi="Arial" w:cs="Arial"/>
          <w:color w:val="000000"/>
          <w:kern w:val="0"/>
          <w:szCs w:val="24"/>
          <w:lang w:val="en-GB"/>
        </w:rPr>
        <w:t xml:space="preserve">applies to England and Wales, Northern Ireland and </w:t>
      </w:r>
      <w:r w:rsidRPr="0028108F">
        <w:rPr>
          <w:rFonts w:ascii="Arial" w:hAnsi="Arial" w:cs="Arial"/>
          <w:szCs w:val="24"/>
          <w:lang w:val="en-GB"/>
        </w:rPr>
        <w:t>Scotland</w:t>
      </w:r>
      <w:r w:rsidRPr="0028108F">
        <w:rPr>
          <w:rFonts w:ascii="Arial" w:hAnsi="Arial" w:cs="Arial"/>
          <w:color w:val="000000"/>
          <w:kern w:val="0"/>
          <w:szCs w:val="24"/>
          <w:lang w:val="en-GB"/>
        </w:rPr>
        <w:t>.</w:t>
      </w:r>
      <w:r w:rsidRPr="0028108F">
        <w:rPr>
          <w:rStyle w:val="FootnoteReference"/>
          <w:rFonts w:ascii="Arial" w:hAnsi="Arial" w:cs="Arial"/>
          <w:szCs w:val="24"/>
          <w:lang w:val="en-GB"/>
        </w:rPr>
        <w:footnoteReference w:id="158"/>
      </w:r>
    </w:p>
    <w:p w:rsidR="00DE5BD5" w:rsidRPr="0028108F" w:rsidRDefault="00DE5BD5" w:rsidP="00DE5BD5">
      <w:pPr>
        <w:tabs>
          <w:tab w:val="left" w:pos="851"/>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w:t>
      </w:r>
      <w:r w:rsidR="0065537A" w:rsidRPr="0028108F">
        <w:rPr>
          <w:rFonts w:ascii="Arial" w:hAnsi="Arial" w:cs="Arial"/>
          <w:color w:val="000000"/>
          <w:kern w:val="0"/>
          <w:szCs w:val="24"/>
          <w:lang w:val="en-GB"/>
        </w:rPr>
        <w:t xml:space="preserve"> </w:t>
      </w:r>
      <w:r w:rsidRPr="0028108F">
        <w:rPr>
          <w:rFonts w:ascii="Arial" w:hAnsi="Arial" w:cs="Arial"/>
          <w:color w:val="000000"/>
          <w:kern w:val="0"/>
          <w:szCs w:val="24"/>
          <w:lang w:val="en-GB"/>
        </w:rPr>
        <w:t>GRA specifies the criteria, evidence and procedure by which a person can acquire legal recognition of his or her change of gender, and defines the legal consequences of such a change.  It contains 29 sections arranged in the following parts:</w:t>
      </w:r>
    </w:p>
    <w:p w:rsidR="00DE5BD5" w:rsidRPr="0028108F" w:rsidRDefault="00DE5BD5" w:rsidP="00DE5BD5">
      <w:pPr>
        <w:tabs>
          <w:tab w:val="left" w:pos="851"/>
        </w:tabs>
        <w:adjustRightInd w:val="0"/>
        <w:snapToGrid w:val="0"/>
        <w:ind w:left="851"/>
        <w:jc w:val="both"/>
        <w:rPr>
          <w:rFonts w:ascii="Arial" w:hAnsi="Arial" w:cs="Arial"/>
          <w:color w:val="000000"/>
          <w:kern w:val="0"/>
          <w:szCs w:val="24"/>
          <w:lang w:val="en-GB"/>
        </w:rPr>
      </w:pPr>
    </w:p>
    <w:p w:rsidR="00DE5BD5" w:rsidRPr="00181CF2"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color w:val="000000"/>
          <w:kern w:val="0"/>
          <w:szCs w:val="24"/>
          <w:lang w:val="en-GB"/>
        </w:rPr>
        <w:t>applications for a Gender Recognition Certificate (“</w:t>
      </w:r>
      <w:r w:rsidRPr="0028108F">
        <w:rPr>
          <w:rFonts w:ascii="Arial" w:hAnsi="Arial" w:cs="Arial"/>
          <w:i/>
          <w:color w:val="000000"/>
          <w:kern w:val="0"/>
          <w:szCs w:val="24"/>
          <w:lang w:val="en-GB"/>
        </w:rPr>
        <w:t>GRC</w:t>
      </w:r>
      <w:r w:rsidRPr="00181CF2">
        <w:rPr>
          <w:rFonts w:ascii="Arial" w:hAnsi="Arial" w:cs="Arial"/>
          <w:color w:val="000000"/>
          <w:kern w:val="0"/>
          <w:szCs w:val="24"/>
          <w:lang w:val="en-GB"/>
        </w:rPr>
        <w:t>”) (sections 1 to 8);</w:t>
      </w:r>
    </w:p>
    <w:p w:rsidR="00DE5BD5" w:rsidRPr="00C57CE1" w:rsidRDefault="00DE5BD5" w:rsidP="00DE5BD5">
      <w:pPr>
        <w:tabs>
          <w:tab w:val="left" w:pos="851"/>
          <w:tab w:val="left" w:pos="1701"/>
        </w:tabs>
        <w:adjustRightInd w:val="0"/>
        <w:snapToGrid w:val="0"/>
        <w:ind w:left="1701"/>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color w:val="000000"/>
          <w:kern w:val="0"/>
          <w:szCs w:val="24"/>
          <w:lang w:val="en-GB"/>
        </w:rPr>
        <w:t>consequences of the issue of a GRC (sections 9 to 21);</w:t>
      </w:r>
    </w:p>
    <w:p w:rsidR="00DE5BD5" w:rsidRPr="0028108F" w:rsidRDefault="00DE5BD5" w:rsidP="00DE5BD5">
      <w:pPr>
        <w:tabs>
          <w:tab w:val="left" w:pos="851"/>
          <w:tab w:val="left" w:pos="1701"/>
        </w:tabs>
        <w:adjustRightInd w:val="0"/>
        <w:snapToGrid w:val="0"/>
        <w:ind w:left="1701"/>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color w:val="000000"/>
          <w:kern w:val="0"/>
          <w:szCs w:val="24"/>
          <w:lang w:val="en-GB"/>
        </w:rPr>
        <w:t>supplementary provisions which deal with the legal issues arising from the issuance of a full GRC concerning marriage, parenthood, succession, duty of trustees</w:t>
      </w:r>
      <w:r w:rsidRPr="0028108F">
        <w:rPr>
          <w:rFonts w:ascii="Arial" w:hAnsi="Arial" w:cs="Arial"/>
          <w:b/>
          <w:bCs/>
          <w:i/>
          <w:iCs/>
          <w:color w:val="800080"/>
          <w:kern w:val="0"/>
          <w:szCs w:val="24"/>
          <w:lang w:val="en-GB"/>
        </w:rPr>
        <w:t xml:space="preserve"> </w:t>
      </w:r>
      <w:r w:rsidRPr="0028108F">
        <w:rPr>
          <w:rFonts w:ascii="Arial" w:hAnsi="Arial" w:cs="Arial"/>
          <w:color w:val="000000"/>
          <w:kern w:val="0"/>
          <w:szCs w:val="24"/>
          <w:lang w:val="en-GB"/>
        </w:rPr>
        <w:t xml:space="preserve">and personal representatives, birth certificates, sexual offences, social security benefits and pensions, discrimination, and sports (sections 22 to 29); and </w:t>
      </w:r>
    </w:p>
    <w:p w:rsidR="00DE5BD5" w:rsidRPr="0028108F" w:rsidRDefault="00DE5BD5" w:rsidP="00DE5BD5">
      <w:pPr>
        <w:tabs>
          <w:tab w:val="left" w:pos="851"/>
          <w:tab w:val="left" w:pos="1701"/>
        </w:tabs>
        <w:adjustRightInd w:val="0"/>
        <w:snapToGrid w:val="0"/>
        <w:ind w:left="1701"/>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color w:val="000000"/>
          <w:kern w:val="0"/>
          <w:szCs w:val="24"/>
          <w:lang w:val="en-GB"/>
        </w:rPr>
        <w:t>six schedules.</w:t>
      </w:r>
      <w:r w:rsidRPr="0028108F">
        <w:rPr>
          <w:rStyle w:val="FootnoteReference"/>
          <w:rFonts w:ascii="Arial" w:hAnsi="Arial" w:cs="Arial"/>
          <w:color w:val="000000"/>
          <w:kern w:val="0"/>
          <w:szCs w:val="24"/>
          <w:lang w:val="en-GB"/>
        </w:rPr>
        <w:footnoteReference w:id="159"/>
      </w:r>
    </w:p>
    <w:p w:rsidR="00DE5BD5" w:rsidRPr="0028108F" w:rsidRDefault="00DE5BD5" w:rsidP="00DE5BD5">
      <w:pPr>
        <w:adjustRightInd w:val="0"/>
        <w:snapToGrid w:val="0"/>
        <w:rPr>
          <w:rFonts w:ascii="Arial" w:hAnsi="Arial" w:cs="Arial"/>
          <w:szCs w:val="24"/>
          <w:lang w:val="en-GB"/>
        </w:rPr>
      </w:pPr>
    </w:p>
    <w:p w:rsidR="00DE5BD5" w:rsidRPr="0028108F" w:rsidRDefault="00DE5BD5" w:rsidP="00DE5BD5">
      <w:pPr>
        <w:adjustRightInd w:val="0"/>
        <w:snapToGrid w:val="0"/>
        <w:jc w:val="both"/>
        <w:rPr>
          <w:rFonts w:ascii="Arial" w:hAnsi="Arial" w:cs="Arial"/>
          <w:b/>
          <w:i/>
          <w:szCs w:val="24"/>
          <w:lang w:val="en-GB"/>
        </w:rPr>
      </w:pPr>
      <w:r w:rsidRPr="0028108F">
        <w:rPr>
          <w:rFonts w:ascii="Arial" w:hAnsi="Arial" w:cs="Arial"/>
          <w:b/>
          <w:i/>
          <w:szCs w:val="24"/>
          <w:lang w:val="en-GB"/>
        </w:rPr>
        <w:t>Features of the UK gender recognition scheme under the GRA</w:t>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tabs>
          <w:tab w:val="left" w:pos="851"/>
        </w:tabs>
        <w:adjustRightInd w:val="0"/>
        <w:snapToGrid w:val="0"/>
        <w:jc w:val="both"/>
        <w:rPr>
          <w:rFonts w:ascii="Arial" w:hAnsi="Arial" w:cs="Arial"/>
          <w:i/>
          <w:szCs w:val="24"/>
          <w:lang w:val="en-GB"/>
        </w:rPr>
      </w:pPr>
      <w:r w:rsidRPr="0028108F">
        <w:rPr>
          <w:rFonts w:ascii="Arial" w:hAnsi="Arial" w:cs="Arial"/>
          <w:i/>
          <w:szCs w:val="24"/>
          <w:lang w:val="en-GB"/>
        </w:rPr>
        <w:t xml:space="preserve">Type of gender recognition scheme </w:t>
      </w:r>
    </w:p>
    <w:p w:rsidR="00DE5BD5" w:rsidRPr="0028108F" w:rsidRDefault="00DE5BD5" w:rsidP="00DE5BD5">
      <w:pPr>
        <w:tabs>
          <w:tab w:val="left" w:pos="709"/>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With the enactment of the GRA, a </w:t>
      </w:r>
      <w:r w:rsidRPr="0028108F">
        <w:rPr>
          <w:rFonts w:ascii="Arial" w:hAnsi="Arial" w:cs="Arial"/>
          <w:i/>
          <w:color w:val="000000"/>
          <w:kern w:val="0"/>
          <w:szCs w:val="24"/>
          <w:lang w:val="en-GB"/>
        </w:rPr>
        <w:t>legislative</w:t>
      </w:r>
      <w:r w:rsidRPr="0028108F">
        <w:rPr>
          <w:rFonts w:ascii="Arial" w:hAnsi="Arial" w:cs="Arial"/>
          <w:color w:val="000000"/>
          <w:kern w:val="0"/>
          <w:szCs w:val="24"/>
          <w:lang w:val="en-GB"/>
        </w:rPr>
        <w:t xml:space="preserve"> scheme was put in place in the UK for the legal recognition of transsexual people.</w:t>
      </w:r>
    </w:p>
    <w:p w:rsidR="00DE5BD5" w:rsidRPr="0028108F" w:rsidRDefault="00DE5BD5" w:rsidP="00DE5BD5">
      <w:pPr>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Authority to determine the applications</w:t>
      </w:r>
    </w:p>
    <w:p w:rsidR="00DE5BD5" w:rsidRPr="0028108F" w:rsidRDefault="00DE5BD5" w:rsidP="00DE5BD5">
      <w:pPr>
        <w:tabs>
          <w:tab w:val="left" w:pos="709"/>
        </w:tabs>
        <w:adjustRightInd w:val="0"/>
        <w:snapToGrid w:val="0"/>
        <w:jc w:val="both"/>
        <w:rPr>
          <w:rFonts w:ascii="Arial" w:hAnsi="Arial" w:cs="Arial"/>
          <w:i/>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Applications for gender recognition are determined by</w:t>
      </w:r>
      <w:r w:rsidR="00FD426B" w:rsidRPr="0028108F">
        <w:rPr>
          <w:rFonts w:ascii="Arial" w:hAnsi="Arial" w:cs="Arial"/>
          <w:color w:val="000000"/>
          <w:kern w:val="0"/>
          <w:szCs w:val="24"/>
          <w:lang w:val="en-GB"/>
        </w:rPr>
        <w:t xml:space="preserve"> the GRPs</w:t>
      </w:r>
      <w:r w:rsidRPr="0028108F">
        <w:rPr>
          <w:rFonts w:ascii="Arial" w:hAnsi="Arial" w:cs="Arial"/>
          <w:color w:val="000000"/>
          <w:kern w:val="0"/>
          <w:szCs w:val="24"/>
          <w:lang w:val="en-GB"/>
        </w:rPr>
        <w:t xml:space="preserve">, which are </w:t>
      </w:r>
      <w:r w:rsidRPr="0028108F">
        <w:rPr>
          <w:rFonts w:ascii="Arial" w:hAnsi="Arial" w:cs="Arial"/>
          <w:i/>
          <w:color w:val="000000"/>
          <w:kern w:val="0"/>
          <w:szCs w:val="24"/>
          <w:lang w:val="en-GB"/>
        </w:rPr>
        <w:t>judicial</w:t>
      </w:r>
      <w:r w:rsidRPr="0028108F">
        <w:rPr>
          <w:rFonts w:ascii="Arial" w:hAnsi="Arial" w:cs="Arial"/>
          <w:color w:val="000000"/>
          <w:kern w:val="0"/>
          <w:szCs w:val="24"/>
          <w:lang w:val="en-GB"/>
        </w:rPr>
        <w:t xml:space="preserve"> bodies under HM Courts and Tribunals Service (section 1(3) and Schedule 1).  The features of the GRPs, and the steps in the application process, are discussed in detail in the latter part of this </w:t>
      </w:r>
      <w:r w:rsidR="001D119D">
        <w:rPr>
          <w:rFonts w:ascii="Arial" w:hAnsi="Arial" w:cs="Arial"/>
          <w:color w:val="000000"/>
          <w:kern w:val="0"/>
          <w:szCs w:val="24"/>
          <w:lang w:val="en-GB"/>
        </w:rPr>
        <w:t>c</w:t>
      </w:r>
      <w:r w:rsidRPr="0028108F">
        <w:rPr>
          <w:rFonts w:ascii="Arial" w:hAnsi="Arial" w:cs="Arial"/>
          <w:color w:val="000000"/>
          <w:kern w:val="0"/>
          <w:szCs w:val="24"/>
          <w:lang w:val="en-GB"/>
        </w:rPr>
        <w:t>hapter.</w:t>
      </w:r>
    </w:p>
    <w:p w:rsidR="00DE5BD5" w:rsidRPr="0028108F" w:rsidRDefault="00DE5BD5" w:rsidP="00DE5BD5">
      <w:pPr>
        <w:tabs>
          <w:tab w:val="left" w:pos="709"/>
        </w:tabs>
        <w:adjustRightInd w:val="0"/>
        <w:snapToGrid w:val="0"/>
        <w:jc w:val="both"/>
        <w:rPr>
          <w:rFonts w:ascii="Arial" w:hAnsi="Arial" w:cs="Arial"/>
          <w:i/>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Minimum age requirement</w:t>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An applicant for a Gender Recognition Certificate should be at least 18 years old (section 1(1)).</w:t>
      </w:r>
      <w:r w:rsidRPr="0028108F">
        <w:rPr>
          <w:rStyle w:val="FootnoteReference"/>
          <w:rFonts w:ascii="Arial" w:hAnsi="Arial" w:cs="Arial"/>
          <w:color w:val="000000"/>
          <w:kern w:val="0"/>
          <w:szCs w:val="24"/>
          <w:lang w:val="en-GB"/>
        </w:rPr>
        <w:footnoteReference w:id="160"/>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No residency requirement</w:t>
      </w:r>
    </w:p>
    <w:p w:rsidR="00DE5BD5" w:rsidRPr="0028108F" w:rsidRDefault="00DE5BD5" w:rsidP="00DE5BD5">
      <w:pPr>
        <w:pStyle w:val="ListParagraph"/>
        <w:adjustRightInd w:val="0"/>
        <w:snapToGrid w:val="0"/>
        <w:ind w:leftChars="0" w:left="565" w:hanging="565"/>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No</w:t>
      </w:r>
      <w:r w:rsidRPr="0028108F">
        <w:rPr>
          <w:rFonts w:ascii="Arial" w:hAnsi="Arial" w:cs="Arial"/>
          <w:szCs w:val="24"/>
          <w:lang w:val="en-GB"/>
        </w:rPr>
        <w:t xml:space="preserve"> residency or citizenship requirements are stipulated under the GRA.</w:t>
      </w:r>
      <w:r w:rsidRPr="0028108F">
        <w:rPr>
          <w:rStyle w:val="FootnoteReference"/>
          <w:rFonts w:ascii="Arial" w:hAnsi="Arial" w:cs="Arial"/>
          <w:szCs w:val="24"/>
          <w:lang w:val="en-GB"/>
        </w:rPr>
        <w:footnoteReference w:id="161"/>
      </w:r>
      <w:r w:rsidRPr="0028108F">
        <w:rPr>
          <w:rFonts w:ascii="Arial" w:hAnsi="Arial" w:cs="Arial"/>
          <w:szCs w:val="24"/>
          <w:lang w:val="en-GB"/>
        </w:rPr>
        <w:t xml:space="preserve">  (Information on recognition of an overseas gender change is set out below.) </w:t>
      </w:r>
    </w:p>
    <w:p w:rsidR="00DE5BD5" w:rsidRPr="0028108F" w:rsidRDefault="00DE5BD5" w:rsidP="00DE5BD5">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lastRenderedPageBreak/>
        <w:t xml:space="preserve">Requirements relating to marital status </w:t>
      </w:r>
    </w:p>
    <w:p w:rsidR="00DE5BD5" w:rsidRPr="0028108F" w:rsidRDefault="00DE5BD5" w:rsidP="00DE5BD5">
      <w:pPr>
        <w:pStyle w:val="ListParagraph"/>
        <w:adjustRightInd w:val="0"/>
        <w:snapToGrid w:val="0"/>
        <w:ind w:leftChars="0" w:left="565" w:hanging="565"/>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szCs w:val="24"/>
          <w:lang w:val="en-GB"/>
        </w:rPr>
        <w:t xml:space="preserve">There is no imperative for an applicant to be unmarried before making an application under the GRA.  However, the applicant has to produce </w:t>
      </w:r>
      <w:r w:rsidRPr="0028108F">
        <w:rPr>
          <w:rFonts w:ascii="Arial" w:hAnsi="Arial" w:cs="Arial"/>
          <w:color w:val="000000"/>
          <w:kern w:val="0"/>
          <w:szCs w:val="24"/>
          <w:lang w:val="en-GB"/>
        </w:rPr>
        <w:t>a statutory declaration as to his or her marital status (section 3(6)).  The reason behind this is that the applicant may be granted a full GRC only if he or she is unmarried, is not in a civil partnership, or is in a protected marriage or civil partnership and, in case the applicant is in a protected marriage, the applicant and the applicant’s spouse both consent to the marriage continuing after the GRC is issued, or the applicant is a party to a protected civil partnership and the panel has decided to issue full GRCs to both the applicant and the applicant’s civil partner.</w:t>
      </w:r>
      <w:r w:rsidRPr="0028108F">
        <w:rPr>
          <w:rStyle w:val="FootnoteReference"/>
          <w:rFonts w:ascii="Arial" w:hAnsi="Arial" w:cs="Arial"/>
          <w:color w:val="000000"/>
          <w:kern w:val="0"/>
          <w:szCs w:val="24"/>
          <w:lang w:val="en-GB"/>
        </w:rPr>
        <w:footnoteReference w:id="162"/>
      </w:r>
      <w:r w:rsidRPr="0028108F">
        <w:rPr>
          <w:rFonts w:ascii="Arial" w:hAnsi="Arial" w:cs="Arial"/>
          <w:color w:val="000000"/>
          <w:kern w:val="0"/>
          <w:szCs w:val="24"/>
          <w:lang w:val="en-GB"/>
        </w:rPr>
        <w:t xml:space="preserve">  In other cases, only an interim GRC will be granted (although if the marriage is annulled within six months, a full GRC will be issued by the court).</w:t>
      </w:r>
      <w:r w:rsidRPr="0028108F">
        <w:rPr>
          <w:rStyle w:val="FootnoteReference"/>
          <w:rFonts w:ascii="Arial" w:hAnsi="Arial" w:cs="Arial"/>
          <w:color w:val="000000"/>
          <w:kern w:val="0"/>
          <w:szCs w:val="24"/>
          <w:lang w:val="en-GB"/>
        </w:rPr>
        <w:footnoteReference w:id="163"/>
      </w:r>
      <w:r w:rsidRPr="0028108F">
        <w:rPr>
          <w:rStyle w:val="FootnoteReference"/>
          <w:rFonts w:ascii="Arial" w:hAnsi="Arial" w:cs="Arial"/>
          <w:color w:val="000000"/>
          <w:kern w:val="0"/>
          <w:szCs w:val="24"/>
          <w:lang w:val="en-GB"/>
        </w:rPr>
        <w:t xml:space="preserve"> </w:t>
      </w:r>
      <w:r w:rsidRPr="0028108F">
        <w:rPr>
          <w:rFonts w:ascii="Arial" w:hAnsi="Arial" w:cs="Arial"/>
          <w:color w:val="000000"/>
          <w:kern w:val="0"/>
          <w:szCs w:val="24"/>
          <w:lang w:val="en-GB"/>
        </w:rPr>
        <w:t xml:space="preserve"> The grant of either a full or interim GRC by a GRP (section 4(1)) is subject to a right of appeal (section 8).</w:t>
      </w:r>
      <w:r w:rsidRPr="0028108F">
        <w:rPr>
          <w:rStyle w:val="FootnoteReference"/>
          <w:rFonts w:ascii="Arial" w:hAnsi="Arial" w:cs="Arial"/>
          <w:color w:val="000000"/>
          <w:kern w:val="0"/>
          <w:szCs w:val="24"/>
          <w:lang w:val="en-GB"/>
        </w:rPr>
        <w:footnoteReference w:id="164"/>
      </w:r>
    </w:p>
    <w:p w:rsidR="00DE5BD5" w:rsidRPr="0028108F" w:rsidRDefault="00DE5BD5" w:rsidP="00DE5BD5">
      <w:pPr>
        <w:widowControl/>
        <w:tabs>
          <w:tab w:val="left" w:pos="1134"/>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For a married applicant (who or whose spouse does not agree to stay married), the interim GRC will be a ground for his or her marriage being voidable in England, Wales and Northern Ireland</w:t>
      </w:r>
      <w:r w:rsidRPr="0028108F">
        <w:rPr>
          <w:rStyle w:val="FootnoteReference"/>
          <w:rFonts w:ascii="Arial" w:hAnsi="Arial" w:cs="Arial"/>
          <w:color w:val="000000"/>
          <w:kern w:val="0"/>
          <w:szCs w:val="24"/>
          <w:lang w:val="en-GB"/>
        </w:rPr>
        <w:footnoteReference w:id="165"/>
      </w:r>
      <w:r w:rsidRPr="0028108F">
        <w:rPr>
          <w:rFonts w:ascii="Arial" w:hAnsi="Arial" w:cs="Arial"/>
          <w:color w:val="000000"/>
          <w:kern w:val="0"/>
          <w:szCs w:val="24"/>
          <w:lang w:val="en-GB"/>
        </w:rPr>
        <w:t xml:space="preserve"> and a ground for divorce in Scotland (section 4(4) and Schedule 2).  A decree of nullity will be granted on this ground only if proceedings were instituted within six months from the </w:t>
      </w:r>
      <w:r w:rsidRPr="0028108F">
        <w:rPr>
          <w:rFonts w:ascii="Arial" w:hAnsi="Arial" w:cs="Arial"/>
          <w:color w:val="000000"/>
          <w:kern w:val="0"/>
          <w:szCs w:val="24"/>
          <w:lang w:val="en-GB"/>
        </w:rPr>
        <w:lastRenderedPageBreak/>
        <w:t>date of issue of the interim GRC (section 4(4) and Schedule 2, paragraph 3).  Once a decree of nullity is made absolute by the court, it (not the GRP) will issue a full GRC to the applicant (section 5).</w:t>
      </w:r>
    </w:p>
    <w:p w:rsidR="00DE5BD5" w:rsidRPr="0028108F" w:rsidRDefault="00DE5BD5" w:rsidP="00DE5BD5">
      <w:pPr>
        <w:pStyle w:val="ListParagraph"/>
        <w:adjustRightInd w:val="0"/>
        <w:snapToGrid w:val="0"/>
        <w:ind w:leftChars="0" w:left="565" w:hanging="565"/>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No requirements relating to parental status</w:t>
      </w:r>
    </w:p>
    <w:p w:rsidR="00DE5BD5" w:rsidRPr="0028108F" w:rsidRDefault="00DE5BD5" w:rsidP="00DE5BD5">
      <w:pPr>
        <w:tabs>
          <w:tab w:val="left" w:pos="709"/>
        </w:tabs>
        <w:adjustRightInd w:val="0"/>
        <w:snapToGrid w:val="0"/>
        <w:ind w:leftChars="-1" w:left="605" w:hangingChars="253" w:hanging="607"/>
        <w:jc w:val="both"/>
        <w:rPr>
          <w:rFonts w:ascii="Arial" w:hAnsi="Arial" w:cs="Arial"/>
          <w:i/>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b/>
          <w:color w:val="000000"/>
          <w:kern w:val="0"/>
          <w:szCs w:val="24"/>
          <w:lang w:val="en-GB"/>
        </w:rPr>
      </w:pPr>
      <w:r w:rsidRPr="0028108F">
        <w:rPr>
          <w:rFonts w:ascii="Arial" w:hAnsi="Arial" w:cs="Arial"/>
          <w:color w:val="000000"/>
          <w:kern w:val="0"/>
          <w:szCs w:val="24"/>
          <w:lang w:val="en-GB"/>
        </w:rPr>
        <w:t>Parental status is not relevant for gender recognition purposes under the GRA, and the status of a successful applicant as the father or mother of a child will not be affected by the acquired gender (section 12).</w:t>
      </w:r>
      <w:r w:rsidRPr="0028108F">
        <w:rPr>
          <w:rStyle w:val="FootnoteReference"/>
          <w:rFonts w:ascii="Arial" w:hAnsi="Arial" w:cs="Arial"/>
          <w:color w:val="000000"/>
          <w:kern w:val="0"/>
          <w:szCs w:val="24"/>
          <w:lang w:val="en-GB"/>
        </w:rPr>
        <w:footnoteReference w:id="166"/>
      </w:r>
    </w:p>
    <w:p w:rsidR="00DE5BD5" w:rsidRPr="0028108F" w:rsidRDefault="00DE5BD5" w:rsidP="00DE5BD5">
      <w:pPr>
        <w:tabs>
          <w:tab w:val="left" w:pos="709"/>
        </w:tabs>
        <w:adjustRightInd w:val="0"/>
        <w:snapToGrid w:val="0"/>
        <w:ind w:leftChars="-1" w:left="605" w:hangingChars="253" w:hanging="607"/>
        <w:jc w:val="both"/>
        <w:rPr>
          <w:rFonts w:ascii="Arial" w:hAnsi="Arial" w:cs="Arial"/>
          <w:i/>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 xml:space="preserve">Requirement of gender dysphoria/ </w:t>
      </w:r>
      <w:r w:rsidR="00334997" w:rsidRPr="0028108F">
        <w:rPr>
          <w:rFonts w:ascii="Arial" w:hAnsi="Arial" w:cs="Arial"/>
          <w:i/>
          <w:szCs w:val="24"/>
          <w:lang w:val="en-GB"/>
        </w:rPr>
        <w:t>gender identity disorder</w:t>
      </w:r>
      <w:r w:rsidRPr="0028108F">
        <w:rPr>
          <w:rFonts w:ascii="Arial" w:hAnsi="Arial" w:cs="Arial"/>
          <w:i/>
          <w:szCs w:val="24"/>
          <w:lang w:val="en-GB"/>
        </w:rPr>
        <w:t xml:space="preserve"> diagnosis</w:t>
      </w:r>
    </w:p>
    <w:p w:rsidR="00DE5BD5" w:rsidRPr="0028108F" w:rsidRDefault="00DE5BD5" w:rsidP="00DE5BD5">
      <w:pPr>
        <w:tabs>
          <w:tab w:val="left" w:pos="709"/>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 standard application</w:t>
      </w:r>
      <w:r w:rsidRPr="0028108F">
        <w:rPr>
          <w:rStyle w:val="FootnoteReference"/>
          <w:rFonts w:ascii="Arial" w:hAnsi="Arial" w:cs="Arial"/>
          <w:szCs w:val="24"/>
          <w:lang w:val="en-GB"/>
        </w:rPr>
        <w:footnoteReference w:id="167"/>
      </w:r>
      <w:r w:rsidRPr="0028108F">
        <w:rPr>
          <w:rFonts w:ascii="Arial" w:hAnsi="Arial" w:cs="Arial"/>
          <w:szCs w:val="24"/>
          <w:lang w:val="en-GB"/>
        </w:rPr>
        <w:t xml:space="preserve"> has to satisfy the GRP that the applicant has or has had gender dysphoria (s</w:t>
      </w:r>
      <w:r w:rsidRPr="0028108F">
        <w:rPr>
          <w:rFonts w:ascii="Arial" w:hAnsi="Arial" w:cs="Arial"/>
          <w:color w:val="000000"/>
          <w:kern w:val="0"/>
          <w:szCs w:val="24"/>
          <w:lang w:val="en-GB"/>
        </w:rPr>
        <w:t>ection</w:t>
      </w:r>
      <w:r w:rsidRPr="0028108F">
        <w:rPr>
          <w:rFonts w:ascii="Arial" w:hAnsi="Arial" w:cs="Arial"/>
          <w:szCs w:val="24"/>
          <w:lang w:val="en-GB"/>
        </w:rPr>
        <w:t xml:space="preserve"> 2(1)(a)).  </w:t>
      </w:r>
      <w:r w:rsidRPr="0028108F">
        <w:rPr>
          <w:rFonts w:ascii="Arial" w:hAnsi="Arial" w:cs="Arial"/>
          <w:i/>
          <w:szCs w:val="24"/>
          <w:lang w:val="en-GB"/>
        </w:rPr>
        <w:t>“Gender dysphoria”</w:t>
      </w:r>
      <w:r w:rsidRPr="0028108F">
        <w:rPr>
          <w:rFonts w:ascii="Arial" w:hAnsi="Arial" w:cs="Arial"/>
          <w:szCs w:val="24"/>
          <w:lang w:val="en-GB"/>
        </w:rPr>
        <w:t xml:space="preserve"> is defined as </w:t>
      </w:r>
      <w:r w:rsidRPr="0028108F">
        <w:rPr>
          <w:rFonts w:ascii="Arial" w:hAnsi="Arial" w:cs="Arial"/>
          <w:i/>
          <w:szCs w:val="24"/>
          <w:lang w:val="en-GB"/>
        </w:rPr>
        <w:t>“the disorder variously referred to as gender dysphoria, gender identity disorder and transsexualism”</w:t>
      </w:r>
      <w:r w:rsidRPr="0028108F">
        <w:rPr>
          <w:rFonts w:ascii="Arial" w:hAnsi="Arial" w:cs="Arial"/>
          <w:szCs w:val="24"/>
          <w:lang w:val="en-GB"/>
        </w:rPr>
        <w:t xml:space="preserve"> (s</w:t>
      </w:r>
      <w:r w:rsidRPr="0028108F">
        <w:rPr>
          <w:rFonts w:ascii="Arial" w:hAnsi="Arial" w:cs="Arial"/>
          <w:color w:val="000000"/>
          <w:kern w:val="0"/>
          <w:szCs w:val="24"/>
          <w:lang w:val="en-GB"/>
        </w:rPr>
        <w:t>ection</w:t>
      </w:r>
      <w:r w:rsidRPr="0028108F">
        <w:rPr>
          <w:rFonts w:ascii="Arial" w:hAnsi="Arial" w:cs="Arial"/>
          <w:szCs w:val="24"/>
          <w:lang w:val="en-GB"/>
        </w:rPr>
        <w:t xml:space="preserve"> 25).</w:t>
      </w:r>
      <w:r w:rsidRPr="0028108F">
        <w:rPr>
          <w:rStyle w:val="FootnoteReference"/>
          <w:rFonts w:ascii="Arial" w:hAnsi="Arial" w:cs="Arial"/>
          <w:szCs w:val="24"/>
          <w:lang w:val="en-GB"/>
        </w:rPr>
        <w:footnoteReference w:id="168"/>
      </w:r>
    </w:p>
    <w:p w:rsidR="00DE5BD5" w:rsidRPr="0028108F" w:rsidRDefault="00DE5BD5" w:rsidP="00DE5BD5">
      <w:pPr>
        <w:tabs>
          <w:tab w:val="left" w:pos="709"/>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It should be noted that two reports are required under section 3, including one by a registered medical practitioner or a registered psychologist practising in the field of gender dysphoria, together with another report made by another medical practitioner who need not necessarily be such a specialist.</w:t>
      </w:r>
      <w:r w:rsidRPr="0028108F">
        <w:rPr>
          <w:rStyle w:val="FootnoteReference"/>
          <w:rFonts w:ascii="Arial" w:hAnsi="Arial" w:cs="Arial"/>
          <w:szCs w:val="24"/>
          <w:lang w:val="en-GB"/>
        </w:rPr>
        <w:footnoteReference w:id="169"/>
      </w:r>
      <w:r w:rsidRPr="0028108F">
        <w:rPr>
          <w:rFonts w:ascii="Arial" w:hAnsi="Arial" w:cs="Arial"/>
          <w:szCs w:val="24"/>
          <w:lang w:val="en-GB"/>
        </w:rPr>
        <w:t>)  The diagnosis of the applicant’s gender dysphoria must be included in detail in a report made by a registered medical practitioner or a registered psychologist practising in the field of gender dysphoria (s</w:t>
      </w:r>
      <w:r w:rsidRPr="0028108F">
        <w:rPr>
          <w:rFonts w:ascii="Arial" w:hAnsi="Arial" w:cs="Arial"/>
          <w:color w:val="000000"/>
          <w:kern w:val="0"/>
          <w:szCs w:val="24"/>
          <w:lang w:val="en-GB"/>
        </w:rPr>
        <w:t>ection</w:t>
      </w:r>
      <w:r w:rsidRPr="0028108F">
        <w:rPr>
          <w:rFonts w:ascii="Arial" w:hAnsi="Arial" w:cs="Arial"/>
          <w:szCs w:val="24"/>
          <w:lang w:val="en-GB"/>
        </w:rPr>
        <w:t xml:space="preserve"> 3(2)).  </w:t>
      </w:r>
    </w:p>
    <w:p w:rsidR="00DE5BD5" w:rsidRPr="0028108F" w:rsidRDefault="00DE5BD5" w:rsidP="00DE5BD5">
      <w:pPr>
        <w:tabs>
          <w:tab w:val="left" w:pos="709"/>
        </w:tabs>
        <w:adjustRightInd w:val="0"/>
        <w:snapToGrid w:val="0"/>
        <w:ind w:left="709"/>
        <w:jc w:val="both"/>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Requirement of “</w:t>
      </w:r>
      <w:r w:rsidR="00043FD0" w:rsidRPr="0028108F">
        <w:rPr>
          <w:rFonts w:ascii="Arial" w:hAnsi="Arial" w:cs="Arial"/>
          <w:i/>
          <w:szCs w:val="24"/>
          <w:lang w:val="en-GB"/>
        </w:rPr>
        <w:t>real life test</w:t>
      </w:r>
      <w:r w:rsidRPr="0028108F">
        <w:rPr>
          <w:rFonts w:ascii="Arial" w:hAnsi="Arial" w:cs="Arial"/>
          <w:i/>
          <w:szCs w:val="24"/>
          <w:lang w:val="en-GB"/>
        </w:rPr>
        <w:t>”</w:t>
      </w:r>
    </w:p>
    <w:p w:rsidR="00DE5BD5" w:rsidRPr="0028108F" w:rsidRDefault="00DE5BD5" w:rsidP="00DE5BD5">
      <w:pPr>
        <w:tabs>
          <w:tab w:val="left" w:pos="709"/>
        </w:tabs>
        <w:adjustRightInd w:val="0"/>
        <w:snapToGrid w:val="0"/>
        <w:ind w:left="709"/>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szCs w:val="24"/>
          <w:lang w:val="en-GB"/>
        </w:rPr>
        <w:t>A standard application has to satisfy the GRP that the applicant has</w:t>
      </w:r>
      <w:r w:rsidRPr="0028108F">
        <w:rPr>
          <w:rFonts w:ascii="Arial" w:hAnsi="Arial" w:cs="Arial"/>
          <w:color w:val="000000"/>
          <w:kern w:val="0"/>
          <w:szCs w:val="24"/>
          <w:lang w:val="en-GB"/>
        </w:rPr>
        <w:t xml:space="preserve"> lived in the acquired gender throughout the period of two years ending with </w:t>
      </w:r>
      <w:r w:rsidRPr="0028108F">
        <w:rPr>
          <w:rFonts w:ascii="Arial" w:hAnsi="Arial" w:cs="Arial"/>
          <w:color w:val="000000"/>
          <w:kern w:val="0"/>
          <w:szCs w:val="24"/>
          <w:lang w:val="en-GB"/>
        </w:rPr>
        <w:lastRenderedPageBreak/>
        <w:t>the date on which the application is made (section 2(1)(b)).  Further, the applicant must make a statutory declaration in this respect (section 3(4)).</w:t>
      </w:r>
    </w:p>
    <w:p w:rsidR="00DE5BD5" w:rsidRPr="0028108F" w:rsidRDefault="00DE5BD5" w:rsidP="00DE5BD5">
      <w:pPr>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The gender in which the transsexual person is living (or, as the case may be, to which the person has changed under the law of another country or territory) is referred to in the GRA as </w:t>
      </w:r>
      <w:r w:rsidRPr="0028108F">
        <w:rPr>
          <w:rFonts w:ascii="Arial" w:hAnsi="Arial" w:cs="Arial"/>
          <w:i/>
          <w:color w:val="000000"/>
          <w:kern w:val="0"/>
          <w:szCs w:val="24"/>
          <w:lang w:val="en-GB"/>
        </w:rPr>
        <w:t>“the acquired gender”</w:t>
      </w:r>
      <w:r w:rsidRPr="0028108F">
        <w:rPr>
          <w:rFonts w:ascii="Arial" w:hAnsi="Arial" w:cs="Arial"/>
          <w:color w:val="000000"/>
          <w:kern w:val="0"/>
          <w:szCs w:val="24"/>
          <w:lang w:val="en-GB"/>
        </w:rPr>
        <w:t xml:space="preserve"> (section 1(2)), although the term </w:t>
      </w:r>
      <w:r w:rsidRPr="0028108F">
        <w:rPr>
          <w:rFonts w:ascii="Arial" w:hAnsi="Arial" w:cs="Arial"/>
          <w:i/>
          <w:color w:val="000000"/>
          <w:kern w:val="0"/>
          <w:szCs w:val="24"/>
          <w:lang w:val="en-GB"/>
        </w:rPr>
        <w:t>“gender”</w:t>
      </w:r>
      <w:r w:rsidRPr="0028108F">
        <w:rPr>
          <w:rFonts w:ascii="Arial" w:hAnsi="Arial" w:cs="Arial"/>
          <w:color w:val="000000"/>
          <w:kern w:val="0"/>
          <w:szCs w:val="24"/>
          <w:lang w:val="en-GB"/>
        </w:rPr>
        <w:t xml:space="preserve"> itself is not defined in the Act.</w:t>
      </w:r>
    </w:p>
    <w:p w:rsidR="00DE5BD5" w:rsidRPr="0028108F" w:rsidRDefault="00DE5BD5" w:rsidP="00DE5BD5">
      <w:pPr>
        <w:widowControl/>
        <w:tabs>
          <w:tab w:val="left" w:pos="1134"/>
        </w:tabs>
        <w:adjustRightInd w:val="0"/>
        <w:snapToGrid w:val="0"/>
        <w:jc w:val="both"/>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Requirement of intention to live permanently in acquired gender</w:t>
      </w:r>
    </w:p>
    <w:p w:rsidR="00DE5BD5" w:rsidRPr="0028108F" w:rsidRDefault="00DE5BD5" w:rsidP="00DE5BD5">
      <w:pPr>
        <w:pStyle w:val="ListParagraph"/>
        <w:tabs>
          <w:tab w:val="left" w:pos="709"/>
        </w:tabs>
        <w:adjustRightInd w:val="0"/>
        <w:snapToGrid w:val="0"/>
        <w:ind w:leftChars="0" w:left="564" w:hanging="564"/>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b/>
          <w:szCs w:val="24"/>
          <w:lang w:val="en-GB"/>
        </w:rPr>
      </w:pPr>
      <w:r w:rsidRPr="0028108F">
        <w:rPr>
          <w:rFonts w:ascii="Arial" w:hAnsi="Arial" w:cs="Arial"/>
          <w:szCs w:val="24"/>
          <w:lang w:val="en-GB"/>
        </w:rPr>
        <w:t xml:space="preserve">A standard application has to satisfy the GRP that the applicant </w:t>
      </w:r>
      <w:r w:rsidRPr="0028108F">
        <w:rPr>
          <w:rFonts w:ascii="Arial" w:hAnsi="Arial" w:cs="Arial"/>
          <w:color w:val="000000"/>
          <w:kern w:val="0"/>
          <w:szCs w:val="24"/>
          <w:lang w:val="en-GB"/>
        </w:rPr>
        <w:t>intends to continue to live in the acquired gender until death (section 2(1)(c)).  The applicant must make a statutory declaration to this effect (section 3(4)).</w:t>
      </w:r>
    </w:p>
    <w:p w:rsidR="00DE5BD5" w:rsidRPr="0028108F" w:rsidRDefault="00DE5BD5" w:rsidP="00DE5BD5">
      <w:pPr>
        <w:pStyle w:val="ListParagraph"/>
        <w:tabs>
          <w:tab w:val="left" w:pos="709"/>
        </w:tabs>
        <w:adjustRightInd w:val="0"/>
        <w:snapToGrid w:val="0"/>
        <w:ind w:leftChars="0" w:left="565" w:hanging="565"/>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 xml:space="preserve">No requirement for gender reassignment surgery leading to sterilisation </w:t>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 GRA covers both pre- and post-operative transsexual adult persons, that is, it encompasses those who have not undertaken any gender reassignment surgery of any kind or those not taking prescribed hormones.  The express provisions of the GRA therefore do not demand the sterilisation of transsexual people.</w:t>
      </w:r>
    </w:p>
    <w:p w:rsidR="00DE5BD5" w:rsidRPr="0028108F" w:rsidRDefault="00DE5BD5" w:rsidP="00DE5BD5">
      <w:pPr>
        <w:tabs>
          <w:tab w:val="left" w:pos="709"/>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There would appear to be, nonetheless, a perception that the UK Government expects that surgery will occur, and this can be inferred from some provisions in the GRA</w:t>
      </w:r>
      <w:r w:rsidRPr="0028108F">
        <w:rPr>
          <w:rStyle w:val="FootnoteReference"/>
          <w:rFonts w:ascii="Arial" w:hAnsi="Arial" w:cs="Arial"/>
          <w:color w:val="000000"/>
          <w:kern w:val="0"/>
          <w:szCs w:val="24"/>
          <w:lang w:val="en-GB"/>
        </w:rPr>
        <w:footnoteReference w:id="170"/>
      </w:r>
      <w:r w:rsidRPr="0028108F">
        <w:rPr>
          <w:rFonts w:ascii="Arial" w:hAnsi="Arial" w:cs="Arial"/>
          <w:color w:val="000000"/>
          <w:kern w:val="0"/>
          <w:szCs w:val="24"/>
          <w:lang w:val="en-GB"/>
        </w:rPr>
        <w:t xml:space="preserve"> and the guidance notes published by the Government in relation to the Act.  For example, the guidelines for registered medical practitioners and registered psychologists provide that an applicant having not had surgery should produce a medical report explaining why no surgery has been undertaken.</w:t>
      </w:r>
      <w:r w:rsidRPr="0028108F">
        <w:rPr>
          <w:rStyle w:val="FootnoteReference"/>
          <w:rFonts w:ascii="Arial" w:hAnsi="Arial" w:cs="Arial"/>
          <w:color w:val="000000"/>
          <w:kern w:val="0"/>
          <w:szCs w:val="24"/>
          <w:lang w:val="en-GB"/>
        </w:rPr>
        <w:footnoteReference w:id="171"/>
      </w:r>
      <w:r w:rsidRPr="0028108F">
        <w:rPr>
          <w:rFonts w:ascii="Arial" w:hAnsi="Arial" w:cs="Arial"/>
          <w:color w:val="000000"/>
          <w:kern w:val="0"/>
          <w:szCs w:val="24"/>
          <w:lang w:val="en-GB"/>
        </w:rPr>
        <w:t xml:space="preserve">  Moreover, the fact that an applicant has not undertaken any surgery may hinder a diagnosis of gender dysphoria, the reason being that the failure to resort to surgery might have a bearing on the perceived seriousness of the applicant’s intent to live permanently in the acquired gender.</w:t>
      </w:r>
      <w:r w:rsidRPr="0028108F">
        <w:rPr>
          <w:rStyle w:val="FootnoteReference"/>
          <w:rFonts w:ascii="Arial" w:hAnsi="Arial" w:cs="Arial"/>
          <w:color w:val="000000"/>
          <w:kern w:val="0"/>
          <w:szCs w:val="24"/>
          <w:lang w:val="en-GB"/>
        </w:rPr>
        <w:footnoteReference w:id="172"/>
      </w:r>
      <w:r w:rsidRPr="0028108F">
        <w:rPr>
          <w:rFonts w:ascii="Arial" w:hAnsi="Arial" w:cs="Arial"/>
          <w:color w:val="000000"/>
          <w:kern w:val="0"/>
          <w:szCs w:val="24"/>
          <w:lang w:val="en-GB"/>
        </w:rPr>
        <w:t xml:space="preserve"> </w:t>
      </w:r>
    </w:p>
    <w:p w:rsidR="00DE5BD5" w:rsidRPr="0028108F" w:rsidRDefault="00DE5BD5" w:rsidP="00DE5BD5">
      <w:pPr>
        <w:tabs>
          <w:tab w:val="left" w:pos="709"/>
        </w:tabs>
        <w:adjustRightInd w:val="0"/>
        <w:snapToGrid w:val="0"/>
        <w:jc w:val="both"/>
        <w:rPr>
          <w:rFonts w:ascii="Arial" w:hAnsi="Arial" w:cs="Arial"/>
          <w:color w:val="000000"/>
          <w:kern w:val="0"/>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No requirement of hormonal treatment</w:t>
      </w:r>
    </w:p>
    <w:p w:rsidR="00DE5BD5" w:rsidRPr="0028108F" w:rsidRDefault="00DE5BD5" w:rsidP="00DE5BD5">
      <w:pPr>
        <w:pStyle w:val="ListParagraph"/>
        <w:tabs>
          <w:tab w:val="left" w:pos="709"/>
        </w:tabs>
        <w:adjustRightInd w:val="0"/>
        <w:snapToGrid w:val="0"/>
        <w:ind w:leftChars="0" w:left="565" w:hanging="565"/>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As stated earlier, hormonal treatment is not a legal prerequisite for gender recognition under the Act.</w:t>
      </w: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lastRenderedPageBreak/>
        <w:t>No requirement of physical adaptation (including non-genital surgery)</w:t>
      </w:r>
    </w:p>
    <w:p w:rsidR="00DE5BD5" w:rsidRPr="0028108F" w:rsidRDefault="00DE5BD5" w:rsidP="00DE5BD5">
      <w:pPr>
        <w:pStyle w:val="ListParagraph"/>
        <w:adjustRightInd w:val="0"/>
        <w:snapToGrid w:val="0"/>
        <w:ind w:leftChars="0" w:left="565" w:hanging="565"/>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 xml:space="preserve">As with hormonal treatment, there is no requirement under the GRA for the applicant to have undergone physical adaptation.  However, in the application for gender recognition, details of </w:t>
      </w:r>
      <w:r w:rsidRPr="0028108F">
        <w:rPr>
          <w:rFonts w:ascii="Arial" w:hAnsi="Arial" w:cs="Arial"/>
          <w:szCs w:val="24"/>
          <w:lang w:val="en-GB"/>
        </w:rPr>
        <w:t>treatment undergone, or that is prescribed or planned must be included in one of the two reports to be submitted (s</w:t>
      </w:r>
      <w:r w:rsidRPr="0028108F">
        <w:rPr>
          <w:rFonts w:ascii="Arial" w:hAnsi="Arial" w:cs="Arial"/>
          <w:color w:val="000000"/>
          <w:kern w:val="0"/>
          <w:szCs w:val="24"/>
          <w:lang w:val="en-GB"/>
        </w:rPr>
        <w:t>ection</w:t>
      </w:r>
      <w:r w:rsidRPr="0028108F">
        <w:rPr>
          <w:rFonts w:ascii="Arial" w:hAnsi="Arial" w:cs="Arial"/>
          <w:szCs w:val="24"/>
          <w:lang w:val="en-GB"/>
        </w:rPr>
        <w:t xml:space="preserve"> 3(3)).</w:t>
      </w:r>
      <w:r w:rsidRPr="0028108F">
        <w:rPr>
          <w:rStyle w:val="FootnoteReference"/>
          <w:rFonts w:ascii="Arial" w:hAnsi="Arial" w:cs="Arial"/>
          <w:color w:val="000000"/>
          <w:kern w:val="0"/>
          <w:szCs w:val="24"/>
          <w:lang w:val="en-GB"/>
        </w:rPr>
        <w:footnoteReference w:id="173"/>
      </w:r>
    </w:p>
    <w:p w:rsidR="00DE5BD5" w:rsidRPr="0028108F" w:rsidRDefault="00DE5BD5" w:rsidP="00DE5BD5">
      <w:pPr>
        <w:pStyle w:val="ListParagraph"/>
        <w:adjustRightInd w:val="0"/>
        <w:snapToGrid w:val="0"/>
        <w:ind w:leftChars="0" w:left="565" w:hanging="565"/>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Further evidence</w:t>
      </w:r>
    </w:p>
    <w:p w:rsidR="00DE5BD5" w:rsidRPr="0028108F" w:rsidRDefault="00DE5BD5" w:rsidP="00DE5BD5">
      <w:pPr>
        <w:pStyle w:val="ListParagraph"/>
        <w:adjustRightInd w:val="0"/>
        <w:snapToGrid w:val="0"/>
        <w:ind w:leftChars="0" w:left="565" w:hanging="565"/>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It is stipulated that the applicant must provide additional evidence as required by the Secretary of State or the GRP (reasons for requiring further information or evidence must be given – section 3(8)), or as the applicant so wishes (section 3(6)).</w:t>
      </w:r>
      <w:r w:rsidRPr="0028108F">
        <w:rPr>
          <w:rStyle w:val="FootnoteReference"/>
          <w:rFonts w:ascii="Arial" w:hAnsi="Arial" w:cs="Arial"/>
          <w:color w:val="000000"/>
          <w:kern w:val="0"/>
          <w:szCs w:val="24"/>
          <w:lang w:val="en-GB"/>
        </w:rPr>
        <w:footnoteReference w:id="174"/>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Official documents, etc, affected</w:t>
      </w:r>
    </w:p>
    <w:p w:rsidR="00DE5BD5" w:rsidRPr="0028108F" w:rsidRDefault="00DE5BD5" w:rsidP="00DE5BD5">
      <w:pPr>
        <w:tabs>
          <w:tab w:val="left" w:pos="709"/>
        </w:tabs>
        <w:adjustRightInd w:val="0"/>
        <w:snapToGrid w:val="0"/>
        <w:ind w:left="-2"/>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Individuals who have been granted recognition in the acquired gender will have new entries created in the UK birth register entry to reflect the acquired gender, and a new birth certificate will be issued recognising the new legal gender, provided that he or she was born in the UK (or has parents who registered the birth when serving with the British Forces Overseas or the Consular Service) (Schedule 3, paragraph 3).</w:t>
      </w:r>
    </w:p>
    <w:p w:rsidR="00DE5BD5" w:rsidRPr="0028108F" w:rsidRDefault="00DE5BD5" w:rsidP="00DE5BD5">
      <w:pPr>
        <w:tabs>
          <w:tab w:val="left" w:pos="709"/>
        </w:tabs>
        <w:adjustRightInd w:val="0"/>
        <w:snapToGrid w:val="0"/>
        <w:ind w:left="-2"/>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For those whose birth was registered in another country, the Government is unable to issue a new certificate but this will not have any impact on their new legal status.  They would normally apply for a UK Residency Card which may take the form of an endorsement in their passport or a separate </w:t>
      </w:r>
      <w:r w:rsidRPr="0028108F">
        <w:rPr>
          <w:rFonts w:ascii="Arial" w:hAnsi="Arial" w:cs="Arial"/>
          <w:i/>
          <w:color w:val="000000"/>
          <w:kern w:val="0"/>
          <w:szCs w:val="24"/>
          <w:lang w:val="en-GB"/>
        </w:rPr>
        <w:t>“immigration status document”</w:t>
      </w:r>
      <w:r w:rsidRPr="0028108F">
        <w:rPr>
          <w:rFonts w:ascii="Arial" w:hAnsi="Arial" w:cs="Arial"/>
          <w:color w:val="000000"/>
          <w:kern w:val="0"/>
          <w:szCs w:val="24"/>
          <w:lang w:val="en-GB"/>
        </w:rPr>
        <w:t xml:space="preserve"> confirming their right to work status.</w:t>
      </w:r>
      <w:r w:rsidRPr="0028108F">
        <w:rPr>
          <w:rStyle w:val="FootnoteReference"/>
          <w:rFonts w:ascii="Arial" w:hAnsi="Arial" w:cs="Arial"/>
          <w:color w:val="000000"/>
          <w:kern w:val="0"/>
          <w:szCs w:val="24"/>
          <w:lang w:val="en-GB"/>
        </w:rPr>
        <w:footnoteReference w:id="175"/>
      </w:r>
    </w:p>
    <w:p w:rsidR="00DE5BD5" w:rsidRPr="0028108F" w:rsidRDefault="00DE5BD5" w:rsidP="00DE5BD5">
      <w:pPr>
        <w:tabs>
          <w:tab w:val="left" w:pos="709"/>
        </w:tabs>
        <w:adjustRightInd w:val="0"/>
        <w:snapToGrid w:val="0"/>
        <w:ind w:left="-2"/>
        <w:jc w:val="both"/>
        <w:rPr>
          <w:rFonts w:ascii="Arial" w:hAnsi="Arial" w:cs="Arial"/>
          <w:i/>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Recognition of foreign gender change</w:t>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There are two types of application for gender recognition under the GRA: a </w:t>
      </w:r>
      <w:r w:rsidRPr="0028108F">
        <w:rPr>
          <w:rFonts w:ascii="Arial" w:hAnsi="Arial" w:cs="Arial"/>
          <w:i/>
          <w:color w:val="000000"/>
          <w:kern w:val="0"/>
          <w:szCs w:val="24"/>
          <w:lang w:val="en-GB"/>
        </w:rPr>
        <w:t>“standard application”</w:t>
      </w:r>
      <w:r w:rsidRPr="0028108F">
        <w:rPr>
          <w:rFonts w:ascii="Arial" w:hAnsi="Arial" w:cs="Arial"/>
          <w:color w:val="000000"/>
          <w:kern w:val="0"/>
          <w:szCs w:val="24"/>
          <w:lang w:val="en-GB"/>
        </w:rPr>
        <w:t xml:space="preserve"> for those living in the other gender (s</w:t>
      </w:r>
      <w:r w:rsidR="00282BCA">
        <w:rPr>
          <w:rFonts w:ascii="Arial" w:hAnsi="Arial" w:cs="Arial" w:hint="eastAsia"/>
          <w:color w:val="000000"/>
          <w:kern w:val="0"/>
          <w:szCs w:val="24"/>
          <w:lang w:val="en-GB"/>
        </w:rPr>
        <w:t>ection</w:t>
      </w:r>
      <w:r w:rsidRPr="0028108F">
        <w:rPr>
          <w:rFonts w:ascii="Arial" w:hAnsi="Arial" w:cs="Arial"/>
          <w:color w:val="000000"/>
          <w:kern w:val="0"/>
          <w:szCs w:val="24"/>
          <w:lang w:val="en-GB"/>
        </w:rPr>
        <w:t xml:space="preserve"> 1(1)(a)); or an </w:t>
      </w:r>
      <w:r w:rsidRPr="0028108F">
        <w:rPr>
          <w:rFonts w:ascii="Arial" w:hAnsi="Arial" w:cs="Arial"/>
          <w:i/>
          <w:color w:val="000000"/>
          <w:kern w:val="0"/>
          <w:szCs w:val="24"/>
          <w:lang w:val="en-GB"/>
        </w:rPr>
        <w:t>“overseas application”</w:t>
      </w:r>
      <w:r w:rsidRPr="0028108F">
        <w:rPr>
          <w:rFonts w:ascii="Arial" w:hAnsi="Arial" w:cs="Arial"/>
          <w:color w:val="000000"/>
          <w:kern w:val="0"/>
          <w:szCs w:val="24"/>
          <w:lang w:val="en-GB"/>
        </w:rPr>
        <w:t xml:space="preserve"> for those who have changed gender under the law of a country or territory outside the UK (s</w:t>
      </w:r>
      <w:r w:rsidR="00803CC9">
        <w:rPr>
          <w:rFonts w:ascii="Arial" w:hAnsi="Arial" w:cs="Arial"/>
          <w:color w:val="000000"/>
          <w:kern w:val="0"/>
          <w:szCs w:val="24"/>
          <w:lang w:val="en-GB"/>
        </w:rPr>
        <w:t>ection</w:t>
      </w:r>
      <w:r w:rsidRPr="0028108F">
        <w:rPr>
          <w:rFonts w:ascii="Arial" w:hAnsi="Arial" w:cs="Arial"/>
          <w:color w:val="000000"/>
          <w:kern w:val="0"/>
          <w:szCs w:val="24"/>
          <w:lang w:val="en-GB"/>
        </w:rPr>
        <w:t xml:space="preserve"> 1(1)(b)).  The overseas application requires applicants to demonstrate that they have been </w:t>
      </w:r>
      <w:r w:rsidRPr="0028108F">
        <w:rPr>
          <w:rFonts w:ascii="Arial" w:hAnsi="Arial" w:cs="Arial"/>
          <w:color w:val="000000"/>
          <w:kern w:val="0"/>
          <w:szCs w:val="24"/>
          <w:lang w:val="en-GB"/>
        </w:rPr>
        <w:lastRenderedPageBreak/>
        <w:t>legally recognised</w:t>
      </w:r>
      <w:r w:rsidRPr="0028108F">
        <w:rPr>
          <w:rFonts w:ascii="Arial" w:hAnsi="Arial" w:cs="Arial"/>
          <w:b/>
          <w:bCs/>
          <w:i/>
          <w:iCs/>
          <w:color w:val="800080"/>
          <w:kern w:val="0"/>
          <w:szCs w:val="24"/>
          <w:lang w:val="en-GB"/>
        </w:rPr>
        <w:t xml:space="preserve"> </w:t>
      </w:r>
      <w:r w:rsidRPr="0028108F">
        <w:rPr>
          <w:rFonts w:ascii="Arial" w:hAnsi="Arial" w:cs="Arial"/>
          <w:color w:val="000000"/>
          <w:kern w:val="0"/>
          <w:szCs w:val="24"/>
          <w:lang w:val="en-GB"/>
        </w:rPr>
        <w:t>in their acquired gender in a country or territory that is listed in the Gender Recognition (Approved Countries and Territories) Order 2011 (sections 1(1)(b) and 2).  To-date, there are 41 countries listed (not counting the territories within a country).</w:t>
      </w:r>
      <w:r w:rsidRPr="0028108F">
        <w:rPr>
          <w:rStyle w:val="FootnoteReference"/>
          <w:rFonts w:ascii="Arial" w:hAnsi="Arial" w:cs="Arial"/>
          <w:color w:val="000000"/>
          <w:kern w:val="0"/>
          <w:szCs w:val="24"/>
          <w:lang w:val="en-GB"/>
        </w:rPr>
        <w:footnoteReference w:id="176"/>
      </w:r>
      <w:r w:rsidRPr="0028108F">
        <w:rPr>
          <w:rFonts w:ascii="Arial" w:hAnsi="Arial" w:cs="Arial"/>
          <w:color w:val="000000"/>
          <w:kern w:val="0"/>
          <w:szCs w:val="24"/>
          <w:lang w:val="en-GB"/>
        </w:rPr>
        <w:t xml:space="preserve"> </w:t>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adjustRightInd w:val="0"/>
        <w:snapToGrid w:val="0"/>
        <w:jc w:val="both"/>
        <w:rPr>
          <w:rFonts w:ascii="Arial" w:hAnsi="Arial" w:cs="Arial"/>
          <w:i/>
          <w:szCs w:val="24"/>
          <w:lang w:val="en-GB"/>
        </w:rPr>
      </w:pPr>
      <w:r w:rsidRPr="0028108F">
        <w:rPr>
          <w:rFonts w:ascii="Arial" w:hAnsi="Arial" w:cs="Arial"/>
          <w:i/>
          <w:szCs w:val="24"/>
          <w:lang w:val="en-GB"/>
        </w:rPr>
        <w:t xml:space="preserve">Scope of recognition </w:t>
      </w:r>
    </w:p>
    <w:p w:rsidR="00DE5BD5" w:rsidRPr="0028108F" w:rsidRDefault="00DE5BD5" w:rsidP="00DE5BD5">
      <w:pPr>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The GRA grants transsexual people legal recognition in their acquired gender for all purposes (including legal purposes), as provided by the issue of a full GRC (section 9(1)), subject to exceptions made by the remainder of the GRA (under sections 11 to 21) and, for the future, by any other enactment or subordinate legislation (section 9(3)).</w:t>
      </w:r>
      <w:r w:rsidRPr="0028108F">
        <w:rPr>
          <w:rStyle w:val="FootnoteReference"/>
          <w:rFonts w:ascii="Arial" w:hAnsi="Arial" w:cs="Arial"/>
          <w:color w:val="000000"/>
          <w:kern w:val="0"/>
          <w:szCs w:val="24"/>
          <w:lang w:val="en-GB"/>
        </w:rPr>
        <w:footnoteReference w:id="177"/>
      </w:r>
    </w:p>
    <w:p w:rsidR="00DE5BD5" w:rsidRPr="0028108F" w:rsidRDefault="00DE5BD5" w:rsidP="00DE5BD5">
      <w:pPr>
        <w:adjustRightInd w:val="0"/>
        <w:snapToGrid w:val="0"/>
        <w:jc w:val="both"/>
        <w:rPr>
          <w:rFonts w:ascii="Arial" w:hAnsi="Arial" w:cs="Arial"/>
          <w:b/>
          <w:szCs w:val="24"/>
          <w:lang w:val="en-GB"/>
        </w:rPr>
      </w:pPr>
    </w:p>
    <w:p w:rsidR="00DE5BD5" w:rsidRPr="0028108F" w:rsidRDefault="00DE5BD5" w:rsidP="00DE5BD5">
      <w:pPr>
        <w:tabs>
          <w:tab w:val="left" w:pos="709"/>
        </w:tabs>
        <w:adjustRightInd w:val="0"/>
        <w:snapToGrid w:val="0"/>
        <w:jc w:val="both"/>
        <w:rPr>
          <w:rFonts w:ascii="Arial" w:hAnsi="Arial" w:cs="Arial"/>
          <w:b/>
          <w:i/>
          <w:szCs w:val="24"/>
          <w:lang w:val="en-GB"/>
        </w:rPr>
      </w:pPr>
      <w:r w:rsidRPr="0028108F">
        <w:rPr>
          <w:rFonts w:ascii="Arial" w:hAnsi="Arial" w:cs="Arial"/>
          <w:b/>
          <w:i/>
          <w:szCs w:val="24"/>
          <w:lang w:val="en-GB"/>
        </w:rPr>
        <w:t>Post-recognition matters</w:t>
      </w:r>
    </w:p>
    <w:p w:rsidR="00DE5BD5" w:rsidRPr="0028108F" w:rsidRDefault="00DE5BD5" w:rsidP="00DE5BD5">
      <w:pPr>
        <w:tabs>
          <w:tab w:val="left" w:pos="709"/>
        </w:tabs>
        <w:adjustRightInd w:val="0"/>
        <w:snapToGrid w:val="0"/>
        <w:jc w:val="both"/>
        <w:rPr>
          <w:rFonts w:ascii="Arial" w:hAnsi="Arial" w:cs="Arial"/>
          <w:b/>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Confidentiality</w:t>
      </w:r>
    </w:p>
    <w:p w:rsidR="00DE5BD5" w:rsidRPr="0028108F" w:rsidRDefault="00DE5BD5" w:rsidP="00DE5BD5">
      <w:pPr>
        <w:pStyle w:val="ListParagraph"/>
        <w:adjustRightInd w:val="0"/>
        <w:snapToGrid w:val="0"/>
        <w:ind w:leftChars="0" w:left="564" w:hanging="564"/>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 recognition under the GRA is not retrospective, so that the GRC does not re-write the gender history of the transsexual person.  Although the recognition does not affect things done, or events occurring before the GRC is issued,</w:t>
      </w:r>
      <w:r w:rsidR="00D41803" w:rsidRPr="0028108F">
        <w:rPr>
          <w:rStyle w:val="FootnoteReference"/>
          <w:rFonts w:ascii="Arial" w:hAnsi="Arial" w:cs="Arial"/>
          <w:color w:val="000000"/>
          <w:kern w:val="0"/>
          <w:szCs w:val="24"/>
          <w:lang w:val="en-GB"/>
        </w:rPr>
        <w:footnoteReference w:id="178"/>
      </w:r>
      <w:r w:rsidRPr="0028108F">
        <w:rPr>
          <w:rFonts w:ascii="Arial" w:hAnsi="Arial" w:cs="Arial"/>
          <w:color w:val="000000"/>
          <w:kern w:val="0"/>
          <w:szCs w:val="24"/>
          <w:lang w:val="en-GB"/>
        </w:rPr>
        <w:t xml:space="preserve"> it does operate for the interpretation of enactments, instruments and documents whether made before or after the GRC is issued (section 9(2)).  However, Schedule 3 of the GRA enjoins the Registrar General to maintain a Gender Recognition Register (</w:t>
      </w:r>
      <w:r w:rsidRPr="008813DE">
        <w:rPr>
          <w:rFonts w:ascii="Arial" w:hAnsi="Arial" w:cs="Arial"/>
          <w:i/>
          <w:color w:val="000000"/>
          <w:kern w:val="0"/>
          <w:szCs w:val="24"/>
          <w:lang w:val="en-GB"/>
        </w:rPr>
        <w:t>“GRR”</w:t>
      </w:r>
      <w:r w:rsidRPr="0028108F">
        <w:rPr>
          <w:rFonts w:ascii="Arial" w:hAnsi="Arial" w:cs="Arial"/>
          <w:color w:val="000000"/>
          <w:kern w:val="0"/>
          <w:szCs w:val="24"/>
          <w:lang w:val="en-GB"/>
        </w:rPr>
        <w:t>) which is not open to public inspection or search.</w:t>
      </w:r>
      <w:r w:rsidRPr="0028108F">
        <w:rPr>
          <w:rStyle w:val="FootnoteReference"/>
          <w:rFonts w:ascii="Arial" w:hAnsi="Arial" w:cs="Arial"/>
          <w:color w:val="000000"/>
          <w:kern w:val="0"/>
          <w:szCs w:val="24"/>
          <w:lang w:val="en-GB"/>
        </w:rPr>
        <w:footnoteReference w:id="179"/>
      </w:r>
      <w:r w:rsidRPr="0028108F">
        <w:rPr>
          <w:rFonts w:ascii="Arial" w:hAnsi="Arial" w:cs="Arial"/>
          <w:color w:val="000000"/>
          <w:kern w:val="0"/>
          <w:szCs w:val="24"/>
          <w:lang w:val="en-GB"/>
        </w:rPr>
        <w:t xml:space="preserve">  </w:t>
      </w:r>
    </w:p>
    <w:p w:rsidR="00DE5BD5" w:rsidRPr="0028108F" w:rsidRDefault="00DE5BD5" w:rsidP="00DE5BD5">
      <w:pPr>
        <w:adjustRightInd w:val="0"/>
        <w:snapToGrid w:val="0"/>
        <w:jc w:val="both"/>
        <w:rPr>
          <w:rFonts w:ascii="Arial" w:hAnsi="Arial" w:cs="Arial"/>
          <w:b/>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The applicant’s confidentiality is further protected under various provisions: </w:t>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color w:val="000000"/>
          <w:kern w:val="0"/>
          <w:szCs w:val="24"/>
          <w:lang w:val="en-GB"/>
        </w:rPr>
        <w:t>paragraph 4 of Schedule 3 stipulates that the annual index to birth records will not disclose the fact that an entry relates to a record in the GRR;</w:t>
      </w:r>
    </w:p>
    <w:p w:rsidR="00DE5BD5" w:rsidRPr="0028108F" w:rsidRDefault="00DE5BD5" w:rsidP="00DE5BD5">
      <w:pPr>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lastRenderedPageBreak/>
        <w:t xml:space="preserve">• </w:t>
      </w:r>
      <w:r w:rsidRPr="0028108F">
        <w:rPr>
          <w:rFonts w:ascii="Arial" w:hAnsi="Arial" w:cs="Arial"/>
          <w:szCs w:val="24"/>
          <w:lang w:val="en-GB"/>
        </w:rPr>
        <w:tab/>
      </w:r>
      <w:r w:rsidRPr="0028108F">
        <w:rPr>
          <w:rFonts w:ascii="Arial" w:hAnsi="Arial" w:cs="Arial"/>
          <w:color w:val="000000"/>
          <w:kern w:val="0"/>
          <w:szCs w:val="24"/>
          <w:lang w:val="en-GB"/>
        </w:rPr>
        <w:t>paragraphs 5 and 6 of Schedule 3, dealing with provision of certified copies of any entry in the GRR, ensure that it will not be apparent from the certified copy that it is compiled from the GRR and such certificates will look the same as any other birth (or adoption) certificate;</w:t>
      </w:r>
    </w:p>
    <w:p w:rsidR="00DE5BD5" w:rsidRPr="0028108F" w:rsidRDefault="00DE5BD5" w:rsidP="00DE5BD5">
      <w:pPr>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color w:val="000000"/>
          <w:kern w:val="0"/>
          <w:szCs w:val="24"/>
          <w:lang w:val="en-GB"/>
        </w:rPr>
        <w:t>section 22 which, subject to defences in section 22(4), makes it an offence for a person to disclose information, acquired in an official capacity, concerning the application or the person’s previous gender.</w:t>
      </w:r>
      <w:r w:rsidRPr="0028108F">
        <w:rPr>
          <w:rStyle w:val="FootnoteReference"/>
          <w:rFonts w:ascii="Arial" w:hAnsi="Arial" w:cs="Arial"/>
          <w:color w:val="000000"/>
          <w:kern w:val="0"/>
          <w:szCs w:val="24"/>
          <w:lang w:val="en-GB"/>
        </w:rPr>
        <w:footnoteReference w:id="180"/>
      </w:r>
    </w:p>
    <w:p w:rsidR="00FB682A" w:rsidRPr="00181CF2" w:rsidRDefault="00FB682A" w:rsidP="00DE5BD5">
      <w:pPr>
        <w:tabs>
          <w:tab w:val="left" w:pos="709"/>
        </w:tabs>
        <w:adjustRightInd w:val="0"/>
        <w:snapToGrid w:val="0"/>
        <w:jc w:val="both"/>
        <w:rPr>
          <w:rFonts w:ascii="Arial" w:hAnsi="Arial" w:cs="Arial"/>
          <w:szCs w:val="24"/>
          <w:lang w:val="en-GB"/>
        </w:rPr>
      </w:pPr>
      <w:r w:rsidRPr="0028108F">
        <w:rPr>
          <w:rFonts w:ascii="Arial" w:hAnsi="Arial" w:cs="Arial"/>
          <w:szCs w:val="24"/>
          <w:lang w:val="en-GB"/>
        </w:rPr>
        <w:tab/>
      </w:r>
      <w:r w:rsidRPr="0028108F">
        <w:rPr>
          <w:rFonts w:ascii="Arial" w:hAnsi="Arial" w:cs="Arial"/>
          <w:szCs w:val="24"/>
          <w:lang w:val="en-GB"/>
        </w:rPr>
        <w:tab/>
      </w:r>
    </w:p>
    <w:p w:rsidR="00DE5BD5" w:rsidRPr="00181CF2" w:rsidRDefault="00DE5BD5" w:rsidP="00DE5BD5">
      <w:pPr>
        <w:widowControl/>
        <w:tabs>
          <w:tab w:val="left" w:pos="851"/>
        </w:tabs>
        <w:adjustRightInd w:val="0"/>
        <w:snapToGrid w:val="0"/>
        <w:jc w:val="both"/>
        <w:rPr>
          <w:rFonts w:ascii="Arial" w:hAnsi="Arial" w:cs="Arial"/>
          <w:i/>
          <w:color w:val="000000"/>
          <w:kern w:val="0"/>
          <w:szCs w:val="24"/>
          <w:lang w:val="en-GB"/>
        </w:rPr>
      </w:pPr>
      <w:r w:rsidRPr="00181CF2">
        <w:rPr>
          <w:rFonts w:ascii="Arial" w:hAnsi="Arial" w:cs="Arial"/>
          <w:i/>
          <w:color w:val="000000"/>
          <w:kern w:val="0"/>
          <w:szCs w:val="24"/>
          <w:lang w:val="en-GB"/>
        </w:rPr>
        <w:t>What the acquired gender does not affect</w:t>
      </w:r>
    </w:p>
    <w:p w:rsidR="00DE5BD5" w:rsidRPr="00C57CE1" w:rsidRDefault="00DE5BD5" w:rsidP="00DE5BD5">
      <w:pPr>
        <w:widowControl/>
        <w:tabs>
          <w:tab w:val="left" w:pos="851"/>
        </w:tabs>
        <w:adjustRightInd w:val="0"/>
        <w:snapToGrid w:val="0"/>
        <w:jc w:val="both"/>
        <w:rPr>
          <w:rFonts w:ascii="Arial" w:hAnsi="Arial" w:cs="Arial"/>
          <w:b/>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 acquired gender does not affect:</w:t>
      </w:r>
    </w:p>
    <w:p w:rsidR="00DE5BD5" w:rsidRPr="0028108F" w:rsidRDefault="00DE5BD5" w:rsidP="00DE5BD5">
      <w:pPr>
        <w:widowControl/>
        <w:tabs>
          <w:tab w:val="left" w:pos="1134"/>
        </w:tabs>
        <w:adjustRightInd w:val="0"/>
        <w:snapToGrid w:val="0"/>
        <w:jc w:val="both"/>
        <w:rPr>
          <w:rFonts w:ascii="Arial" w:hAnsi="Arial" w:cs="Arial"/>
          <w:b/>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b/>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Parenthood</w:t>
      </w:r>
      <w:r w:rsidRPr="0028108F">
        <w:rPr>
          <w:rFonts w:ascii="Arial" w:hAnsi="Arial" w:cs="Arial"/>
          <w:color w:val="000000"/>
          <w:kern w:val="0"/>
          <w:szCs w:val="24"/>
          <w:lang w:val="en-GB"/>
        </w:rPr>
        <w:t>: change of gender does not affect the person’s status as the father or mother of a child (section 12);</w:t>
      </w:r>
      <w:r w:rsidR="0085330B" w:rsidRPr="0028108F">
        <w:rPr>
          <w:rStyle w:val="FootnoteReference"/>
          <w:rFonts w:ascii="Arial" w:hAnsi="Arial" w:cs="Arial"/>
          <w:color w:val="000000"/>
          <w:kern w:val="0"/>
          <w:lang w:val="en-GB"/>
        </w:rPr>
        <w:footnoteReference w:id="181"/>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Social security benefits and pensions</w:t>
      </w:r>
      <w:r w:rsidRPr="0028108F">
        <w:rPr>
          <w:rFonts w:ascii="Arial" w:hAnsi="Arial" w:cs="Arial"/>
          <w:color w:val="000000"/>
          <w:kern w:val="0"/>
          <w:szCs w:val="24"/>
          <w:lang w:val="en-GB"/>
        </w:rPr>
        <w:t>: entitlement based on a person’s acquired gender;</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Discrimination</w:t>
      </w:r>
      <w:r w:rsidRPr="0028108F">
        <w:rPr>
          <w:rFonts w:ascii="Arial" w:hAnsi="Arial" w:cs="Arial"/>
          <w:color w:val="000000"/>
          <w:kern w:val="0"/>
          <w:szCs w:val="24"/>
          <w:lang w:val="en-GB"/>
        </w:rPr>
        <w:t>: the anti-discrimination laws have been amended to protect persons with GRC;</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Succession</w:t>
      </w:r>
      <w:r w:rsidRPr="0028108F">
        <w:rPr>
          <w:rFonts w:ascii="Arial" w:hAnsi="Arial" w:cs="Arial"/>
          <w:color w:val="000000"/>
          <w:kern w:val="0"/>
          <w:szCs w:val="24"/>
          <w:lang w:val="en-GB"/>
        </w:rPr>
        <w:t>: change of gender does not affect the disposal or devolution of property under a will made before the day on which the GRA came into force (</w:t>
      </w:r>
      <w:r w:rsidR="00D6311F" w:rsidRPr="0028108F">
        <w:rPr>
          <w:rFonts w:ascii="Arial" w:hAnsi="Arial" w:cs="Arial"/>
          <w:color w:val="000000"/>
          <w:kern w:val="0"/>
          <w:szCs w:val="24"/>
          <w:lang w:val="en-GB"/>
        </w:rPr>
        <w:t>ie</w:t>
      </w:r>
      <w:r w:rsidRPr="0028108F">
        <w:rPr>
          <w:rFonts w:ascii="Arial" w:hAnsi="Arial" w:cs="Arial"/>
          <w:color w:val="000000"/>
          <w:kern w:val="0"/>
          <w:szCs w:val="24"/>
          <w:lang w:val="en-GB"/>
        </w:rPr>
        <w:t>, before 5 April 2005) (section 15);</w:t>
      </w:r>
      <w:r w:rsidRPr="0028108F">
        <w:rPr>
          <w:rStyle w:val="FootnoteReference"/>
          <w:rFonts w:ascii="Arial" w:hAnsi="Arial" w:cs="Arial"/>
          <w:color w:val="000000"/>
          <w:kern w:val="0"/>
          <w:szCs w:val="24"/>
          <w:lang w:val="en-GB"/>
        </w:rPr>
        <w:footnoteReference w:id="182"/>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Sports</w:t>
      </w:r>
      <w:r w:rsidRPr="0028108F">
        <w:rPr>
          <w:rFonts w:ascii="Arial" w:hAnsi="Arial" w:cs="Arial"/>
          <w:color w:val="000000"/>
          <w:kern w:val="0"/>
          <w:szCs w:val="24"/>
          <w:lang w:val="en-GB"/>
        </w:rPr>
        <w:t>: sports organisations may exclude transsexual people if it is necessary for “</w:t>
      </w:r>
      <w:r w:rsidRPr="00B25672">
        <w:rPr>
          <w:rFonts w:ascii="Arial" w:hAnsi="Arial" w:cs="Arial"/>
          <w:i/>
          <w:color w:val="000000"/>
          <w:kern w:val="0"/>
          <w:szCs w:val="24"/>
          <w:lang w:val="en-GB"/>
        </w:rPr>
        <w:t>fair competition or the safety of the competitors</w:t>
      </w:r>
      <w:r w:rsidRPr="0028108F">
        <w:rPr>
          <w:rFonts w:ascii="Arial" w:hAnsi="Arial" w:cs="Arial"/>
          <w:color w:val="000000"/>
          <w:kern w:val="0"/>
          <w:szCs w:val="24"/>
          <w:lang w:val="en-GB"/>
        </w:rPr>
        <w:t>” (section 19);</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Peerages</w:t>
      </w:r>
      <w:r w:rsidRPr="0028108F">
        <w:rPr>
          <w:rFonts w:ascii="Arial" w:hAnsi="Arial" w:cs="Arial"/>
          <w:color w:val="000000"/>
          <w:kern w:val="0"/>
          <w:szCs w:val="24"/>
          <w:lang w:val="en-GB"/>
        </w:rPr>
        <w:t>: hereditary titles are not affected by change of gender (section 16);</w:t>
      </w: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p>
    <w:p w:rsidR="00DE5BD5" w:rsidRPr="0028108F" w:rsidRDefault="00DE5BD5" w:rsidP="00DE5BD5">
      <w:pPr>
        <w:widowControl/>
        <w:tabs>
          <w:tab w:val="left" w:pos="1418"/>
        </w:tabs>
        <w:adjustRightInd w:val="0"/>
        <w:snapToGrid w:val="0"/>
        <w:ind w:leftChars="413" w:left="1416" w:hangingChars="177" w:hanging="425"/>
        <w:jc w:val="both"/>
        <w:rPr>
          <w:rFonts w:ascii="Arial" w:hAnsi="Arial" w:cs="Arial"/>
          <w:color w:val="000000"/>
          <w:kern w:val="0"/>
          <w:szCs w:val="24"/>
          <w:lang w:val="en-GB"/>
        </w:rPr>
      </w:pPr>
      <w:r w:rsidRPr="0028108F">
        <w:rPr>
          <w:rFonts w:ascii="Arial" w:hAnsi="Arial" w:cs="Arial"/>
          <w:szCs w:val="24"/>
          <w:lang w:val="en-GB"/>
        </w:rPr>
        <w:t xml:space="preserve">• </w:t>
      </w:r>
      <w:r w:rsidRPr="0028108F">
        <w:rPr>
          <w:rFonts w:ascii="Arial" w:hAnsi="Arial" w:cs="Arial"/>
          <w:szCs w:val="24"/>
          <w:lang w:val="en-GB"/>
        </w:rPr>
        <w:tab/>
      </w:r>
      <w:r w:rsidRPr="0028108F">
        <w:rPr>
          <w:rFonts w:ascii="Arial" w:hAnsi="Arial" w:cs="Arial"/>
          <w:i/>
          <w:color w:val="000000"/>
          <w:kern w:val="0"/>
          <w:szCs w:val="24"/>
          <w:lang w:val="en-GB"/>
        </w:rPr>
        <w:t>Gender-specific offences</w:t>
      </w:r>
      <w:r w:rsidRPr="0028108F">
        <w:rPr>
          <w:rFonts w:ascii="Arial" w:hAnsi="Arial" w:cs="Arial"/>
          <w:color w:val="000000"/>
          <w:kern w:val="0"/>
          <w:szCs w:val="24"/>
          <w:lang w:val="en-GB"/>
        </w:rPr>
        <w:t>: change of gender does not prevent gender-specific offences being committed or attempted by GRC holders (section 20).</w:t>
      </w:r>
      <w:r w:rsidRPr="0028108F">
        <w:rPr>
          <w:rStyle w:val="FootnoteReference"/>
          <w:rFonts w:ascii="Arial" w:hAnsi="Arial" w:cs="Arial"/>
          <w:color w:val="000000"/>
          <w:kern w:val="0"/>
          <w:szCs w:val="24"/>
          <w:lang w:val="en-GB"/>
        </w:rPr>
        <w:footnoteReference w:id="183"/>
      </w:r>
    </w:p>
    <w:p w:rsidR="00DE5BD5" w:rsidRPr="0028108F" w:rsidRDefault="00DE5BD5" w:rsidP="00DE5BD5">
      <w:pPr>
        <w:tabs>
          <w:tab w:val="left" w:pos="709"/>
        </w:tabs>
        <w:adjustRightInd w:val="0"/>
        <w:snapToGrid w:val="0"/>
        <w:jc w:val="both"/>
        <w:rPr>
          <w:rFonts w:ascii="Arial" w:hAnsi="Arial" w:cs="Arial"/>
          <w:b/>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Consequential legislative amendments</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i/>
          <w:color w:val="000000"/>
          <w:kern w:val="0"/>
          <w:szCs w:val="24"/>
          <w:lang w:val="en-GB"/>
        </w:rPr>
      </w:pPr>
      <w:r w:rsidRPr="0028108F">
        <w:rPr>
          <w:rFonts w:ascii="Arial" w:hAnsi="Arial" w:cs="Arial"/>
          <w:color w:val="000000"/>
          <w:kern w:val="0"/>
          <w:szCs w:val="24"/>
          <w:lang w:val="en-GB"/>
        </w:rPr>
        <w:t>A number of amendments to the law of marriage, pensions and discrimination were made under the GRA in the light of legal recognition of the acquired gender.</w:t>
      </w:r>
    </w:p>
    <w:p w:rsidR="00DE5BD5" w:rsidRPr="0028108F" w:rsidRDefault="00DE5BD5" w:rsidP="00DE5BD5">
      <w:pPr>
        <w:widowControl/>
        <w:tabs>
          <w:tab w:val="left" w:pos="1134"/>
        </w:tabs>
        <w:adjustRightInd w:val="0"/>
        <w:snapToGrid w:val="0"/>
        <w:jc w:val="both"/>
        <w:rPr>
          <w:rFonts w:ascii="Arial" w:hAnsi="Arial" w:cs="Arial"/>
          <w:i/>
          <w:color w:val="000000"/>
          <w:kern w:val="0"/>
          <w:szCs w:val="24"/>
          <w:lang w:val="en-GB"/>
        </w:rPr>
      </w:pPr>
    </w:p>
    <w:p w:rsidR="00DE5BD5" w:rsidRPr="0028108F" w:rsidRDefault="00DE5BD5" w:rsidP="00DE5BD5">
      <w:pPr>
        <w:widowControl/>
        <w:tabs>
          <w:tab w:val="left" w:pos="1134"/>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(1)</w:t>
      </w:r>
      <w:r w:rsidRPr="0028108F">
        <w:rPr>
          <w:rFonts w:ascii="Arial" w:hAnsi="Arial" w:cs="Arial"/>
          <w:i/>
          <w:color w:val="000000"/>
          <w:kern w:val="0"/>
          <w:szCs w:val="24"/>
          <w:lang w:val="en-GB"/>
        </w:rPr>
        <w:tab/>
        <w:t>Marriage</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Schedule 4 has amended the law of marriage in three ways:</w:t>
      </w:r>
    </w:p>
    <w:p w:rsidR="00DE5BD5" w:rsidRPr="0028108F" w:rsidRDefault="00DE5BD5" w:rsidP="00DE5BD5">
      <w:pPr>
        <w:widowControl/>
        <w:tabs>
          <w:tab w:val="left" w:pos="851"/>
        </w:tabs>
        <w:adjustRightInd w:val="0"/>
        <w:snapToGrid w:val="0"/>
        <w:ind w:left="851"/>
        <w:jc w:val="both"/>
        <w:rPr>
          <w:rFonts w:ascii="Arial" w:hAnsi="Arial" w:cs="Arial"/>
          <w:color w:val="000000"/>
          <w:kern w:val="0"/>
          <w:szCs w:val="24"/>
          <w:lang w:val="en-GB"/>
        </w:rPr>
      </w:pPr>
    </w:p>
    <w:p w:rsidR="00DE5BD5" w:rsidRPr="0028108F" w:rsidRDefault="00DE5BD5" w:rsidP="00DE5BD5">
      <w:pPr>
        <w:widowControl/>
        <w:numPr>
          <w:ilvl w:val="0"/>
          <w:numId w:val="11"/>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The law in section 1 of the Marriage Act 1949 concerning marriage within the prohibited degrees of relationship was amended to accommodate necessary modification in the case of a person whose gender has become the acquired gender (Schedule 4, paragraphs 1 and 2).</w:t>
      </w:r>
      <w:r w:rsidRPr="0028108F">
        <w:rPr>
          <w:rStyle w:val="FootnoteReference"/>
          <w:rFonts w:ascii="Arial" w:hAnsi="Arial" w:cs="Arial"/>
          <w:color w:val="000000"/>
          <w:kern w:val="0"/>
          <w:szCs w:val="24"/>
          <w:lang w:val="en-GB"/>
        </w:rPr>
        <w:footnoteReference w:id="184"/>
      </w:r>
    </w:p>
    <w:p w:rsidR="00DE5BD5" w:rsidRPr="0028108F" w:rsidRDefault="00DE5BD5" w:rsidP="00DE5BD5">
      <w:pPr>
        <w:widowControl/>
        <w:tabs>
          <w:tab w:val="left" w:pos="851"/>
          <w:tab w:val="left" w:pos="1701"/>
        </w:tabs>
        <w:adjustRightInd w:val="0"/>
        <w:snapToGrid w:val="0"/>
        <w:ind w:left="1701"/>
        <w:jc w:val="both"/>
        <w:rPr>
          <w:rFonts w:ascii="Arial" w:hAnsi="Arial" w:cs="Arial"/>
          <w:color w:val="000000"/>
          <w:kern w:val="0"/>
          <w:szCs w:val="24"/>
          <w:lang w:val="en-GB"/>
        </w:rPr>
      </w:pPr>
    </w:p>
    <w:p w:rsidR="00DE5BD5" w:rsidRPr="0028108F" w:rsidRDefault="00DE5BD5" w:rsidP="00DE5BD5">
      <w:pPr>
        <w:widowControl/>
        <w:numPr>
          <w:ilvl w:val="0"/>
          <w:numId w:val="11"/>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An additional exception was provided to the obligation on clergy in the Church of England and the Church in Wales to solemnise marriages of persons whose gender have become the acquired gender (Schedule 4, paragraph 3).</w:t>
      </w:r>
      <w:r w:rsidRPr="0028108F">
        <w:rPr>
          <w:rStyle w:val="FootnoteReference"/>
          <w:rFonts w:ascii="Arial" w:hAnsi="Arial" w:cs="Arial"/>
          <w:color w:val="000000"/>
          <w:kern w:val="0"/>
          <w:szCs w:val="24"/>
          <w:lang w:val="en-GB"/>
        </w:rPr>
        <w:footnoteReference w:id="185"/>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numPr>
          <w:ilvl w:val="0"/>
          <w:numId w:val="11"/>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A marriage will be voidable if the respondent is a person whose gender at the time of the marriage had become the acquired gender (Schedule 4, paragraph 4).</w:t>
      </w:r>
      <w:r w:rsidRPr="0028108F">
        <w:rPr>
          <w:rStyle w:val="FootnoteReference"/>
          <w:rFonts w:ascii="Arial" w:hAnsi="Arial" w:cs="Arial"/>
          <w:color w:val="000000"/>
          <w:kern w:val="0"/>
          <w:szCs w:val="24"/>
          <w:lang w:val="en-GB"/>
        </w:rPr>
        <w:footnoteReference w:id="186"/>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Section 21 makes explicit that </w:t>
      </w:r>
      <w:r w:rsidRPr="0028108F">
        <w:rPr>
          <w:rFonts w:ascii="Arial" w:hAnsi="Arial" w:cs="Arial"/>
          <w:i/>
          <w:color w:val="000000"/>
          <w:kern w:val="0"/>
          <w:szCs w:val="24"/>
          <w:lang w:val="en-GB"/>
        </w:rPr>
        <w:t>“a person who has changed gender in another country or territory is not thereby recognised in the acquired gender in the UK.”</w:t>
      </w:r>
      <w:r w:rsidRPr="0028108F">
        <w:rPr>
          <w:rStyle w:val="FootnoteReference"/>
          <w:rFonts w:ascii="Arial" w:hAnsi="Arial" w:cs="Arial"/>
          <w:color w:val="000000"/>
          <w:kern w:val="0"/>
          <w:szCs w:val="24"/>
          <w:lang w:val="en-GB"/>
        </w:rPr>
        <w:footnoteReference w:id="187"/>
      </w:r>
      <w:r w:rsidRPr="0028108F">
        <w:rPr>
          <w:rFonts w:ascii="Arial" w:hAnsi="Arial" w:cs="Arial"/>
          <w:color w:val="000000"/>
          <w:kern w:val="0"/>
          <w:szCs w:val="24"/>
          <w:lang w:val="en-GB"/>
        </w:rPr>
        <w:t xml:space="preserve">  A person in that position will have to make an application for gender recognition under section 1 of the GRA.  An exception applies for</w:t>
      </w:r>
      <w:r w:rsidR="0039796D">
        <w:rPr>
          <w:rFonts w:ascii="Arial" w:hAnsi="Arial" w:cs="Arial"/>
          <w:color w:val="000000"/>
          <w:kern w:val="0"/>
          <w:szCs w:val="24"/>
          <w:lang w:val="en-GB"/>
        </w:rPr>
        <w:t xml:space="preserve"> a national of another country within the European Union or European Economic Area</w:t>
      </w:r>
      <w:r w:rsidRPr="0028108F">
        <w:rPr>
          <w:rFonts w:ascii="Arial" w:hAnsi="Arial" w:cs="Arial"/>
          <w:color w:val="000000"/>
          <w:kern w:val="0"/>
          <w:szCs w:val="24"/>
          <w:lang w:val="en-GB"/>
        </w:rPr>
        <w:t>.</w:t>
      </w:r>
      <w:r w:rsidRPr="0028108F">
        <w:rPr>
          <w:rStyle w:val="FootnoteReference"/>
          <w:rFonts w:ascii="Arial" w:hAnsi="Arial" w:cs="Arial"/>
          <w:color w:val="000000"/>
          <w:kern w:val="0"/>
          <w:szCs w:val="24"/>
          <w:lang w:val="en-GB"/>
        </w:rPr>
        <w:footnoteReference w:id="188"/>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(2)</w:t>
      </w:r>
      <w:r w:rsidRPr="0028108F">
        <w:rPr>
          <w:rFonts w:ascii="Arial" w:hAnsi="Arial" w:cs="Arial"/>
          <w:i/>
          <w:color w:val="000000"/>
          <w:kern w:val="0"/>
          <w:szCs w:val="24"/>
          <w:lang w:val="en-GB"/>
        </w:rPr>
        <w:tab/>
        <w:t>Social security benefits and pensions</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Schedule 5 makes provision to deal with the effect of the acquired gender on Widowed Mother’s Allowance (paragraph 3), Widow’s Pension (paragraph 4), Widowed Parent</w:t>
      </w:r>
      <w:r w:rsidR="00A82709">
        <w:rPr>
          <w:rFonts w:ascii="Arial" w:hAnsi="Arial" w:cs="Arial"/>
          <w:color w:val="000000"/>
          <w:kern w:val="0"/>
          <w:szCs w:val="24"/>
          <w:lang w:val="en-GB"/>
        </w:rPr>
        <w:t>’</w:t>
      </w:r>
      <w:r w:rsidRPr="0028108F">
        <w:rPr>
          <w:rFonts w:ascii="Arial" w:hAnsi="Arial" w:cs="Arial"/>
          <w:color w:val="000000"/>
          <w:kern w:val="0"/>
          <w:szCs w:val="24"/>
          <w:lang w:val="en-GB"/>
        </w:rPr>
        <w:t>s Allowance (paragraph 5), Incapacity Benefit (paragraph 6), Retirement Pensions (paragraphs 7 to 11), graduated retirement benefit (paragraphs 12 and 13), Guaranteed Minimum Pension (paragraphs 14 and 15) and equivalent pension benefits (paragraphs 16 and 17).</w:t>
      </w:r>
      <w:r w:rsidRPr="0028108F">
        <w:rPr>
          <w:rStyle w:val="FootnoteReference"/>
          <w:rFonts w:ascii="Arial" w:hAnsi="Arial" w:cs="Arial"/>
          <w:color w:val="000000"/>
          <w:kern w:val="0"/>
          <w:szCs w:val="24"/>
          <w:lang w:val="en-GB"/>
        </w:rPr>
        <w:footnoteReference w:id="189"/>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(3)</w:t>
      </w:r>
      <w:r w:rsidRPr="0028108F">
        <w:rPr>
          <w:rFonts w:ascii="Arial" w:hAnsi="Arial" w:cs="Arial"/>
          <w:i/>
          <w:color w:val="000000"/>
          <w:kern w:val="0"/>
          <w:szCs w:val="24"/>
          <w:lang w:val="en-GB"/>
        </w:rPr>
        <w:tab/>
        <w:t xml:space="preserve">Discrimination </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 Sex Discrimination Act 1975 and the Sex Discrimination (Northern Ireland) Order 1976</w:t>
      </w:r>
      <w:r w:rsidRPr="0028108F">
        <w:rPr>
          <w:rStyle w:val="FootnoteReference"/>
          <w:rFonts w:ascii="Arial" w:hAnsi="Arial" w:cs="Arial"/>
          <w:color w:val="000000"/>
          <w:kern w:val="0"/>
          <w:szCs w:val="24"/>
          <w:lang w:val="en-GB"/>
        </w:rPr>
        <w:footnoteReference w:id="190"/>
      </w:r>
      <w:r w:rsidRPr="0028108F">
        <w:rPr>
          <w:rFonts w:ascii="Arial" w:hAnsi="Arial" w:cs="Arial"/>
          <w:color w:val="000000"/>
          <w:kern w:val="0"/>
          <w:szCs w:val="24"/>
          <w:lang w:val="en-GB"/>
        </w:rPr>
        <w:t xml:space="preserve"> were amended by Schedule 6 of the GRA to the effect that it would be unlawful to discriminate against a person who has been recognised in the acquired gender under the GRA, and the exceptions based on </w:t>
      </w:r>
      <w:r w:rsidRPr="0028108F">
        <w:rPr>
          <w:rFonts w:ascii="Arial" w:hAnsi="Arial" w:cs="Arial"/>
          <w:i/>
          <w:color w:val="000000"/>
          <w:kern w:val="0"/>
          <w:szCs w:val="24"/>
          <w:lang w:val="en-GB"/>
        </w:rPr>
        <w:t>“genuine occupational qualifications”</w:t>
      </w:r>
      <w:r w:rsidRPr="0028108F">
        <w:rPr>
          <w:rStyle w:val="FootnoteReference"/>
          <w:rFonts w:ascii="Arial" w:hAnsi="Arial" w:cs="Arial"/>
          <w:color w:val="000000"/>
          <w:kern w:val="0"/>
          <w:szCs w:val="24"/>
          <w:lang w:val="en-GB"/>
        </w:rPr>
        <w:footnoteReference w:id="191"/>
      </w:r>
      <w:r w:rsidRPr="0028108F">
        <w:rPr>
          <w:rFonts w:ascii="Arial" w:hAnsi="Arial" w:cs="Arial"/>
          <w:color w:val="000000"/>
          <w:kern w:val="0"/>
          <w:szCs w:val="24"/>
          <w:lang w:val="en-GB"/>
        </w:rPr>
        <w:t xml:space="preserve"> would not be available once </w:t>
      </w:r>
      <w:r w:rsidRPr="0028108F">
        <w:rPr>
          <w:rFonts w:ascii="Arial" w:hAnsi="Arial" w:cs="Arial"/>
          <w:color w:val="000000"/>
          <w:kern w:val="0"/>
          <w:szCs w:val="24"/>
          <w:lang w:val="en-GB"/>
        </w:rPr>
        <w:lastRenderedPageBreak/>
        <w:t>a person has been recognised in the acquired gender.  They are then, for the purposes of employment, to be treated as being of their acquired gender.</w:t>
      </w:r>
      <w:r w:rsidRPr="0028108F">
        <w:rPr>
          <w:rStyle w:val="FootnoteReference"/>
          <w:rFonts w:ascii="Arial" w:hAnsi="Arial" w:cs="Arial"/>
          <w:color w:val="000000"/>
          <w:kern w:val="0"/>
          <w:szCs w:val="24"/>
          <w:lang w:val="en-GB"/>
        </w:rPr>
        <w:footnoteReference w:id="192"/>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Areas of concern in House of Lords</w:t>
      </w:r>
      <w:r w:rsidR="00256B80">
        <w:rPr>
          <w:rFonts w:ascii="Arial" w:hAnsi="Arial" w:cs="Arial"/>
          <w:i/>
          <w:color w:val="000000"/>
          <w:kern w:val="0"/>
          <w:szCs w:val="24"/>
          <w:lang w:val="en-GB"/>
        </w:rPr>
        <w:t>’</w:t>
      </w:r>
      <w:r w:rsidRPr="0028108F">
        <w:rPr>
          <w:rFonts w:ascii="Arial" w:hAnsi="Arial" w:cs="Arial"/>
          <w:i/>
          <w:color w:val="000000"/>
          <w:kern w:val="0"/>
          <w:szCs w:val="24"/>
          <w:lang w:val="en-GB"/>
        </w:rPr>
        <w:t xml:space="preserve"> debates not reflected in the GRA</w:t>
      </w:r>
    </w:p>
    <w:p w:rsidR="00DE5BD5" w:rsidRPr="0028108F" w:rsidRDefault="00DE5BD5" w:rsidP="00DE5BD5">
      <w:pPr>
        <w:widowControl/>
        <w:tabs>
          <w:tab w:val="left" w:pos="851"/>
        </w:tabs>
        <w:adjustRightInd w:val="0"/>
        <w:snapToGrid w:val="0"/>
        <w:ind w:left="853"/>
        <w:jc w:val="both"/>
        <w:rPr>
          <w:rFonts w:ascii="Arial" w:hAnsi="Arial" w:cs="Arial"/>
          <w:b/>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Before enactment of the GRA, some provisions and underlying assumptions of the Bill proved controversial at the scrutiny stages. </w:t>
      </w:r>
      <w:r w:rsidR="00A82709">
        <w:rPr>
          <w:rFonts w:ascii="Arial" w:hAnsi="Arial" w:cs="Arial"/>
          <w:color w:val="000000"/>
          <w:kern w:val="0"/>
          <w:szCs w:val="24"/>
          <w:lang w:val="en-GB"/>
        </w:rPr>
        <w:t xml:space="preserve"> </w:t>
      </w:r>
      <w:r w:rsidRPr="0028108F">
        <w:rPr>
          <w:rFonts w:ascii="Arial" w:hAnsi="Arial" w:cs="Arial"/>
          <w:color w:val="000000"/>
          <w:kern w:val="0"/>
          <w:szCs w:val="24"/>
          <w:lang w:val="en-GB"/>
        </w:rPr>
        <w:t>In particular, during its passage through the House of Lords general concerns were raised</w:t>
      </w:r>
      <w:r w:rsidRPr="0028108F">
        <w:rPr>
          <w:rStyle w:val="FootnoteReference"/>
          <w:rFonts w:ascii="Arial" w:hAnsi="Arial" w:cs="Arial"/>
          <w:color w:val="000000"/>
          <w:kern w:val="0"/>
          <w:szCs w:val="24"/>
          <w:lang w:val="en-GB"/>
        </w:rPr>
        <w:footnoteReference w:id="193"/>
      </w:r>
      <w:r w:rsidRPr="0028108F">
        <w:rPr>
          <w:rFonts w:ascii="Arial" w:hAnsi="Arial" w:cs="Arial"/>
          <w:color w:val="000000"/>
          <w:kern w:val="0"/>
          <w:szCs w:val="24"/>
          <w:lang w:val="en-GB"/>
        </w:rPr>
        <w:t xml:space="preserve"> by some peers on the following areas: (1) religious issues; (2) medical issues; (3) effect of recognition on others; (4) reversal of recognition in acquired gender; and (5) availability of historical records.</w:t>
      </w:r>
      <w:r w:rsidRPr="0028108F">
        <w:rPr>
          <w:rStyle w:val="FootnoteReference"/>
          <w:rFonts w:ascii="Arial" w:hAnsi="Arial" w:cs="Arial"/>
          <w:color w:val="000000"/>
          <w:kern w:val="0"/>
          <w:szCs w:val="24"/>
          <w:lang w:val="en-GB"/>
        </w:rPr>
        <w:footnoteReference w:id="194"/>
      </w:r>
      <w:r w:rsidRPr="0028108F">
        <w:rPr>
          <w:rStyle w:val="FootnoteReference"/>
          <w:rFonts w:ascii="Arial" w:hAnsi="Arial" w:cs="Arial"/>
          <w:szCs w:val="24"/>
          <w:lang w:val="en-GB"/>
        </w:rPr>
        <w:t xml:space="preserve"> </w:t>
      </w:r>
      <w:r w:rsidRPr="0028108F">
        <w:rPr>
          <w:rFonts w:ascii="Arial" w:hAnsi="Arial" w:cs="Arial"/>
          <w:color w:val="000000"/>
          <w:kern w:val="0"/>
          <w:szCs w:val="24"/>
          <w:lang w:val="en-GB"/>
        </w:rPr>
        <w:t xml:space="preserve"> The proposed amendments to the Bill pertaining to these areas were defeated in the House of Lords and were not reflected in the GRA, but debates over these matters may shed light on what consequential amendments to the GRA may need to be made in future. </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(1)</w:t>
      </w:r>
      <w:r w:rsidRPr="0028108F">
        <w:rPr>
          <w:rFonts w:ascii="Arial" w:hAnsi="Arial" w:cs="Arial"/>
          <w:i/>
          <w:color w:val="000000"/>
          <w:kern w:val="0"/>
          <w:szCs w:val="24"/>
          <w:lang w:val="en-GB"/>
        </w:rPr>
        <w:tab/>
        <w:t>Religious issues</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Religious issues were debated in the context of proposed amendments to a number of clauses in the Bill, including</w:t>
      </w:r>
      <w:r w:rsidR="00D41803">
        <w:rPr>
          <w:rFonts w:ascii="Arial" w:hAnsi="Arial" w:cs="Arial" w:hint="eastAsia"/>
          <w:color w:val="000000"/>
          <w:kern w:val="0"/>
          <w:szCs w:val="24"/>
          <w:lang w:val="en-GB"/>
        </w:rPr>
        <w:t>:</w:t>
      </w:r>
      <w:r w:rsidRPr="0028108F">
        <w:rPr>
          <w:rFonts w:ascii="Arial" w:hAnsi="Arial" w:cs="Arial"/>
          <w:color w:val="000000"/>
          <w:kern w:val="0"/>
          <w:szCs w:val="24"/>
          <w:lang w:val="en-GB"/>
        </w:rPr>
        <w:t xml:space="preserve"> (a) giving the religious ministers or religious organisations the entitlement to seek a copy of a birth certificate which showed clearly whether a person seeking his/her marriage to be solemnised by a clergyman was a transsexual person; and (b) allowing religious organisations to prohibit or restrict participation by any person with an acquired gender in its religious activities or ceremonies if the prohibition was necessary to comply with the doctrines of the religion or to avoid offending the religious susceptibilities of a significant number of the religion’s followers.  Both proposals were objected to for reasons including: (a) disclosure of personal details was an issue best left to the transsexual individual who should be protected from being exposed</w:t>
      </w:r>
      <w:r w:rsidR="00D41803">
        <w:rPr>
          <w:rFonts w:ascii="Arial" w:hAnsi="Arial" w:cs="Arial" w:hint="eastAsia"/>
          <w:color w:val="000000"/>
          <w:kern w:val="0"/>
          <w:szCs w:val="24"/>
          <w:lang w:val="en-GB"/>
        </w:rPr>
        <w:t>;</w:t>
      </w:r>
      <w:r w:rsidR="00D41803" w:rsidRPr="0028108F">
        <w:rPr>
          <w:rFonts w:ascii="Arial" w:hAnsi="Arial" w:cs="Arial"/>
          <w:color w:val="000000"/>
          <w:kern w:val="0"/>
          <w:szCs w:val="24"/>
          <w:lang w:val="en-GB"/>
        </w:rPr>
        <w:t xml:space="preserve"> </w:t>
      </w:r>
      <w:r w:rsidRPr="0028108F">
        <w:rPr>
          <w:rFonts w:ascii="Arial" w:hAnsi="Arial" w:cs="Arial"/>
          <w:color w:val="000000"/>
          <w:kern w:val="0"/>
          <w:szCs w:val="24"/>
          <w:lang w:val="en-GB"/>
        </w:rPr>
        <w:t>and (b) the freedom for religious bodies to discriminate against transsexuals already existed in law.</w:t>
      </w:r>
      <w:r w:rsidRPr="0028108F">
        <w:rPr>
          <w:rStyle w:val="FootnoteReference"/>
          <w:rFonts w:ascii="Arial" w:hAnsi="Arial" w:cs="Arial"/>
          <w:color w:val="000000"/>
          <w:kern w:val="0"/>
          <w:szCs w:val="24"/>
          <w:lang w:val="en-GB"/>
        </w:rPr>
        <w:footnoteReference w:id="195"/>
      </w:r>
      <w:r w:rsidRPr="0028108F">
        <w:rPr>
          <w:rFonts w:ascii="Arial" w:hAnsi="Arial" w:cs="Arial"/>
          <w:color w:val="000000"/>
          <w:kern w:val="0"/>
          <w:szCs w:val="24"/>
          <w:lang w:val="en-GB"/>
        </w:rPr>
        <w:t xml:space="preserve">  Nevertheless, the Church of England had played a significant role in determining the shape of legislation for the UK in that they had, at least, successfully sought provision to protect the personal consciences of clergy opposed to solemnising marriages involving transsexual persons.</w:t>
      </w:r>
      <w:r w:rsidRPr="0028108F">
        <w:rPr>
          <w:rStyle w:val="FootnoteReference"/>
          <w:rFonts w:ascii="Arial" w:hAnsi="Arial" w:cs="Arial"/>
          <w:color w:val="000000" w:themeColor="text1"/>
          <w:szCs w:val="24"/>
          <w:lang w:val="en-GB"/>
        </w:rPr>
        <w:footnoteReference w:id="196"/>
      </w: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lastRenderedPageBreak/>
        <w:t>(2)</w:t>
      </w:r>
      <w:r w:rsidRPr="0028108F">
        <w:rPr>
          <w:rFonts w:ascii="Arial" w:hAnsi="Arial" w:cs="Arial"/>
          <w:i/>
          <w:color w:val="000000"/>
          <w:kern w:val="0"/>
          <w:szCs w:val="24"/>
          <w:lang w:val="en-GB"/>
        </w:rPr>
        <w:tab/>
        <w:t>Medical issues</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There were debates on the issues of transsexualism, the sex/gender disparity and whether a requirement for gender reassignment surgery should be included.  The UK Government took the stance that the issue of gender was a legal one where medical diversity was not central to the debate, and, as the </w:t>
      </w:r>
      <w:r w:rsidR="00451AB0" w:rsidRPr="0028108F">
        <w:rPr>
          <w:rFonts w:ascii="Arial" w:hAnsi="Arial" w:cs="Arial"/>
          <w:color w:val="000000"/>
          <w:kern w:val="0"/>
          <w:szCs w:val="24"/>
          <w:lang w:val="en-GB"/>
        </w:rPr>
        <w:t>ECtHR</w:t>
      </w:r>
      <w:r w:rsidRPr="0028108F">
        <w:rPr>
          <w:rFonts w:ascii="Arial" w:hAnsi="Arial" w:cs="Arial"/>
          <w:color w:val="000000"/>
          <w:kern w:val="0"/>
          <w:szCs w:val="24"/>
          <w:lang w:val="en-GB"/>
        </w:rPr>
        <w:t xml:space="preserve"> viewed in the </w:t>
      </w:r>
      <w:r w:rsidRPr="0028108F">
        <w:rPr>
          <w:rFonts w:ascii="Arial" w:hAnsi="Arial" w:cs="Arial"/>
          <w:i/>
          <w:color w:val="000000"/>
          <w:kern w:val="0"/>
          <w:szCs w:val="24"/>
          <w:lang w:val="en-GB"/>
        </w:rPr>
        <w:t xml:space="preserve">Goodwin and I </w:t>
      </w:r>
      <w:r w:rsidRPr="0028108F">
        <w:rPr>
          <w:rFonts w:ascii="Arial" w:hAnsi="Arial" w:cs="Arial"/>
          <w:color w:val="000000"/>
          <w:kern w:val="0"/>
          <w:szCs w:val="24"/>
          <w:lang w:val="en-GB"/>
        </w:rPr>
        <w:t>judgment</w:t>
      </w:r>
      <w:r w:rsidR="00A82709">
        <w:rPr>
          <w:rFonts w:ascii="Arial" w:hAnsi="Arial" w:cs="Arial"/>
          <w:color w:val="000000"/>
          <w:kern w:val="0"/>
          <w:szCs w:val="24"/>
          <w:lang w:val="en-GB"/>
        </w:rPr>
        <w:t>s</w:t>
      </w:r>
      <w:r w:rsidRPr="0028108F">
        <w:rPr>
          <w:rFonts w:ascii="Arial" w:hAnsi="Arial" w:cs="Arial"/>
          <w:color w:val="000000"/>
          <w:kern w:val="0"/>
          <w:szCs w:val="24"/>
          <w:lang w:val="en-GB"/>
        </w:rPr>
        <w:t>, the continuing debate over the nature and aetiology of transsexualism should no longer stand in the way of transsexual people enjoying their human rights as others do.</w:t>
      </w:r>
      <w:r w:rsidRPr="0028108F">
        <w:rPr>
          <w:rStyle w:val="FootnoteReference"/>
          <w:rFonts w:ascii="Arial" w:hAnsi="Arial" w:cs="Arial"/>
          <w:color w:val="000000"/>
          <w:kern w:val="0"/>
          <w:szCs w:val="24"/>
          <w:lang w:val="en-GB"/>
        </w:rPr>
        <w:footnoteReference w:id="197"/>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(3)</w:t>
      </w:r>
      <w:r w:rsidRPr="0028108F">
        <w:rPr>
          <w:rFonts w:ascii="Arial" w:hAnsi="Arial" w:cs="Arial"/>
          <w:i/>
          <w:color w:val="000000"/>
          <w:kern w:val="0"/>
          <w:szCs w:val="24"/>
          <w:lang w:val="en-GB"/>
        </w:rPr>
        <w:tab/>
        <w:t>Effect of recognition on others</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In response to the concern on the potential conflict of the human rights of a transsexual person who has not undergone surgery with those of someone of their acquired gender who might have to share, for example, a prison cell, nurses’ quarters or sports changing facilities, the House of Lords expressed the view that the vast majority of transsexuals did not wish to cause embarrassment to others and the issues raised were already being dealt with in society.</w:t>
      </w:r>
    </w:p>
    <w:p w:rsidR="00DE5BD5" w:rsidRPr="0028108F" w:rsidRDefault="00DE5BD5" w:rsidP="00DE5BD5">
      <w:pPr>
        <w:widowControl/>
        <w:tabs>
          <w:tab w:val="left" w:pos="851"/>
        </w:tabs>
        <w:adjustRightInd w:val="0"/>
        <w:snapToGrid w:val="0"/>
        <w:ind w:left="851"/>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Whilst there was a proposal to impose on the GRP a duty to have due regard to the effect of issuing a GRC on the spouse and/or children of the applicant, the House of Lords maintained that the proposed amendment threatened to change the nature of the application for gender recognition and, as a practical consideration, firm decisions have already been taken once the application stage is reached.  The way in which the views of the family should be taken into account is when the divorce takes place, in which case the Court would consider whether appropriate ancillary relief decisions have been made in the interests of the children of the family.</w:t>
      </w:r>
      <w:r w:rsidRPr="0028108F">
        <w:rPr>
          <w:rStyle w:val="FootnoteReference"/>
          <w:rFonts w:ascii="Arial" w:hAnsi="Arial" w:cs="Arial"/>
          <w:color w:val="000000"/>
          <w:kern w:val="0"/>
          <w:szCs w:val="24"/>
          <w:lang w:val="en-GB"/>
        </w:rPr>
        <w:footnoteReference w:id="198"/>
      </w: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(4)</w:t>
      </w:r>
      <w:r w:rsidRPr="0028108F">
        <w:rPr>
          <w:rFonts w:ascii="Arial" w:hAnsi="Arial" w:cs="Arial"/>
          <w:i/>
          <w:color w:val="000000"/>
          <w:kern w:val="0"/>
          <w:szCs w:val="24"/>
          <w:lang w:val="en-GB"/>
        </w:rPr>
        <w:tab/>
        <w:t>Reversal of recognition in acquired gender</w:t>
      </w:r>
    </w:p>
    <w:p w:rsidR="00DE5BD5" w:rsidRPr="0028108F" w:rsidRDefault="00DE5BD5" w:rsidP="00DE5BD5">
      <w:pPr>
        <w:widowControl/>
        <w:tabs>
          <w:tab w:val="left" w:pos="851"/>
        </w:tabs>
        <w:adjustRightInd w:val="0"/>
        <w:snapToGrid w:val="0"/>
        <w:ind w:left="36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Concern was expressed on the Working Group’s finding that some transsexuals oscillated between the two sexes throughout their lives,</w:t>
      </w:r>
      <w:r w:rsidRPr="0028108F">
        <w:rPr>
          <w:rStyle w:val="FootnoteReference"/>
          <w:rFonts w:ascii="Arial" w:hAnsi="Arial" w:cs="Arial"/>
          <w:color w:val="000000"/>
          <w:kern w:val="0"/>
          <w:szCs w:val="24"/>
          <w:lang w:val="en-GB"/>
        </w:rPr>
        <w:footnoteReference w:id="199"/>
      </w:r>
      <w:r w:rsidRPr="0028108F">
        <w:rPr>
          <w:rFonts w:ascii="Arial" w:hAnsi="Arial" w:cs="Arial"/>
          <w:color w:val="000000"/>
          <w:kern w:val="0"/>
          <w:szCs w:val="24"/>
          <w:lang w:val="en-GB"/>
        </w:rPr>
        <w:t xml:space="preserve"> but the House of Lords considered that this might only apply to a small percentage, and the GRP would need to be convinced that a person was committed to a permanent change of gender before granting any application.</w:t>
      </w:r>
      <w:r w:rsidRPr="0028108F">
        <w:rPr>
          <w:rStyle w:val="FootnoteReference"/>
          <w:rFonts w:ascii="Arial" w:hAnsi="Arial" w:cs="Arial"/>
          <w:color w:val="000000"/>
          <w:kern w:val="0"/>
          <w:szCs w:val="24"/>
          <w:lang w:val="en-GB"/>
        </w:rPr>
        <w:footnoteReference w:id="200"/>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(5)</w:t>
      </w:r>
      <w:r w:rsidRPr="0028108F">
        <w:rPr>
          <w:rFonts w:ascii="Arial" w:hAnsi="Arial" w:cs="Arial"/>
          <w:i/>
          <w:color w:val="000000"/>
          <w:kern w:val="0"/>
          <w:szCs w:val="24"/>
          <w:lang w:val="en-GB"/>
        </w:rPr>
        <w:tab/>
        <w:t>Availability of historical records</w:t>
      </w:r>
    </w:p>
    <w:p w:rsidR="00DE5BD5" w:rsidRPr="0028108F" w:rsidRDefault="00DE5BD5" w:rsidP="00DE5BD5">
      <w:pPr>
        <w:widowControl/>
        <w:tabs>
          <w:tab w:val="left" w:pos="851"/>
        </w:tabs>
        <w:adjustRightInd w:val="0"/>
        <w:snapToGrid w:val="0"/>
        <w:jc w:val="both"/>
        <w:rPr>
          <w:rFonts w:ascii="Arial" w:hAnsi="Arial" w:cs="Arial"/>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It was suggested that details held in the GRR should not be accessible to the public during the lifetime of the registered person concerned or for 75 years.  The House of Lords referred to the general consultation on </w:t>
      </w:r>
      <w:r w:rsidRPr="0028108F">
        <w:rPr>
          <w:rFonts w:ascii="Arial" w:hAnsi="Arial" w:cs="Arial"/>
          <w:color w:val="000000"/>
          <w:kern w:val="0"/>
          <w:szCs w:val="24"/>
          <w:lang w:val="en-GB"/>
        </w:rPr>
        <w:lastRenderedPageBreak/>
        <w:t>civil registration records and suggested it was better to consider the issue of opening historic records alongside those other registration issues.</w:t>
      </w:r>
      <w:r w:rsidRPr="0028108F">
        <w:rPr>
          <w:rStyle w:val="FootnoteReference"/>
          <w:rFonts w:ascii="Arial" w:hAnsi="Arial" w:cs="Arial"/>
          <w:color w:val="000000"/>
          <w:kern w:val="0"/>
          <w:szCs w:val="24"/>
          <w:lang w:val="en-GB"/>
        </w:rPr>
        <w:footnoteReference w:id="201"/>
      </w:r>
    </w:p>
    <w:p w:rsidR="00DE5BD5" w:rsidRPr="0028108F" w:rsidRDefault="00DE5BD5" w:rsidP="00DE5BD5">
      <w:pPr>
        <w:adjustRightInd w:val="0"/>
        <w:snapToGrid w:val="0"/>
        <w:jc w:val="both"/>
        <w:rPr>
          <w:rFonts w:ascii="Arial" w:hAnsi="Arial" w:cs="Arial"/>
          <w:b/>
          <w:color w:val="000000"/>
          <w:kern w:val="0"/>
          <w:szCs w:val="24"/>
          <w:lang w:val="en-GB"/>
        </w:rPr>
      </w:pPr>
    </w:p>
    <w:p w:rsidR="00DE5BD5" w:rsidRPr="0028108F" w:rsidRDefault="00DE5BD5" w:rsidP="00DE5BD5">
      <w:pPr>
        <w:adjustRightInd w:val="0"/>
        <w:snapToGrid w:val="0"/>
        <w:jc w:val="both"/>
        <w:rPr>
          <w:rFonts w:ascii="Arial" w:hAnsi="Arial" w:cs="Arial"/>
          <w:b/>
          <w:color w:val="000000"/>
          <w:kern w:val="0"/>
          <w:szCs w:val="24"/>
          <w:lang w:val="en-GB"/>
        </w:rPr>
      </w:pPr>
    </w:p>
    <w:p w:rsidR="00DE5BD5" w:rsidRPr="0028108F" w:rsidRDefault="00DE5BD5" w:rsidP="00DE5BD5">
      <w:pPr>
        <w:adjustRightInd w:val="0"/>
        <w:snapToGrid w:val="0"/>
        <w:jc w:val="both"/>
        <w:rPr>
          <w:rFonts w:ascii="Arial" w:hAnsi="Arial" w:cs="Arial"/>
          <w:color w:val="000000"/>
          <w:kern w:val="0"/>
          <w:sz w:val="28"/>
          <w:szCs w:val="24"/>
          <w:lang w:val="en-GB"/>
        </w:rPr>
      </w:pPr>
      <w:r w:rsidRPr="0028108F">
        <w:rPr>
          <w:rFonts w:ascii="Arial" w:hAnsi="Arial" w:cs="Arial"/>
          <w:b/>
          <w:sz w:val="28"/>
          <w:szCs w:val="24"/>
          <w:lang w:val="en-GB"/>
        </w:rPr>
        <w:t>The Gender Recognition Panel</w:t>
      </w:r>
    </w:p>
    <w:p w:rsidR="00DE5BD5" w:rsidRPr="0028108F" w:rsidRDefault="00DE5BD5" w:rsidP="00DE5BD5">
      <w:pPr>
        <w:adjustRightInd w:val="0"/>
        <w:snapToGrid w:val="0"/>
        <w:jc w:val="both"/>
        <w:rPr>
          <w:rFonts w:ascii="Arial" w:hAnsi="Arial" w:cs="Arial"/>
          <w:color w:val="000000"/>
          <w:szCs w:val="24"/>
          <w:lang w:val="en-GB"/>
        </w:rPr>
      </w:pPr>
    </w:p>
    <w:p w:rsidR="00DE5BD5" w:rsidRPr="0028108F" w:rsidRDefault="00DE5BD5" w:rsidP="00DE5BD5">
      <w:pPr>
        <w:tabs>
          <w:tab w:val="left" w:pos="1134"/>
        </w:tabs>
        <w:adjustRightInd w:val="0"/>
        <w:snapToGrid w:val="0"/>
        <w:jc w:val="both"/>
        <w:rPr>
          <w:rFonts w:ascii="Arial" w:hAnsi="Arial" w:cs="Arial"/>
          <w:b/>
          <w:i/>
          <w:color w:val="000000"/>
          <w:szCs w:val="24"/>
          <w:lang w:val="en-GB"/>
        </w:rPr>
      </w:pPr>
      <w:r w:rsidRPr="0028108F">
        <w:rPr>
          <w:rFonts w:ascii="Arial" w:hAnsi="Arial" w:cs="Arial"/>
          <w:b/>
          <w:i/>
          <w:color w:val="000000"/>
          <w:szCs w:val="24"/>
          <w:lang w:val="en-GB"/>
        </w:rPr>
        <w:t xml:space="preserve">Role and structure </w:t>
      </w:r>
    </w:p>
    <w:p w:rsidR="00DE5BD5" w:rsidRPr="0028108F" w:rsidRDefault="00DE5BD5" w:rsidP="00DE5BD5">
      <w:pPr>
        <w:adjustRightInd w:val="0"/>
        <w:snapToGrid w:val="0"/>
        <w:jc w:val="both"/>
        <w:rPr>
          <w:rFonts w:ascii="Arial" w:hAnsi="Arial" w:cs="Arial"/>
          <w:b/>
          <w:color w:val="00000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The</w:t>
      </w:r>
      <w:r w:rsidRPr="0028108F">
        <w:rPr>
          <w:rFonts w:ascii="Arial" w:hAnsi="Arial" w:cs="Arial"/>
          <w:szCs w:val="24"/>
          <w:lang w:val="en-GB"/>
        </w:rPr>
        <w:t xml:space="preserve"> GRP is a constituent tribunal of HM Courts and Tribunal Service and consists of legal and medical members.</w:t>
      </w:r>
      <w:r w:rsidRPr="0028108F">
        <w:rPr>
          <w:rStyle w:val="FootnoteReference"/>
          <w:rFonts w:ascii="Arial" w:hAnsi="Arial" w:cs="Arial"/>
          <w:szCs w:val="24"/>
          <w:lang w:val="en-GB"/>
        </w:rPr>
        <w:footnoteReference w:id="202"/>
      </w:r>
    </w:p>
    <w:p w:rsidR="00DE5BD5" w:rsidRPr="0028108F" w:rsidRDefault="00DE5BD5" w:rsidP="00DE5BD5">
      <w:pPr>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The</w:t>
      </w:r>
      <w:r w:rsidRPr="0028108F">
        <w:rPr>
          <w:rFonts w:ascii="Arial" w:hAnsi="Arial" w:cs="Arial"/>
          <w:szCs w:val="24"/>
          <w:lang w:val="en-GB"/>
        </w:rPr>
        <w:t xml:space="preserve"> UK gender recognition system requires an applicant for gender recognition to submit specified evidence to the GRP.  The GRP would reach its decision based on the documentary evidence submitted.  The GRP meets at regular intervals throughout the year.</w:t>
      </w:r>
    </w:p>
    <w:p w:rsidR="00DE5BD5" w:rsidRPr="0028108F" w:rsidRDefault="00DE5BD5" w:rsidP="00DE5BD5">
      <w:pPr>
        <w:adjustRightInd w:val="0"/>
        <w:snapToGrid w:val="0"/>
        <w:jc w:val="both"/>
        <w:rPr>
          <w:rFonts w:ascii="Arial" w:hAnsi="Arial" w:cs="Arial"/>
          <w:b/>
          <w:color w:val="00000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The</w:t>
      </w:r>
      <w:r w:rsidRPr="0028108F">
        <w:rPr>
          <w:rFonts w:ascii="Arial" w:eastAsia="Times New Roman" w:hAnsi="Arial" w:cs="Arial"/>
          <w:kern w:val="0"/>
          <w:szCs w:val="24"/>
          <w:lang w:val="en-GB"/>
        </w:rPr>
        <w:t xml:space="preserve"> GRA envisages the setting up of the GRP (under s</w:t>
      </w:r>
      <w:r w:rsidRPr="0028108F">
        <w:rPr>
          <w:rFonts w:ascii="Arial" w:hAnsi="Arial" w:cs="Arial"/>
          <w:color w:val="000000"/>
          <w:kern w:val="0"/>
          <w:szCs w:val="24"/>
          <w:lang w:val="en-GB"/>
        </w:rPr>
        <w:t>ection</w:t>
      </w:r>
      <w:r w:rsidRPr="0028108F">
        <w:rPr>
          <w:rFonts w:ascii="Arial" w:eastAsia="Times New Roman" w:hAnsi="Arial" w:cs="Arial"/>
          <w:kern w:val="0"/>
          <w:szCs w:val="24"/>
          <w:lang w:val="en-GB"/>
        </w:rPr>
        <w:t>s 1(3) and 1(4) and Sch</w:t>
      </w:r>
      <w:r w:rsidRPr="0028108F">
        <w:rPr>
          <w:rFonts w:ascii="Arial" w:hAnsi="Arial" w:cs="Arial"/>
          <w:color w:val="000000"/>
          <w:kern w:val="0"/>
          <w:szCs w:val="24"/>
          <w:lang w:val="en-GB"/>
        </w:rPr>
        <w:t>edule</w:t>
      </w:r>
      <w:r w:rsidRPr="0028108F">
        <w:rPr>
          <w:rFonts w:ascii="Arial" w:eastAsia="Times New Roman" w:hAnsi="Arial" w:cs="Arial"/>
          <w:kern w:val="0"/>
          <w:szCs w:val="24"/>
          <w:lang w:val="en-GB"/>
        </w:rPr>
        <w:t xml:space="preserve"> 1) to perform a judicial function of adjudicating on whether recognition of an acquired gender is to be given upon application by a transsexual person and examining the portfolio of documentation submitted by the applicant.  </w:t>
      </w:r>
      <w:r w:rsidRPr="0028108F">
        <w:rPr>
          <w:rFonts w:ascii="Arial" w:hAnsi="Arial" w:cs="Arial"/>
          <w:color w:val="000000"/>
          <w:kern w:val="0"/>
          <w:szCs w:val="24"/>
          <w:lang w:val="en-GB"/>
        </w:rPr>
        <w:t xml:space="preserve">The GRP was placed with the responsibility of ensuring that the requirements of sections 2 and 3 of the GRA are complied with before an application is granted. </w:t>
      </w:r>
    </w:p>
    <w:p w:rsidR="00DE5BD5" w:rsidRPr="0028108F" w:rsidRDefault="00DE5BD5" w:rsidP="00DE5BD5">
      <w:pPr>
        <w:widowControl/>
        <w:tabs>
          <w:tab w:val="left" w:pos="1134"/>
        </w:tabs>
        <w:autoSpaceDE w:val="0"/>
        <w:autoSpaceDN w:val="0"/>
        <w:adjustRightInd w:val="0"/>
        <w:snapToGrid w:val="0"/>
        <w:ind w:left="1134"/>
        <w:jc w:val="both"/>
        <w:outlineLvl w:val="3"/>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Those</w:t>
      </w:r>
      <w:r w:rsidRPr="0028108F">
        <w:rPr>
          <w:rFonts w:ascii="Arial" w:hAnsi="Arial" w:cs="Arial"/>
          <w:szCs w:val="24"/>
          <w:lang w:val="en-GB"/>
        </w:rPr>
        <w:t xml:space="preserve"> eligible to sit on the GRP fall into two categories: legal and medical members whose eligibility criteria are prescribed under paragraph 1 of Schedule 1 of the GRA.  The President is given the power to determine the membership of the GRP within the requirements for the constitution under paragraphs 4 and 5 of Schedule 1 of the GRA.  In practice, the GRP consists of a judicial panel (made up of legal and medical members responsible for assessing applications) and an administrative team (supporting the judicial panel).  </w:t>
      </w:r>
    </w:p>
    <w:p w:rsidR="00DE5BD5" w:rsidRPr="0028108F" w:rsidRDefault="00DE5BD5" w:rsidP="00DE5BD5">
      <w:pPr>
        <w:widowControl/>
        <w:tabs>
          <w:tab w:val="left" w:pos="1134"/>
        </w:tabs>
        <w:autoSpaceDE w:val="0"/>
        <w:autoSpaceDN w:val="0"/>
        <w:adjustRightInd w:val="0"/>
        <w:snapToGrid w:val="0"/>
        <w:ind w:left="1134"/>
        <w:jc w:val="both"/>
        <w:outlineLvl w:val="3"/>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GRP is under the supervision of the Council on Tribunals which will keep the constitution and working of the GRP under review, and their comments on the administration of the GRP will be included in an annual report which is laid before Parliament by the Lord Chancellor, and before the Scottish Parliament by Scottish Ministers.</w:t>
      </w:r>
      <w:r w:rsidRPr="0028108F">
        <w:rPr>
          <w:rStyle w:val="FootnoteReference"/>
          <w:rFonts w:ascii="Arial" w:hAnsi="Arial" w:cs="Arial"/>
          <w:szCs w:val="24"/>
          <w:lang w:val="en-GB"/>
        </w:rPr>
        <w:footnoteReference w:id="203"/>
      </w:r>
    </w:p>
    <w:p w:rsidR="00DE5BD5" w:rsidRPr="0028108F" w:rsidRDefault="00DE5BD5" w:rsidP="00DE5BD5">
      <w:pPr>
        <w:pStyle w:val="ListParagraph"/>
        <w:adjustRightInd w:val="0"/>
        <w:snapToGrid w:val="0"/>
        <w:ind w:leftChars="0" w:left="564" w:hanging="564"/>
        <w:rPr>
          <w:rFonts w:ascii="Arial" w:hAnsi="Arial" w:cs="Arial"/>
          <w:szCs w:val="24"/>
          <w:lang w:val="en-GB"/>
        </w:rPr>
      </w:pPr>
    </w:p>
    <w:p w:rsidR="00DE5BD5" w:rsidRPr="0028108F" w:rsidRDefault="00DE5BD5" w:rsidP="00DE5BD5">
      <w:pPr>
        <w:tabs>
          <w:tab w:val="left" w:pos="1134"/>
        </w:tabs>
        <w:adjustRightInd w:val="0"/>
        <w:snapToGrid w:val="0"/>
        <w:jc w:val="both"/>
        <w:rPr>
          <w:rFonts w:ascii="Arial" w:hAnsi="Arial" w:cs="Arial"/>
          <w:b/>
          <w:i/>
          <w:szCs w:val="24"/>
          <w:lang w:val="en-GB"/>
        </w:rPr>
      </w:pPr>
      <w:r w:rsidRPr="0028108F">
        <w:rPr>
          <w:rFonts w:ascii="Arial" w:hAnsi="Arial" w:cs="Arial"/>
          <w:b/>
          <w:i/>
          <w:szCs w:val="24"/>
          <w:lang w:val="en-GB"/>
        </w:rPr>
        <w:t xml:space="preserve">Procedures for handling applications </w:t>
      </w:r>
    </w:p>
    <w:p w:rsidR="00DE5BD5" w:rsidRPr="0028108F" w:rsidRDefault="00DE5BD5" w:rsidP="00DE5BD5">
      <w:pPr>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An application under s</w:t>
      </w:r>
      <w:r w:rsidRPr="0028108F">
        <w:rPr>
          <w:rFonts w:ascii="Arial" w:hAnsi="Arial" w:cs="Arial"/>
          <w:color w:val="000000"/>
          <w:kern w:val="0"/>
          <w:szCs w:val="24"/>
          <w:lang w:val="en-GB"/>
        </w:rPr>
        <w:t>ection</w:t>
      </w:r>
      <w:r w:rsidRPr="0028108F">
        <w:rPr>
          <w:rFonts w:ascii="Arial" w:hAnsi="Arial" w:cs="Arial"/>
          <w:szCs w:val="24"/>
          <w:lang w:val="en-GB"/>
        </w:rPr>
        <w:t>s 1(1)(a) and 1(1)(b) of the GRA will undergo the following process stages:</w:t>
      </w:r>
      <w:r w:rsidRPr="0028108F">
        <w:rPr>
          <w:rStyle w:val="FootnoteReference"/>
          <w:rFonts w:ascii="Arial" w:eastAsia="Times New Roman" w:hAnsi="Arial" w:cs="Arial"/>
          <w:kern w:val="0"/>
          <w:szCs w:val="24"/>
          <w:lang w:val="en-GB"/>
        </w:rPr>
        <w:footnoteReference w:id="204"/>
      </w:r>
    </w:p>
    <w:p w:rsidR="00DE5BD5" w:rsidRPr="0028108F" w:rsidRDefault="00DE5BD5" w:rsidP="00DE5BD5">
      <w:pPr>
        <w:widowControl/>
        <w:tabs>
          <w:tab w:val="left" w:pos="1134"/>
        </w:tabs>
        <w:autoSpaceDE w:val="0"/>
        <w:autoSpaceDN w:val="0"/>
        <w:adjustRightInd w:val="0"/>
        <w:snapToGrid w:val="0"/>
        <w:ind w:left="1134"/>
        <w:jc w:val="both"/>
        <w:outlineLvl w:val="3"/>
        <w:rPr>
          <w:rFonts w:ascii="Arial" w:hAnsi="Arial" w:cs="Arial"/>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eastAsia="Times New Roman" w:hAnsi="Arial" w:cs="Arial"/>
          <w:kern w:val="0"/>
          <w:szCs w:val="24"/>
          <w:lang w:val="en-GB"/>
        </w:rPr>
        <w:t xml:space="preserve">On receipt of </w:t>
      </w:r>
      <w:r w:rsidRPr="0028108F">
        <w:rPr>
          <w:rFonts w:ascii="Arial" w:hAnsi="Arial" w:cs="Arial"/>
          <w:kern w:val="0"/>
          <w:szCs w:val="24"/>
          <w:lang w:val="en-GB"/>
        </w:rPr>
        <w:t>an</w:t>
      </w:r>
      <w:r w:rsidRPr="0028108F">
        <w:rPr>
          <w:rFonts w:ascii="Arial" w:eastAsia="Times New Roman" w:hAnsi="Arial" w:cs="Arial"/>
          <w:kern w:val="0"/>
          <w:szCs w:val="24"/>
          <w:lang w:val="en-GB"/>
        </w:rPr>
        <w:t xml:space="preserve"> application form with the prescribed statutory declaration and the requisite information and evidence, </w:t>
      </w:r>
      <w:r w:rsidRPr="0028108F">
        <w:rPr>
          <w:rFonts w:ascii="Arial" w:hAnsi="Arial" w:cs="Arial"/>
          <w:kern w:val="0"/>
          <w:szCs w:val="24"/>
          <w:lang w:val="en-GB"/>
        </w:rPr>
        <w:t>the administrative team</w:t>
      </w:r>
      <w:r w:rsidRPr="0028108F">
        <w:rPr>
          <w:rFonts w:ascii="Arial" w:eastAsia="Times New Roman" w:hAnsi="Arial" w:cs="Arial"/>
          <w:kern w:val="0"/>
          <w:szCs w:val="24"/>
          <w:lang w:val="en-GB"/>
        </w:rPr>
        <w:t xml:space="preserve"> of the GRP will send </w:t>
      </w:r>
      <w:r w:rsidRPr="0028108F">
        <w:rPr>
          <w:rFonts w:ascii="Arial" w:hAnsi="Arial" w:cs="Arial"/>
          <w:kern w:val="0"/>
          <w:szCs w:val="24"/>
          <w:lang w:val="en-GB"/>
        </w:rPr>
        <w:t>the applicant an acknowledgement and then take payment for the application after which a confirmation letter will be posted to the applicant within 5 days.  (The</w:t>
      </w:r>
      <w:r w:rsidRPr="0028108F">
        <w:rPr>
          <w:rFonts w:ascii="Arial" w:eastAsia="Times New Roman" w:hAnsi="Arial" w:cs="Arial"/>
          <w:kern w:val="0"/>
          <w:szCs w:val="24"/>
          <w:lang w:val="en-GB"/>
        </w:rPr>
        <w:t xml:space="preserve"> form, manner and fee to be paid for an application are to be specified by the Secretary of State (s</w:t>
      </w:r>
      <w:r w:rsidRPr="0028108F">
        <w:rPr>
          <w:rFonts w:ascii="Arial" w:hAnsi="Arial" w:cs="Arial"/>
          <w:color w:val="000000"/>
          <w:kern w:val="0"/>
          <w:szCs w:val="24"/>
          <w:lang w:val="en-GB"/>
        </w:rPr>
        <w:t>ection</w:t>
      </w:r>
      <w:r w:rsidRPr="0028108F">
        <w:rPr>
          <w:rFonts w:ascii="Arial" w:eastAsia="Times New Roman" w:hAnsi="Arial" w:cs="Arial"/>
          <w:kern w:val="0"/>
          <w:szCs w:val="24"/>
          <w:lang w:val="en-GB"/>
        </w:rPr>
        <w:t xml:space="preserve"> 7).</w:t>
      </w:r>
      <w:r w:rsidRPr="0028108F">
        <w:rPr>
          <w:rFonts w:ascii="Arial" w:hAnsi="Arial" w:cs="Arial"/>
          <w:kern w:val="0"/>
          <w:szCs w:val="24"/>
          <w:lang w:val="en-GB"/>
        </w:rPr>
        <w:t>)</w:t>
      </w:r>
    </w:p>
    <w:p w:rsidR="00DE5BD5" w:rsidRPr="0028108F" w:rsidRDefault="00DE5BD5" w:rsidP="00DE5BD5">
      <w:pPr>
        <w:widowControl/>
        <w:tabs>
          <w:tab w:val="left" w:pos="1985"/>
        </w:tabs>
        <w:adjustRightInd w:val="0"/>
        <w:snapToGrid w:val="0"/>
        <w:ind w:left="1985"/>
        <w:jc w:val="both"/>
        <w:rPr>
          <w:rFonts w:ascii="Arial" w:hAnsi="Arial" w:cs="Arial"/>
          <w:kern w:val="0"/>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 xml:space="preserve">The </w:t>
      </w:r>
      <w:r w:rsidRPr="0028108F">
        <w:rPr>
          <w:rFonts w:ascii="Arial" w:eastAsia="Times New Roman" w:hAnsi="Arial" w:cs="Arial"/>
          <w:kern w:val="0"/>
          <w:szCs w:val="24"/>
          <w:lang w:val="en-GB"/>
        </w:rPr>
        <w:t>administrative</w:t>
      </w:r>
      <w:r w:rsidRPr="0028108F">
        <w:rPr>
          <w:rFonts w:ascii="Arial" w:hAnsi="Arial" w:cs="Arial"/>
          <w:kern w:val="0"/>
          <w:szCs w:val="24"/>
          <w:lang w:val="en-GB"/>
        </w:rPr>
        <w:t xml:space="preserve"> team will examine and verify the application, </w:t>
      </w:r>
      <w:r w:rsidRPr="0028108F">
        <w:rPr>
          <w:rFonts w:ascii="Arial" w:eastAsia="Times New Roman" w:hAnsi="Arial" w:cs="Arial"/>
          <w:kern w:val="0"/>
          <w:szCs w:val="24"/>
          <w:lang w:val="en-GB"/>
        </w:rPr>
        <w:t>and</w:t>
      </w:r>
      <w:r w:rsidRPr="0028108F">
        <w:rPr>
          <w:rFonts w:ascii="Arial" w:hAnsi="Arial" w:cs="Arial"/>
          <w:kern w:val="0"/>
          <w:szCs w:val="24"/>
          <w:lang w:val="en-GB"/>
        </w:rPr>
        <w:t xml:space="preserve"> may write to ask for other information or evidence as they require.</w:t>
      </w:r>
    </w:p>
    <w:p w:rsidR="00DE5BD5" w:rsidRPr="0028108F" w:rsidRDefault="00DE5BD5" w:rsidP="00DE5BD5">
      <w:pPr>
        <w:widowControl/>
        <w:tabs>
          <w:tab w:val="left" w:pos="1985"/>
        </w:tabs>
        <w:adjustRightInd w:val="0"/>
        <w:snapToGrid w:val="0"/>
        <w:ind w:left="1985"/>
        <w:jc w:val="both"/>
        <w:rPr>
          <w:rFonts w:ascii="Arial" w:hAnsi="Arial" w:cs="Arial"/>
          <w:kern w:val="0"/>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 xml:space="preserve">Once </w:t>
      </w:r>
      <w:r w:rsidRPr="0028108F">
        <w:rPr>
          <w:rFonts w:ascii="Arial" w:eastAsia="Times New Roman" w:hAnsi="Arial" w:cs="Arial"/>
          <w:kern w:val="0"/>
          <w:szCs w:val="24"/>
          <w:lang w:val="en-GB"/>
        </w:rPr>
        <w:t>the</w:t>
      </w:r>
      <w:r w:rsidRPr="0028108F">
        <w:rPr>
          <w:rFonts w:ascii="Arial" w:hAnsi="Arial" w:cs="Arial"/>
          <w:kern w:val="0"/>
          <w:szCs w:val="24"/>
          <w:lang w:val="en-GB"/>
        </w:rPr>
        <w:t xml:space="preserve"> administrative team has collected all the evidence, the application will be passed to the judicial panel of the GRP.</w:t>
      </w:r>
    </w:p>
    <w:p w:rsidR="00DE5BD5" w:rsidRPr="0028108F" w:rsidRDefault="00DE5BD5" w:rsidP="00DE5BD5">
      <w:pPr>
        <w:pStyle w:val="ListParagraph"/>
        <w:adjustRightInd w:val="0"/>
        <w:snapToGrid w:val="0"/>
        <w:ind w:left="1044" w:hanging="564"/>
        <w:rPr>
          <w:rFonts w:ascii="Arial" w:hAnsi="Arial" w:cs="Arial"/>
          <w:kern w:val="0"/>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 xml:space="preserve">The judicial panel may issue </w:t>
      </w:r>
      <w:r w:rsidRPr="0028108F">
        <w:rPr>
          <w:rFonts w:ascii="Arial" w:hAnsi="Arial" w:cs="Arial"/>
          <w:i/>
          <w:kern w:val="0"/>
          <w:szCs w:val="24"/>
          <w:lang w:val="en-GB"/>
        </w:rPr>
        <w:t>“directions”</w:t>
      </w:r>
      <w:r w:rsidRPr="0028108F">
        <w:rPr>
          <w:rFonts w:ascii="Arial" w:hAnsi="Arial" w:cs="Arial"/>
          <w:kern w:val="0"/>
          <w:szCs w:val="24"/>
          <w:lang w:val="en-GB"/>
        </w:rPr>
        <w:t xml:space="preserve"> requesting further information or documents for the application.</w:t>
      </w:r>
      <w:r w:rsidRPr="0028108F">
        <w:rPr>
          <w:rFonts w:ascii="Arial" w:hAnsi="Arial" w:cs="Arial"/>
          <w:kern w:val="0"/>
          <w:szCs w:val="24"/>
          <w:vertAlign w:val="superscript"/>
          <w:lang w:val="en-GB"/>
        </w:rPr>
        <w:footnoteReference w:id="205"/>
      </w:r>
      <w:r w:rsidRPr="0028108F">
        <w:rPr>
          <w:rFonts w:ascii="Arial" w:hAnsi="Arial" w:cs="Arial"/>
          <w:kern w:val="0"/>
          <w:szCs w:val="24"/>
          <w:lang w:val="en-GB"/>
        </w:rPr>
        <w:t xml:space="preserve">  Only the judicial panel considering an </w:t>
      </w:r>
      <w:r w:rsidRPr="0028108F">
        <w:rPr>
          <w:rFonts w:ascii="Arial" w:eastAsia="Times New Roman" w:hAnsi="Arial" w:cs="Arial"/>
          <w:kern w:val="0"/>
          <w:szCs w:val="24"/>
          <w:lang w:val="en-GB"/>
        </w:rPr>
        <w:t>application</w:t>
      </w:r>
      <w:r w:rsidRPr="0028108F">
        <w:rPr>
          <w:rFonts w:ascii="Arial" w:hAnsi="Arial" w:cs="Arial"/>
          <w:kern w:val="0"/>
          <w:szCs w:val="24"/>
          <w:lang w:val="en-GB"/>
        </w:rPr>
        <w:t xml:space="preserve"> can decide what evidence is required in a particular case.</w:t>
      </w:r>
    </w:p>
    <w:p w:rsidR="00DE5BD5" w:rsidRPr="0028108F" w:rsidRDefault="00DE5BD5" w:rsidP="00DE5BD5">
      <w:pPr>
        <w:pStyle w:val="ListParagraph"/>
        <w:adjustRightInd w:val="0"/>
        <w:snapToGrid w:val="0"/>
        <w:ind w:left="1044" w:hanging="564"/>
        <w:rPr>
          <w:rFonts w:ascii="Arial" w:hAnsi="Arial" w:cs="Arial"/>
          <w:kern w:val="0"/>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 xml:space="preserve">The judicial panel will then decide whether the application is successful or not by taking a majority vote (the President has a casting vote in case of split </w:t>
      </w:r>
      <w:r w:rsidRPr="0028108F">
        <w:rPr>
          <w:rFonts w:ascii="Arial" w:eastAsia="Times New Roman" w:hAnsi="Arial" w:cs="Arial"/>
          <w:kern w:val="0"/>
          <w:szCs w:val="24"/>
          <w:lang w:val="en-GB"/>
        </w:rPr>
        <w:t>voting</w:t>
      </w:r>
      <w:r w:rsidRPr="0028108F">
        <w:rPr>
          <w:rFonts w:ascii="Arial" w:hAnsi="Arial" w:cs="Arial"/>
          <w:kern w:val="0"/>
          <w:szCs w:val="24"/>
          <w:lang w:val="en-GB"/>
        </w:rPr>
        <w:t>).  Save for exceptional circumstances, all applications will be decided on the papers in private and a hearing is not required (</w:t>
      </w:r>
      <w:r w:rsidRPr="0028108F">
        <w:rPr>
          <w:rFonts w:ascii="Arial" w:hAnsi="Arial" w:cs="Arial"/>
          <w:szCs w:val="24"/>
          <w:lang w:val="en-GB"/>
        </w:rPr>
        <w:t>GRA, Sch</w:t>
      </w:r>
      <w:r w:rsidRPr="0028108F">
        <w:rPr>
          <w:rFonts w:ascii="Arial" w:hAnsi="Arial" w:cs="Arial"/>
          <w:color w:val="000000"/>
          <w:kern w:val="0"/>
          <w:szCs w:val="24"/>
          <w:lang w:val="en-GB"/>
        </w:rPr>
        <w:t>edule</w:t>
      </w:r>
      <w:r w:rsidRPr="0028108F">
        <w:rPr>
          <w:rFonts w:ascii="Arial" w:hAnsi="Arial" w:cs="Arial"/>
          <w:szCs w:val="24"/>
          <w:lang w:val="en-GB"/>
        </w:rPr>
        <w:t xml:space="preserve"> 1, paragraph 6)</w:t>
      </w:r>
      <w:r w:rsidRPr="0028108F">
        <w:rPr>
          <w:rFonts w:ascii="Arial" w:hAnsi="Arial" w:cs="Arial"/>
          <w:kern w:val="0"/>
          <w:szCs w:val="24"/>
          <w:lang w:val="en-GB"/>
        </w:rPr>
        <w:t xml:space="preserve">. </w:t>
      </w:r>
    </w:p>
    <w:p w:rsidR="00DE5BD5" w:rsidRPr="0028108F" w:rsidRDefault="00DE5BD5" w:rsidP="00DE5BD5">
      <w:pPr>
        <w:pStyle w:val="ListParagraph"/>
        <w:adjustRightInd w:val="0"/>
        <w:snapToGrid w:val="0"/>
        <w:ind w:left="1044" w:hanging="564"/>
        <w:rPr>
          <w:rFonts w:ascii="Arial" w:hAnsi="Arial" w:cs="Arial"/>
          <w:kern w:val="0"/>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For an unsuccessful application, the administrative team will write to inform the applicant of the reasons for the objection.  For a successful application, the administrative team will inform the Registrar General’s Office and the Inland Revenue and send a full or interim GRC to the applicant.</w:t>
      </w:r>
    </w:p>
    <w:p w:rsidR="00DE5BD5" w:rsidRPr="0028108F" w:rsidRDefault="00DE5BD5" w:rsidP="00DE5BD5">
      <w:pPr>
        <w:pStyle w:val="ListParagraph"/>
        <w:adjustRightInd w:val="0"/>
        <w:snapToGrid w:val="0"/>
        <w:ind w:left="1044" w:hanging="564"/>
        <w:rPr>
          <w:rFonts w:ascii="Arial" w:hAnsi="Arial" w:cs="Arial"/>
          <w:kern w:val="0"/>
          <w:szCs w:val="24"/>
          <w:lang w:val="en-GB"/>
        </w:rPr>
      </w:pPr>
    </w:p>
    <w:p w:rsidR="00DE5BD5" w:rsidRPr="0028108F" w:rsidRDefault="00DE5BD5" w:rsidP="00DE5BD5">
      <w:pPr>
        <w:widowControl/>
        <w:numPr>
          <w:ilvl w:val="0"/>
          <w:numId w:val="10"/>
        </w:numPr>
        <w:tabs>
          <w:tab w:val="left" w:pos="1418"/>
        </w:tabs>
        <w:adjustRightInd w:val="0"/>
        <w:snapToGrid w:val="0"/>
        <w:ind w:left="1418" w:hanging="567"/>
        <w:jc w:val="both"/>
        <w:rPr>
          <w:rFonts w:ascii="Arial" w:hAnsi="Arial" w:cs="Arial"/>
          <w:kern w:val="0"/>
          <w:szCs w:val="24"/>
          <w:lang w:val="en-GB"/>
        </w:rPr>
      </w:pPr>
      <w:r w:rsidRPr="0028108F">
        <w:rPr>
          <w:rFonts w:ascii="Arial" w:hAnsi="Arial" w:cs="Arial"/>
          <w:kern w:val="0"/>
          <w:szCs w:val="24"/>
          <w:lang w:val="en-GB"/>
        </w:rPr>
        <w:t>On receipt of a full GRC, the Registrar General will send the successful applicant a draft of the information to be recorded in the GRR, and upon confirmation of the correctness of the information therein a new record will be created in the GRR and a free short birth certificate will be sent to the applicant together with any additional full birth certificates having been purchased.</w:t>
      </w:r>
    </w:p>
    <w:p w:rsidR="00DE5BD5" w:rsidRPr="0028108F" w:rsidRDefault="00DE5BD5" w:rsidP="00DE5BD5">
      <w:pPr>
        <w:adjustRightInd w:val="0"/>
        <w:snapToGrid w:val="0"/>
        <w:jc w:val="both"/>
        <w:rPr>
          <w:rFonts w:ascii="Arial" w:hAnsi="Arial" w:cs="Arial"/>
          <w:b/>
          <w:i/>
          <w:szCs w:val="24"/>
          <w:lang w:val="en-GB"/>
        </w:rPr>
      </w:pPr>
    </w:p>
    <w:p w:rsidR="00DE5BD5" w:rsidRPr="0028108F" w:rsidRDefault="00DE5BD5" w:rsidP="00DE5BD5">
      <w:pPr>
        <w:tabs>
          <w:tab w:val="left" w:pos="1134"/>
        </w:tabs>
        <w:adjustRightInd w:val="0"/>
        <w:snapToGrid w:val="0"/>
        <w:jc w:val="both"/>
        <w:rPr>
          <w:rFonts w:ascii="Arial" w:hAnsi="Arial" w:cs="Arial"/>
          <w:b/>
          <w:i/>
          <w:color w:val="000000"/>
          <w:kern w:val="0"/>
          <w:szCs w:val="24"/>
          <w:lang w:val="en-GB"/>
        </w:rPr>
      </w:pPr>
      <w:r w:rsidRPr="0028108F">
        <w:rPr>
          <w:rFonts w:ascii="Arial" w:hAnsi="Arial" w:cs="Arial"/>
          <w:b/>
          <w:i/>
          <w:color w:val="000000"/>
          <w:kern w:val="0"/>
          <w:szCs w:val="24"/>
          <w:lang w:val="en-GB"/>
        </w:rPr>
        <w:lastRenderedPageBreak/>
        <w:t xml:space="preserve">Evidence required for gender recognition </w:t>
      </w:r>
    </w:p>
    <w:p w:rsidR="00DE5BD5" w:rsidRPr="0028108F" w:rsidRDefault="00DE5BD5" w:rsidP="00DE5BD5">
      <w:pPr>
        <w:tabs>
          <w:tab w:val="left" w:pos="1134"/>
        </w:tabs>
        <w:adjustRightInd w:val="0"/>
        <w:snapToGrid w:val="0"/>
        <w:jc w:val="both"/>
        <w:rPr>
          <w:rFonts w:ascii="Arial" w:hAnsi="Arial" w:cs="Arial"/>
          <w:b/>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b/>
          <w:color w:val="000000"/>
          <w:kern w:val="0"/>
          <w:szCs w:val="24"/>
          <w:lang w:val="en-GB"/>
        </w:rPr>
      </w:pPr>
      <w:r w:rsidRPr="0028108F">
        <w:rPr>
          <w:rFonts w:ascii="Arial" w:hAnsi="Arial" w:cs="Arial"/>
          <w:color w:val="000000"/>
          <w:kern w:val="0"/>
          <w:szCs w:val="24"/>
          <w:lang w:val="en-GB"/>
        </w:rPr>
        <w:t>Sections 3(2) and 3(3) of the GRA require the applicant to provide two reports in support of the application under section 1(1)(a).</w:t>
      </w:r>
      <w:r w:rsidRPr="0028108F">
        <w:rPr>
          <w:rStyle w:val="FootnoteReference"/>
          <w:rFonts w:ascii="Arial" w:hAnsi="Arial" w:cs="Arial"/>
          <w:color w:val="000000"/>
          <w:kern w:val="0"/>
          <w:szCs w:val="24"/>
          <w:lang w:val="en-GB"/>
        </w:rPr>
        <w:footnoteReference w:id="206"/>
      </w:r>
      <w:r w:rsidRPr="0028108F">
        <w:rPr>
          <w:rFonts w:ascii="Arial" w:hAnsi="Arial" w:cs="Arial"/>
          <w:color w:val="000000"/>
          <w:kern w:val="0"/>
          <w:szCs w:val="24"/>
          <w:lang w:val="en-GB"/>
        </w:rPr>
        <w:t xml:space="preserve">  Whereas details of the diagnosis of gender dysphoria should be included in the report of the medical practitioner or psychologist practising the field of gender dysphoria, details of treatment undergone, prescribed or planned may be provided in either of the two reports.  Questions arise on how comprehensive are the details required by the GRP.  Judge Michael Harris, current President of the GRP, has commented that it would be impossible to set out precisely what should be required in all cases as each will have its own individual facts and the detail which might he sufficient in one case may be inadequate in another.  In the main, what the GRP needs is sufficient detail to satisfy itself that the doctor’s diagnosis is soundly based and that the treatment received or planned is consistent with and supports that diagnosis.</w:t>
      </w:r>
      <w:r w:rsidRPr="0028108F">
        <w:rPr>
          <w:rStyle w:val="FootnoteReference"/>
          <w:rFonts w:ascii="Arial" w:hAnsi="Arial" w:cs="Arial"/>
          <w:color w:val="000000"/>
          <w:kern w:val="0"/>
          <w:szCs w:val="24"/>
          <w:lang w:val="en-GB"/>
        </w:rPr>
        <w:footnoteReference w:id="207"/>
      </w:r>
      <w:r w:rsidRPr="0028108F">
        <w:rPr>
          <w:rFonts w:ascii="Arial" w:hAnsi="Arial" w:cs="Arial"/>
          <w:szCs w:val="24"/>
          <w:lang w:val="en-GB"/>
        </w:rPr>
        <w:t xml:space="preserve"> </w:t>
      </w:r>
    </w:p>
    <w:p w:rsidR="00DE5BD5" w:rsidRPr="0028108F" w:rsidRDefault="00DE5BD5" w:rsidP="00DE5BD5">
      <w:pPr>
        <w:tabs>
          <w:tab w:val="left" w:pos="1134"/>
        </w:tabs>
        <w:adjustRightInd w:val="0"/>
        <w:snapToGrid w:val="0"/>
        <w:ind w:left="1134"/>
        <w:jc w:val="both"/>
        <w:rPr>
          <w:rFonts w:ascii="Arial" w:hAnsi="Arial" w:cs="Arial"/>
          <w:b/>
          <w:color w:val="000000"/>
          <w:kern w:val="0"/>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Judge Michael Harris further observed that the detail required should normally be no greater than can be set out in the space provided in the medical report pro forma, including:</w:t>
      </w:r>
      <w:r w:rsidRPr="0028108F">
        <w:rPr>
          <w:rStyle w:val="FootnoteReference"/>
          <w:rFonts w:ascii="Arial" w:hAnsi="Arial" w:cs="Arial"/>
          <w:color w:val="000000"/>
          <w:kern w:val="0"/>
          <w:szCs w:val="24"/>
          <w:lang w:val="en-GB"/>
        </w:rPr>
        <w:footnoteReference w:id="208"/>
      </w:r>
    </w:p>
    <w:p w:rsidR="00DE5BD5" w:rsidRPr="0028108F" w:rsidRDefault="00DE5BD5" w:rsidP="00DE5BD5">
      <w:pPr>
        <w:widowControl/>
        <w:tabs>
          <w:tab w:val="left" w:pos="1985"/>
        </w:tabs>
        <w:adjustRightInd w:val="0"/>
        <w:snapToGrid w:val="0"/>
        <w:ind w:left="1985"/>
        <w:jc w:val="both"/>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the diagnosis;</w:t>
      </w:r>
    </w:p>
    <w:p w:rsidR="00DE5BD5" w:rsidRPr="0028108F" w:rsidRDefault="00DE5BD5" w:rsidP="00DE5BD5">
      <w:pPr>
        <w:widowControl/>
        <w:tabs>
          <w:tab w:val="left" w:pos="1985"/>
        </w:tabs>
        <w:adjustRightInd w:val="0"/>
        <w:snapToGrid w:val="0"/>
        <w:ind w:left="1985"/>
        <w:jc w:val="both"/>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details of when and by whom the diagnosis was made;</w:t>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 xml:space="preserve">the principal evidence relied on in making the diagnosis; </w:t>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details of the non-surgical (</w:t>
      </w:r>
      <w:r w:rsidR="00D6311F" w:rsidRPr="0028108F">
        <w:rPr>
          <w:rFonts w:ascii="Arial" w:hAnsi="Arial" w:cs="Arial"/>
          <w:color w:val="000000"/>
          <w:kern w:val="0"/>
          <w:szCs w:val="24"/>
          <w:lang w:val="en-GB"/>
        </w:rPr>
        <w:t>eg</w:t>
      </w:r>
      <w:r w:rsidRPr="0028108F">
        <w:rPr>
          <w:rFonts w:ascii="Arial" w:hAnsi="Arial" w:cs="Arial"/>
          <w:color w:val="000000"/>
          <w:kern w:val="0"/>
          <w:szCs w:val="24"/>
          <w:lang w:val="en-GB"/>
        </w:rPr>
        <w:t>, hormonal) treatment to-date (giving details of medications prescribed, with dates) and an indication of treatment planned;</w:t>
      </w:r>
      <w:r w:rsidRPr="0028108F">
        <w:rPr>
          <w:rStyle w:val="FootnoteReference"/>
          <w:rFonts w:ascii="Arial" w:hAnsi="Arial" w:cs="Arial"/>
          <w:color w:val="000000"/>
          <w:kern w:val="0"/>
          <w:szCs w:val="24"/>
          <w:lang w:val="en-GB"/>
        </w:rPr>
        <w:footnoteReference w:id="209"/>
      </w:r>
      <w:r w:rsidRPr="0028108F">
        <w:rPr>
          <w:rFonts w:ascii="Arial" w:hAnsi="Arial" w:cs="Arial"/>
          <w:color w:val="000000"/>
          <w:kern w:val="0"/>
          <w:szCs w:val="24"/>
          <w:lang w:val="en-GB"/>
        </w:rPr>
        <w:t xml:space="preserve"> </w:t>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date of referral for surgery, or, if no referral, the reasons for non-referral;</w:t>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details of the surgical procedures which have been carried out and their dates, together with any surgery planned and reference made to each individual procedure; and</w:t>
      </w:r>
    </w:p>
    <w:p w:rsidR="00DE5BD5" w:rsidRPr="0028108F" w:rsidRDefault="00DE5BD5" w:rsidP="00DE5BD5">
      <w:pPr>
        <w:pStyle w:val="ListParagraph"/>
        <w:adjustRightInd w:val="0"/>
        <w:snapToGrid w:val="0"/>
        <w:ind w:left="1044" w:hanging="564"/>
        <w:rPr>
          <w:rFonts w:ascii="Arial" w:hAnsi="Arial" w:cs="Arial"/>
          <w:color w:val="000000"/>
          <w:kern w:val="0"/>
          <w:szCs w:val="24"/>
          <w:lang w:val="en-GB"/>
        </w:rPr>
      </w:pPr>
    </w:p>
    <w:p w:rsidR="00DE5BD5" w:rsidRPr="0028108F" w:rsidRDefault="00DE5BD5" w:rsidP="00DE5BD5">
      <w:pPr>
        <w:widowControl/>
        <w:numPr>
          <w:ilvl w:val="0"/>
          <w:numId w:val="12"/>
        </w:numPr>
        <w:tabs>
          <w:tab w:val="left" w:pos="1418"/>
        </w:tabs>
        <w:adjustRightInd w:val="0"/>
        <w:snapToGrid w:val="0"/>
        <w:ind w:left="1418" w:hanging="567"/>
        <w:jc w:val="both"/>
        <w:rPr>
          <w:rFonts w:ascii="Arial" w:hAnsi="Arial" w:cs="Arial"/>
          <w:color w:val="000000"/>
          <w:kern w:val="0"/>
          <w:szCs w:val="24"/>
          <w:lang w:val="en-GB"/>
        </w:rPr>
      </w:pPr>
      <w:r w:rsidRPr="0028108F">
        <w:rPr>
          <w:rFonts w:ascii="Arial" w:hAnsi="Arial" w:cs="Arial"/>
          <w:color w:val="000000"/>
          <w:kern w:val="0"/>
          <w:szCs w:val="24"/>
          <w:lang w:val="en-GB"/>
        </w:rPr>
        <w:t>if the report is prepared by a registered medical practitioner or by a registered psychologist who did not make the initial diagnosis of gender dysphoria, a confirmation of the diagnosis and the basis upon which that confirmation is made prepared by the person writing the report.</w:t>
      </w:r>
    </w:p>
    <w:p w:rsidR="00DE5BD5" w:rsidRDefault="00DE5BD5" w:rsidP="00DE5BD5">
      <w:pPr>
        <w:autoSpaceDE w:val="0"/>
        <w:autoSpaceDN w:val="0"/>
        <w:adjustRightInd w:val="0"/>
        <w:snapToGrid w:val="0"/>
        <w:jc w:val="both"/>
        <w:rPr>
          <w:rFonts w:ascii="Arial" w:hAnsi="Arial" w:cs="Arial"/>
          <w:color w:val="000000"/>
          <w:kern w:val="0"/>
          <w:szCs w:val="24"/>
          <w:lang w:val="en-GB"/>
        </w:rPr>
      </w:pPr>
    </w:p>
    <w:p w:rsidR="00722858" w:rsidRPr="0028108F" w:rsidRDefault="00722858" w:rsidP="00DE5BD5">
      <w:pPr>
        <w:autoSpaceDE w:val="0"/>
        <w:autoSpaceDN w:val="0"/>
        <w:adjustRightInd w:val="0"/>
        <w:snapToGrid w:val="0"/>
        <w:jc w:val="both"/>
        <w:rPr>
          <w:rFonts w:ascii="Arial" w:hAnsi="Arial" w:cs="Arial"/>
          <w:color w:val="000000"/>
          <w:kern w:val="0"/>
          <w:szCs w:val="24"/>
          <w:lang w:val="en-GB"/>
        </w:rPr>
      </w:pPr>
    </w:p>
    <w:p w:rsidR="00DE5BD5" w:rsidRPr="0028108F" w:rsidRDefault="00DE5BD5" w:rsidP="00DE5BD5">
      <w:pPr>
        <w:adjustRightInd w:val="0"/>
        <w:snapToGrid w:val="0"/>
        <w:jc w:val="both"/>
        <w:rPr>
          <w:rFonts w:ascii="Arial" w:hAnsi="Arial" w:cs="Arial"/>
          <w:b/>
          <w:sz w:val="28"/>
          <w:szCs w:val="24"/>
          <w:lang w:val="en-GB"/>
        </w:rPr>
      </w:pPr>
      <w:r w:rsidRPr="0028108F">
        <w:rPr>
          <w:rFonts w:ascii="Arial" w:hAnsi="Arial" w:cs="Arial"/>
          <w:b/>
          <w:sz w:val="28"/>
          <w:szCs w:val="24"/>
          <w:lang w:val="en-GB"/>
        </w:rPr>
        <w:t>Subsequent findings on the application process and evidential requirements for gender recognition</w:t>
      </w:r>
    </w:p>
    <w:p w:rsidR="0065537A" w:rsidRPr="0028108F" w:rsidRDefault="0065537A" w:rsidP="00DE5BD5">
      <w:pPr>
        <w:adjustRightInd w:val="0"/>
        <w:snapToGrid w:val="0"/>
        <w:jc w:val="both"/>
        <w:rPr>
          <w:rFonts w:ascii="Arial" w:hAnsi="Arial" w:cs="Arial"/>
          <w:color w:val="000000"/>
          <w:kern w:val="0"/>
          <w:szCs w:val="24"/>
          <w:lang w:val="en-GB"/>
        </w:rPr>
      </w:pPr>
    </w:p>
    <w:p w:rsidR="00DE5BD5" w:rsidRPr="0028108F" w:rsidRDefault="00DE5BD5" w:rsidP="00DE5BD5">
      <w:pPr>
        <w:tabs>
          <w:tab w:val="left" w:pos="1134"/>
        </w:tabs>
        <w:adjustRightInd w:val="0"/>
        <w:snapToGrid w:val="0"/>
        <w:jc w:val="both"/>
        <w:rPr>
          <w:rFonts w:ascii="Arial" w:hAnsi="Arial" w:cs="Arial"/>
          <w:b/>
          <w:i/>
          <w:color w:val="000000"/>
          <w:kern w:val="0"/>
          <w:szCs w:val="24"/>
          <w:lang w:val="en-GB"/>
        </w:rPr>
      </w:pPr>
      <w:r w:rsidRPr="0028108F">
        <w:rPr>
          <w:rFonts w:ascii="Arial" w:hAnsi="Arial" w:cs="Arial"/>
          <w:b/>
          <w:i/>
          <w:color w:val="000000"/>
          <w:kern w:val="0"/>
          <w:szCs w:val="24"/>
          <w:lang w:val="en-GB"/>
        </w:rPr>
        <w:t>Effectiveness of the application process</w:t>
      </w:r>
    </w:p>
    <w:p w:rsidR="00DE5BD5" w:rsidRPr="0028108F" w:rsidRDefault="00DE5BD5" w:rsidP="00DE5BD5">
      <w:pPr>
        <w:tabs>
          <w:tab w:val="left" w:pos="1134"/>
        </w:tabs>
        <w:adjustRightInd w:val="0"/>
        <w:snapToGrid w:val="0"/>
        <w:jc w:val="both"/>
        <w:rPr>
          <w:rFonts w:ascii="Arial" w:hAnsi="Arial" w:cs="Arial"/>
          <w:i/>
          <w:color w:val="000000"/>
          <w:kern w:val="0"/>
          <w:szCs w:val="24"/>
          <w:lang w:val="en-GB"/>
        </w:rPr>
      </w:pPr>
    </w:p>
    <w:p w:rsidR="00DE5BD5"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color w:val="000000"/>
          <w:kern w:val="0"/>
          <w:szCs w:val="24"/>
          <w:lang w:val="en-GB"/>
        </w:rPr>
        <w:t>It was anticipated that, following the introduction of the GRA, an initial rush of applicants would have been received from people who had made the transition many years earlier.  However, this rush of applications did not materialise.  The</w:t>
      </w:r>
      <w:r w:rsidRPr="0028108F">
        <w:rPr>
          <w:rFonts w:ascii="Arial" w:hAnsi="Arial" w:cs="Arial"/>
          <w:szCs w:val="24"/>
          <w:lang w:val="en-GB"/>
        </w:rPr>
        <w:t xml:space="preserve"> official statistics on GRCs applied for and granted by GRP and the </w:t>
      </w:r>
      <w:r w:rsidR="006B78C8">
        <w:rPr>
          <w:rFonts w:ascii="Arial" w:hAnsi="Arial" w:cs="Arial" w:hint="eastAsia"/>
          <w:szCs w:val="24"/>
          <w:lang w:val="en-GB"/>
        </w:rPr>
        <w:t>c</w:t>
      </w:r>
      <w:r w:rsidR="006B78C8" w:rsidRPr="0028108F">
        <w:rPr>
          <w:rFonts w:ascii="Arial" w:hAnsi="Arial" w:cs="Arial"/>
          <w:szCs w:val="24"/>
          <w:lang w:val="en-GB"/>
        </w:rPr>
        <w:t xml:space="preserve">ourts </w:t>
      </w:r>
      <w:r w:rsidRPr="0028108F">
        <w:rPr>
          <w:rFonts w:ascii="Arial" w:hAnsi="Arial" w:cs="Arial"/>
          <w:szCs w:val="24"/>
          <w:lang w:val="en-GB"/>
        </w:rPr>
        <w:t>are as follows (updated as at September 2014).</w:t>
      </w:r>
      <w:r w:rsidRPr="008813DE">
        <w:rPr>
          <w:rStyle w:val="FootnoteReference"/>
          <w:rFonts w:ascii="Arial" w:hAnsi="Arial" w:cs="Arial"/>
          <w:szCs w:val="24"/>
          <w:lang w:val="en-GB"/>
        </w:rPr>
        <w:footnoteReference w:id="210"/>
      </w:r>
      <w:r w:rsidRPr="0028108F">
        <w:rPr>
          <w:rFonts w:ascii="Arial" w:hAnsi="Arial" w:cs="Arial"/>
          <w:szCs w:val="24"/>
          <w:lang w:val="en-GB"/>
        </w:rPr>
        <w:t xml:space="preserve"> </w:t>
      </w:r>
    </w:p>
    <w:p w:rsidR="00D130C9" w:rsidRPr="0028108F" w:rsidRDefault="00D130C9" w:rsidP="00D130C9">
      <w:pPr>
        <w:widowControl/>
        <w:tabs>
          <w:tab w:val="left" w:pos="1418"/>
        </w:tabs>
        <w:adjustRightInd w:val="0"/>
        <w:snapToGrid w:val="0"/>
        <w:jc w:val="both"/>
        <w:rPr>
          <w:rFonts w:ascii="Arial" w:hAnsi="Arial" w:cs="Arial"/>
          <w:szCs w:val="24"/>
          <w:lang w:val="en-GB"/>
        </w:rPr>
      </w:pPr>
    </w:p>
    <w:tbl>
      <w:tblPr>
        <w:tblW w:w="843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065"/>
        <w:gridCol w:w="1275"/>
        <w:gridCol w:w="1276"/>
        <w:gridCol w:w="1134"/>
        <w:gridCol w:w="1134"/>
        <w:gridCol w:w="1276"/>
        <w:gridCol w:w="1276"/>
      </w:tblGrid>
      <w:tr w:rsidR="00DE5BD5" w:rsidRPr="0028108F" w:rsidTr="00DE5BD5">
        <w:trPr>
          <w:trHeight w:val="375"/>
        </w:trPr>
        <w:tc>
          <w:tcPr>
            <w:tcW w:w="1065" w:type="dxa"/>
            <w:vMerge w:val="restart"/>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b/>
                <w:bCs/>
                <w:kern w:val="0"/>
                <w:sz w:val="20"/>
                <w:szCs w:val="20"/>
                <w:lang w:val="en-GB"/>
              </w:rPr>
            </w:pPr>
            <w:r w:rsidRPr="0028108F">
              <w:rPr>
                <w:rFonts w:ascii="Arial" w:eastAsia="Times New Roman" w:hAnsi="Arial" w:cs="Arial"/>
                <w:b/>
                <w:bCs/>
                <w:kern w:val="0"/>
                <w:sz w:val="20"/>
                <w:szCs w:val="20"/>
                <w:lang w:val="en-GB"/>
              </w:rPr>
              <w:t>Time period</w:t>
            </w:r>
          </w:p>
        </w:tc>
        <w:tc>
          <w:tcPr>
            <w:tcW w:w="7371" w:type="dxa"/>
            <w:gridSpan w:val="6"/>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b/>
                <w:bCs/>
                <w:kern w:val="0"/>
                <w:sz w:val="20"/>
                <w:szCs w:val="20"/>
                <w:lang w:val="en-GB"/>
              </w:rPr>
            </w:pPr>
            <w:r w:rsidRPr="0028108F">
              <w:rPr>
                <w:rFonts w:ascii="Arial" w:eastAsia="Times New Roman" w:hAnsi="Arial" w:cs="Arial"/>
                <w:b/>
                <w:bCs/>
                <w:kern w:val="0"/>
                <w:sz w:val="20"/>
                <w:szCs w:val="20"/>
                <w:lang w:val="en-GB"/>
              </w:rPr>
              <w:t>Outcome of Applications dealt with</w:t>
            </w:r>
          </w:p>
        </w:tc>
      </w:tr>
      <w:tr w:rsidR="00DE5BD5" w:rsidRPr="0028108F" w:rsidTr="00DE5BD5">
        <w:trPr>
          <w:trHeight w:val="855"/>
        </w:trPr>
        <w:tc>
          <w:tcPr>
            <w:tcW w:w="1065" w:type="dxa"/>
            <w:vMerge/>
            <w:vAlign w:val="center"/>
            <w:hideMark/>
          </w:tcPr>
          <w:p w:rsidR="00DE5BD5" w:rsidRPr="0028108F" w:rsidRDefault="00DE5BD5" w:rsidP="00DE5BD5">
            <w:pPr>
              <w:widowControl/>
              <w:adjustRightInd w:val="0"/>
              <w:snapToGrid w:val="0"/>
              <w:jc w:val="center"/>
              <w:rPr>
                <w:rFonts w:ascii="Arial" w:eastAsia="Times New Roman" w:hAnsi="Arial" w:cs="Arial"/>
                <w:b/>
                <w:bCs/>
                <w:kern w:val="0"/>
                <w:sz w:val="20"/>
                <w:szCs w:val="20"/>
                <w:lang w:val="en-GB"/>
              </w:rPr>
            </w:pPr>
          </w:p>
        </w:tc>
        <w:tc>
          <w:tcPr>
            <w:tcW w:w="1275" w:type="dxa"/>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bCs/>
                <w:kern w:val="0"/>
                <w:sz w:val="20"/>
                <w:szCs w:val="20"/>
                <w:lang w:val="en-GB"/>
              </w:rPr>
            </w:pPr>
            <w:r w:rsidRPr="0028108F">
              <w:rPr>
                <w:rFonts w:ascii="Arial" w:eastAsia="Times New Roman" w:hAnsi="Arial" w:cs="Arial"/>
                <w:bCs/>
                <w:kern w:val="0"/>
                <w:sz w:val="20"/>
                <w:szCs w:val="20"/>
                <w:lang w:val="en-GB"/>
              </w:rPr>
              <w:t>Applications received by the GRP</w:t>
            </w:r>
          </w:p>
        </w:tc>
        <w:tc>
          <w:tcPr>
            <w:tcW w:w="1276" w:type="dxa"/>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Total applications dealt with</w:t>
            </w:r>
          </w:p>
        </w:tc>
        <w:tc>
          <w:tcPr>
            <w:tcW w:w="1134" w:type="dxa"/>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Full GRC granted by the GRP</w:t>
            </w:r>
          </w:p>
        </w:tc>
        <w:tc>
          <w:tcPr>
            <w:tcW w:w="1134" w:type="dxa"/>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Interim GRC granted</w:t>
            </w:r>
          </w:p>
        </w:tc>
        <w:tc>
          <w:tcPr>
            <w:tcW w:w="1276" w:type="dxa"/>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Application refused or no fee paid</w:t>
            </w:r>
          </w:p>
        </w:tc>
        <w:tc>
          <w:tcPr>
            <w:tcW w:w="1276" w:type="dxa"/>
            <w:shd w:val="clear" w:color="auto" w:fill="auto"/>
            <w:vAlign w:val="center"/>
            <w:hideMark/>
          </w:tcPr>
          <w:p w:rsidR="00DE5BD5" w:rsidRPr="0028108F" w:rsidRDefault="00DE5BD5" w:rsidP="00DE5BD5">
            <w:pPr>
              <w:widowControl/>
              <w:adjustRightInd w:val="0"/>
              <w:snapToGrid w:val="0"/>
              <w:jc w:val="center"/>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Application withdrawn</w:t>
            </w:r>
          </w:p>
        </w:tc>
      </w:tr>
      <w:tr w:rsidR="00DE5BD5" w:rsidRPr="0028108F" w:rsidTr="00DE5BD5">
        <w:trPr>
          <w:trHeight w:val="255"/>
        </w:trPr>
        <w:tc>
          <w:tcPr>
            <w:tcW w:w="1065"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2004/05</w:t>
            </w:r>
            <w:r w:rsidRPr="00C57CE1">
              <w:rPr>
                <w:rFonts w:ascii="Arial" w:eastAsia="Times New Roman" w:hAnsi="Arial" w:cs="Arial"/>
                <w:kern w:val="0"/>
                <w:sz w:val="20"/>
                <w:szCs w:val="20"/>
                <w:vertAlign w:val="superscript"/>
                <w:lang w:val="en-GB"/>
              </w:rPr>
              <w:t>1</w:t>
            </w:r>
          </w:p>
        </w:tc>
        <w:tc>
          <w:tcPr>
            <w:tcW w:w="1275"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395</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0</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0</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0</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0</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0</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2005/06</w:t>
            </w:r>
          </w:p>
        </w:tc>
        <w:tc>
          <w:tcPr>
            <w:tcW w:w="1275"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1</w:t>
            </w:r>
            <w:r w:rsidRPr="0028108F">
              <w:rPr>
                <w:rFonts w:ascii="Arial" w:eastAsia="Times New Roman" w:hAnsi="Arial" w:cs="Arial"/>
                <w:kern w:val="0"/>
                <w:sz w:val="20"/>
                <w:szCs w:val="20"/>
                <w:lang w:val="en-GB"/>
              </w:rPr>
              <w:t>,007</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1,253</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1,181</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33</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21</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18</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2006/07</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693</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588</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532</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22</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23</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11</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2007/08</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294</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448</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392</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24</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27</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5</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2008/09</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278</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274</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241</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25</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8</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0</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2009/10</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286</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273</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239</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16</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15</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2010/11</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303</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316</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260</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16</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28</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12</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2011/12</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320</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309</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263</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13</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23</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10</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t>2012/13</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301</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277</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236</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9</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15</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17</w:t>
            </w:r>
          </w:p>
        </w:tc>
      </w:tr>
      <w:tr w:rsidR="00DE5BD5" w:rsidRPr="0028108F" w:rsidTr="00DE5BD5">
        <w:trPr>
          <w:trHeight w:val="255"/>
        </w:trPr>
        <w:tc>
          <w:tcPr>
            <w:tcW w:w="1065" w:type="dxa"/>
            <w:shd w:val="clear" w:color="auto" w:fill="auto"/>
            <w:noWrap/>
            <w:vAlign w:val="bottom"/>
            <w:hideMark/>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kern w:val="0"/>
                <w:sz w:val="20"/>
                <w:szCs w:val="20"/>
                <w:lang w:val="en-GB"/>
              </w:rPr>
            </w:pPr>
            <w:r w:rsidRPr="00181CF2">
              <w:rPr>
                <w:rFonts w:ascii="Arial" w:eastAsia="Times New Roman" w:hAnsi="Arial" w:cs="Arial"/>
                <w:kern w:val="0"/>
                <w:sz w:val="20"/>
                <w:szCs w:val="20"/>
                <w:lang w:val="en-GB"/>
              </w:rPr>
              <w:lastRenderedPageBreak/>
              <w:t>2013/14</w:t>
            </w:r>
          </w:p>
        </w:tc>
        <w:tc>
          <w:tcPr>
            <w:tcW w:w="1275" w:type="dxa"/>
            <w:shd w:val="clear" w:color="auto" w:fill="auto"/>
            <w:noWrap/>
            <w:vAlign w:val="bottom"/>
            <w:hideMark/>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C57CE1">
              <w:rPr>
                <w:rFonts w:ascii="Arial" w:eastAsia="Times New Roman" w:hAnsi="Arial" w:cs="Arial"/>
                <w:kern w:val="0"/>
                <w:sz w:val="20"/>
                <w:szCs w:val="20"/>
                <w:lang w:val="en-GB"/>
              </w:rPr>
              <w:t>311</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371</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318</w:t>
            </w:r>
          </w:p>
        </w:tc>
        <w:tc>
          <w:tcPr>
            <w:tcW w:w="1134"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16</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20</w:t>
            </w:r>
          </w:p>
        </w:tc>
        <w:tc>
          <w:tcPr>
            <w:tcW w:w="1276" w:type="dxa"/>
            <w:shd w:val="clear" w:color="auto" w:fill="auto"/>
            <w:noWrap/>
            <w:vAlign w:val="bottom"/>
            <w:hideMark/>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17</w:t>
            </w:r>
          </w:p>
        </w:tc>
      </w:tr>
      <w:tr w:rsidR="00DE5BD5" w:rsidRPr="0028108F" w:rsidTr="00DE5BD5">
        <w:trPr>
          <w:trHeight w:val="64"/>
        </w:trPr>
        <w:tc>
          <w:tcPr>
            <w:tcW w:w="1065" w:type="dxa"/>
            <w:shd w:val="clear" w:color="auto" w:fill="auto"/>
            <w:noWrap/>
            <w:vAlign w:val="bottom"/>
          </w:tcPr>
          <w:p w:rsidR="00DE5BD5" w:rsidRPr="0028108F" w:rsidRDefault="00DE5BD5" w:rsidP="00DE5BD5">
            <w:pPr>
              <w:widowControl/>
              <w:adjustRightInd w:val="0"/>
              <w:snapToGrid w:val="0"/>
              <w:spacing w:beforeLines="50" w:before="180" w:afterLines="50" w:after="180"/>
              <w:jc w:val="center"/>
              <w:rPr>
                <w:rFonts w:ascii="Arial" w:hAnsi="Arial" w:cs="Arial"/>
                <w:kern w:val="0"/>
                <w:sz w:val="20"/>
                <w:szCs w:val="20"/>
                <w:lang w:val="en-GB"/>
              </w:rPr>
            </w:pPr>
            <w:r w:rsidRPr="00181CF2">
              <w:rPr>
                <w:rFonts w:ascii="Arial" w:eastAsia="Times New Roman" w:hAnsi="Arial" w:cs="Arial"/>
                <w:kern w:val="0"/>
                <w:sz w:val="20"/>
                <w:szCs w:val="20"/>
                <w:lang w:val="en-GB"/>
              </w:rPr>
              <w:t>2014/15</w:t>
            </w:r>
            <w:r w:rsidRPr="00C57CE1">
              <w:rPr>
                <w:rFonts w:ascii="Arial" w:eastAsia="Times New Roman" w:hAnsi="Arial" w:cs="Arial"/>
                <w:kern w:val="0"/>
                <w:sz w:val="20"/>
                <w:szCs w:val="20"/>
                <w:vertAlign w:val="superscript"/>
                <w:lang w:val="en-GB"/>
              </w:rPr>
              <w:t>2</w:t>
            </w:r>
          </w:p>
        </w:tc>
        <w:tc>
          <w:tcPr>
            <w:tcW w:w="1275"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151</w:t>
            </w:r>
          </w:p>
        </w:tc>
        <w:tc>
          <w:tcPr>
            <w:tcW w:w="1276"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122</w:t>
            </w:r>
          </w:p>
        </w:tc>
        <w:tc>
          <w:tcPr>
            <w:tcW w:w="1134"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101</w:t>
            </w:r>
          </w:p>
        </w:tc>
        <w:tc>
          <w:tcPr>
            <w:tcW w:w="1134"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5</w:t>
            </w:r>
          </w:p>
        </w:tc>
        <w:tc>
          <w:tcPr>
            <w:tcW w:w="1276"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8</w:t>
            </w:r>
          </w:p>
        </w:tc>
        <w:tc>
          <w:tcPr>
            <w:tcW w:w="1276"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kern w:val="0"/>
                <w:sz w:val="20"/>
                <w:szCs w:val="20"/>
                <w:lang w:val="en-GB"/>
              </w:rPr>
            </w:pPr>
            <w:r w:rsidRPr="0028108F">
              <w:rPr>
                <w:rFonts w:ascii="Arial" w:eastAsia="Times New Roman" w:hAnsi="Arial" w:cs="Arial"/>
                <w:kern w:val="0"/>
                <w:sz w:val="20"/>
                <w:szCs w:val="20"/>
                <w:lang w:val="en-GB"/>
              </w:rPr>
              <w:t>8</w:t>
            </w:r>
          </w:p>
        </w:tc>
      </w:tr>
      <w:tr w:rsidR="00DE5BD5" w:rsidRPr="0028108F" w:rsidTr="00DE5BD5">
        <w:trPr>
          <w:trHeight w:val="255"/>
        </w:trPr>
        <w:tc>
          <w:tcPr>
            <w:tcW w:w="1065" w:type="dxa"/>
            <w:shd w:val="clear" w:color="auto" w:fill="auto"/>
            <w:noWrap/>
            <w:vAlign w:val="bottom"/>
          </w:tcPr>
          <w:p w:rsidR="00DE5BD5" w:rsidRPr="00181CF2" w:rsidRDefault="00DE5BD5" w:rsidP="00DE5BD5">
            <w:pPr>
              <w:widowControl/>
              <w:adjustRightInd w:val="0"/>
              <w:snapToGrid w:val="0"/>
              <w:spacing w:beforeLines="50" w:before="180" w:afterLines="50" w:after="180"/>
              <w:jc w:val="center"/>
              <w:rPr>
                <w:rFonts w:ascii="Arial" w:eastAsia="Times New Roman" w:hAnsi="Arial" w:cs="Arial"/>
                <w:b/>
                <w:kern w:val="0"/>
                <w:sz w:val="20"/>
                <w:szCs w:val="20"/>
                <w:lang w:val="en-GB"/>
              </w:rPr>
            </w:pPr>
            <w:r w:rsidRPr="00181CF2">
              <w:rPr>
                <w:rFonts w:ascii="Arial" w:eastAsia="Times New Roman" w:hAnsi="Arial" w:cs="Arial"/>
                <w:b/>
                <w:kern w:val="0"/>
                <w:sz w:val="20"/>
                <w:szCs w:val="20"/>
                <w:lang w:val="en-GB"/>
              </w:rPr>
              <w:t>Total:</w:t>
            </w:r>
          </w:p>
        </w:tc>
        <w:tc>
          <w:tcPr>
            <w:tcW w:w="1275" w:type="dxa"/>
            <w:shd w:val="clear" w:color="auto" w:fill="auto"/>
            <w:noWrap/>
            <w:vAlign w:val="bottom"/>
          </w:tcPr>
          <w:p w:rsidR="00DE5BD5" w:rsidRPr="00C57CE1" w:rsidRDefault="00DE5BD5" w:rsidP="00DE5BD5">
            <w:pPr>
              <w:widowControl/>
              <w:adjustRightInd w:val="0"/>
              <w:snapToGrid w:val="0"/>
              <w:spacing w:beforeLines="50" w:before="180" w:afterLines="50" w:after="180"/>
              <w:jc w:val="right"/>
              <w:rPr>
                <w:rFonts w:ascii="Arial" w:eastAsia="Times New Roman" w:hAnsi="Arial" w:cs="Arial"/>
                <w:b/>
                <w:kern w:val="0"/>
                <w:sz w:val="20"/>
                <w:szCs w:val="20"/>
                <w:lang w:val="en-GB"/>
              </w:rPr>
            </w:pPr>
            <w:r w:rsidRPr="00C57CE1">
              <w:rPr>
                <w:rFonts w:ascii="Arial" w:eastAsia="Times New Roman" w:hAnsi="Arial" w:cs="Arial"/>
                <w:b/>
                <w:kern w:val="0"/>
                <w:sz w:val="20"/>
                <w:szCs w:val="20"/>
                <w:lang w:val="en-GB"/>
              </w:rPr>
              <w:t>4,339</w:t>
            </w:r>
          </w:p>
        </w:tc>
        <w:tc>
          <w:tcPr>
            <w:tcW w:w="1276"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b/>
                <w:kern w:val="0"/>
                <w:sz w:val="20"/>
                <w:szCs w:val="20"/>
                <w:lang w:val="en-GB"/>
              </w:rPr>
            </w:pPr>
            <w:r w:rsidRPr="0028108F">
              <w:rPr>
                <w:rFonts w:ascii="Arial" w:eastAsia="Times New Roman" w:hAnsi="Arial" w:cs="Arial"/>
                <w:b/>
                <w:kern w:val="0"/>
                <w:sz w:val="20"/>
                <w:szCs w:val="20"/>
                <w:lang w:val="en-GB"/>
              </w:rPr>
              <w:t>4,231</w:t>
            </w:r>
          </w:p>
        </w:tc>
        <w:tc>
          <w:tcPr>
            <w:tcW w:w="1134"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b/>
                <w:kern w:val="0"/>
                <w:sz w:val="20"/>
                <w:szCs w:val="20"/>
                <w:lang w:val="en-GB"/>
              </w:rPr>
            </w:pPr>
            <w:r w:rsidRPr="0028108F">
              <w:rPr>
                <w:rFonts w:ascii="Arial" w:eastAsia="Times New Roman" w:hAnsi="Arial" w:cs="Arial"/>
                <w:b/>
                <w:kern w:val="0"/>
                <w:sz w:val="20"/>
                <w:szCs w:val="20"/>
                <w:lang w:val="en-GB"/>
              </w:rPr>
              <w:t>3,763</w:t>
            </w:r>
          </w:p>
        </w:tc>
        <w:tc>
          <w:tcPr>
            <w:tcW w:w="1134"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b/>
                <w:kern w:val="0"/>
                <w:sz w:val="20"/>
                <w:szCs w:val="20"/>
                <w:lang w:val="en-GB"/>
              </w:rPr>
            </w:pPr>
            <w:r w:rsidRPr="0028108F">
              <w:rPr>
                <w:rFonts w:ascii="Arial" w:eastAsia="Times New Roman" w:hAnsi="Arial" w:cs="Arial"/>
                <w:b/>
                <w:kern w:val="0"/>
                <w:sz w:val="20"/>
                <w:szCs w:val="20"/>
                <w:lang w:val="en-GB"/>
              </w:rPr>
              <w:t>179</w:t>
            </w:r>
            <w:r w:rsidRPr="0028108F">
              <w:rPr>
                <w:rFonts w:ascii="Arial" w:eastAsia="Times New Roman" w:hAnsi="Arial" w:cs="Arial"/>
                <w:kern w:val="0"/>
                <w:sz w:val="20"/>
                <w:szCs w:val="20"/>
                <w:vertAlign w:val="superscript"/>
                <w:lang w:val="en-GB"/>
              </w:rPr>
              <w:t>3</w:t>
            </w:r>
          </w:p>
        </w:tc>
        <w:tc>
          <w:tcPr>
            <w:tcW w:w="1276"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b/>
                <w:kern w:val="0"/>
                <w:sz w:val="20"/>
                <w:szCs w:val="20"/>
                <w:lang w:val="en-GB"/>
              </w:rPr>
            </w:pPr>
            <w:r w:rsidRPr="0028108F">
              <w:rPr>
                <w:rFonts w:ascii="Arial" w:eastAsia="Times New Roman" w:hAnsi="Arial" w:cs="Arial"/>
                <w:b/>
                <w:kern w:val="0"/>
                <w:sz w:val="20"/>
                <w:szCs w:val="20"/>
                <w:lang w:val="en-GB"/>
              </w:rPr>
              <w:t>188</w:t>
            </w:r>
          </w:p>
        </w:tc>
        <w:tc>
          <w:tcPr>
            <w:tcW w:w="1276" w:type="dxa"/>
            <w:shd w:val="clear" w:color="auto" w:fill="auto"/>
            <w:noWrap/>
            <w:vAlign w:val="bottom"/>
          </w:tcPr>
          <w:p w:rsidR="00DE5BD5" w:rsidRPr="0028108F" w:rsidRDefault="00DE5BD5" w:rsidP="00DE5BD5">
            <w:pPr>
              <w:widowControl/>
              <w:adjustRightInd w:val="0"/>
              <w:snapToGrid w:val="0"/>
              <w:spacing w:beforeLines="50" w:before="180" w:afterLines="50" w:after="180"/>
              <w:jc w:val="right"/>
              <w:rPr>
                <w:rFonts w:ascii="Arial" w:eastAsia="Times New Roman" w:hAnsi="Arial" w:cs="Arial"/>
                <w:b/>
                <w:kern w:val="0"/>
                <w:sz w:val="20"/>
                <w:szCs w:val="20"/>
                <w:lang w:val="en-GB"/>
              </w:rPr>
            </w:pPr>
            <w:r w:rsidRPr="0028108F">
              <w:rPr>
                <w:rFonts w:ascii="Arial" w:eastAsia="Times New Roman" w:hAnsi="Arial" w:cs="Arial"/>
                <w:b/>
                <w:kern w:val="0"/>
                <w:sz w:val="20"/>
                <w:szCs w:val="20"/>
                <w:lang w:val="en-GB"/>
              </w:rPr>
              <w:t>101</w:t>
            </w:r>
          </w:p>
        </w:tc>
      </w:tr>
    </w:tbl>
    <w:p w:rsidR="00DE5BD5" w:rsidRPr="00181CF2" w:rsidRDefault="00DE5BD5" w:rsidP="00DE5BD5">
      <w:pPr>
        <w:widowControl/>
        <w:tabs>
          <w:tab w:val="left" w:pos="1134"/>
        </w:tabs>
        <w:adjustRightInd w:val="0"/>
        <w:snapToGrid w:val="0"/>
        <w:spacing w:before="100" w:beforeAutospacing="1" w:after="100" w:afterAutospacing="1"/>
        <w:ind w:leftChars="118" w:left="814" w:rightChars="212" w:right="509" w:hangingChars="295" w:hanging="531"/>
        <w:jc w:val="both"/>
        <w:rPr>
          <w:rFonts w:ascii="Arial" w:hAnsi="Arial" w:cs="Arial"/>
          <w:i/>
          <w:color w:val="000000"/>
          <w:kern w:val="0"/>
          <w:sz w:val="18"/>
          <w:szCs w:val="18"/>
          <w:lang w:val="en-GB"/>
        </w:rPr>
      </w:pPr>
      <w:r w:rsidRPr="00181CF2">
        <w:rPr>
          <w:rFonts w:ascii="Arial" w:hAnsi="Arial" w:cs="Arial"/>
          <w:i/>
          <w:color w:val="000000"/>
          <w:kern w:val="0"/>
          <w:sz w:val="18"/>
          <w:szCs w:val="18"/>
          <w:lang w:val="en-GB"/>
        </w:rPr>
        <w:t>1</w:t>
      </w:r>
      <w:r w:rsidRPr="00181CF2">
        <w:rPr>
          <w:rFonts w:ascii="Arial" w:hAnsi="Arial" w:cs="Arial"/>
          <w:i/>
          <w:color w:val="000000"/>
          <w:kern w:val="0"/>
          <w:sz w:val="18"/>
          <w:szCs w:val="18"/>
          <w:lang w:val="en-GB"/>
        </w:rPr>
        <w:tab/>
        <w:t>Each time interval starts from April and ends at March of the next year.</w:t>
      </w:r>
    </w:p>
    <w:p w:rsidR="00DE5BD5" w:rsidRPr="00C57CE1" w:rsidRDefault="00DE5BD5" w:rsidP="00DE5BD5">
      <w:pPr>
        <w:widowControl/>
        <w:tabs>
          <w:tab w:val="left" w:pos="1134"/>
        </w:tabs>
        <w:adjustRightInd w:val="0"/>
        <w:snapToGrid w:val="0"/>
        <w:spacing w:before="100" w:beforeAutospacing="1" w:after="100" w:afterAutospacing="1"/>
        <w:ind w:leftChars="118" w:left="814" w:rightChars="212" w:right="509" w:hangingChars="295" w:hanging="531"/>
        <w:jc w:val="both"/>
        <w:rPr>
          <w:rFonts w:ascii="Arial" w:hAnsi="Arial" w:cs="Arial"/>
          <w:i/>
          <w:color w:val="000000"/>
          <w:kern w:val="0"/>
          <w:sz w:val="18"/>
          <w:szCs w:val="18"/>
          <w:lang w:val="en-GB"/>
        </w:rPr>
      </w:pPr>
      <w:r w:rsidRPr="00C57CE1">
        <w:rPr>
          <w:rFonts w:ascii="Arial" w:hAnsi="Arial" w:cs="Arial"/>
          <w:i/>
          <w:color w:val="000000"/>
          <w:kern w:val="0"/>
          <w:sz w:val="18"/>
          <w:szCs w:val="18"/>
          <w:lang w:val="en-GB"/>
        </w:rPr>
        <w:t>2</w:t>
      </w:r>
      <w:r w:rsidRPr="00C57CE1">
        <w:rPr>
          <w:rFonts w:ascii="Arial" w:hAnsi="Arial" w:cs="Arial"/>
          <w:i/>
          <w:color w:val="000000"/>
          <w:kern w:val="0"/>
          <w:sz w:val="18"/>
          <w:szCs w:val="18"/>
          <w:lang w:val="en-GB"/>
        </w:rPr>
        <w:tab/>
        <w:t>The information collected is up to September 2014.</w:t>
      </w:r>
    </w:p>
    <w:p w:rsidR="00DE5BD5" w:rsidRPr="0028108F" w:rsidRDefault="00DE5BD5" w:rsidP="00DE5BD5">
      <w:pPr>
        <w:widowControl/>
        <w:tabs>
          <w:tab w:val="left" w:pos="1134"/>
          <w:tab w:val="left" w:pos="8306"/>
        </w:tabs>
        <w:adjustRightInd w:val="0"/>
        <w:snapToGrid w:val="0"/>
        <w:spacing w:before="100" w:beforeAutospacing="1" w:after="100" w:afterAutospacing="1"/>
        <w:ind w:leftChars="118" w:left="814" w:rightChars="-24" w:right="-58" w:hangingChars="295" w:hanging="531"/>
        <w:jc w:val="both"/>
        <w:rPr>
          <w:rFonts w:ascii="Arial" w:hAnsi="Arial" w:cs="Arial"/>
          <w:i/>
          <w:color w:val="000000"/>
          <w:kern w:val="0"/>
          <w:sz w:val="18"/>
          <w:szCs w:val="18"/>
          <w:lang w:val="en-GB"/>
        </w:rPr>
      </w:pPr>
      <w:r w:rsidRPr="0028108F">
        <w:rPr>
          <w:rFonts w:ascii="Arial" w:hAnsi="Arial" w:cs="Arial"/>
          <w:i/>
          <w:color w:val="000000"/>
          <w:kern w:val="0"/>
          <w:sz w:val="18"/>
          <w:szCs w:val="18"/>
          <w:lang w:val="en-GB"/>
        </w:rPr>
        <w:t>3</w:t>
      </w:r>
      <w:r w:rsidRPr="0028108F">
        <w:rPr>
          <w:rFonts w:ascii="Arial" w:hAnsi="Arial" w:cs="Arial"/>
          <w:i/>
          <w:color w:val="000000"/>
          <w:kern w:val="0"/>
          <w:sz w:val="18"/>
          <w:szCs w:val="18"/>
          <w:lang w:val="en-GB"/>
        </w:rPr>
        <w:tab/>
        <w:t xml:space="preserve">Of the 179 interim GRCs granted between 1 April 2005 and 31 September 2014, 23 have been converted to a full GRC granted by the </w:t>
      </w:r>
      <w:r w:rsidR="006B78C8">
        <w:rPr>
          <w:rFonts w:ascii="Arial" w:hAnsi="Arial" w:cs="Arial" w:hint="eastAsia"/>
          <w:i/>
          <w:color w:val="000000"/>
          <w:kern w:val="0"/>
          <w:sz w:val="18"/>
          <w:szCs w:val="18"/>
          <w:lang w:val="en-GB"/>
        </w:rPr>
        <w:t>c</w:t>
      </w:r>
      <w:r w:rsidR="006B78C8" w:rsidRPr="0028108F">
        <w:rPr>
          <w:rFonts w:ascii="Arial" w:hAnsi="Arial" w:cs="Arial"/>
          <w:i/>
          <w:color w:val="000000"/>
          <w:kern w:val="0"/>
          <w:sz w:val="18"/>
          <w:szCs w:val="18"/>
          <w:lang w:val="en-GB"/>
        </w:rPr>
        <w:t>ourts</w:t>
      </w:r>
      <w:r w:rsidRPr="0028108F">
        <w:rPr>
          <w:rFonts w:ascii="Arial" w:hAnsi="Arial" w:cs="Arial"/>
          <w:i/>
          <w:color w:val="000000"/>
          <w:kern w:val="0"/>
          <w:sz w:val="18"/>
          <w:szCs w:val="18"/>
          <w:lang w:val="en-GB"/>
        </w:rPr>
        <w:t>.</w:t>
      </w: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As can be seen in the above table, since 2006/2007, the number of applicants has been steady, comprising approximately 300 cases per annum.  Until 2013, the number of pending applications to the GRP for gender recognition had been increasing annually.  </w:t>
      </w:r>
    </w:p>
    <w:p w:rsidR="00DE5BD5" w:rsidRPr="0028108F" w:rsidRDefault="00DE5BD5" w:rsidP="00DE5BD5">
      <w:pPr>
        <w:widowControl/>
        <w:tabs>
          <w:tab w:val="left" w:pos="1134"/>
        </w:tabs>
        <w:suppressAutoHyphens/>
        <w:autoSpaceDE w:val="0"/>
        <w:autoSpaceDN w:val="0"/>
        <w:adjustRightInd w:val="0"/>
        <w:snapToGrid w:val="0"/>
        <w:jc w:val="both"/>
        <w:rPr>
          <w:rFonts w:ascii="Arial" w:hAnsi="Arial" w:cs="Arial"/>
          <w:color w:val="000000"/>
          <w:kern w:val="0"/>
          <w:szCs w:val="24"/>
          <w:lang w:val="en-GB"/>
        </w:rPr>
      </w:pPr>
    </w:p>
    <w:p w:rsidR="00DE5BD5" w:rsidRPr="00C57CE1"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hAnsi="Arial" w:cs="Arial"/>
          <w:color w:val="000000"/>
          <w:kern w:val="0"/>
          <w:szCs w:val="24"/>
          <w:lang w:val="en-GB"/>
        </w:rPr>
        <w:t>The GRP User Group Meeting in London in March 2010 revealed that 82% of applications were disposed of within 20 weeks of receipt (original target was 14 weeks</w:t>
      </w:r>
      <w:r w:rsidRPr="00181CF2">
        <w:rPr>
          <w:rStyle w:val="FootnoteReference"/>
          <w:rFonts w:ascii="Arial" w:hAnsi="Arial" w:cs="Arial"/>
          <w:color w:val="000000"/>
          <w:kern w:val="0"/>
          <w:szCs w:val="24"/>
          <w:lang w:val="en-GB"/>
        </w:rPr>
        <w:footnoteReference w:id="211"/>
      </w:r>
      <w:r w:rsidRPr="00181CF2">
        <w:rPr>
          <w:rFonts w:ascii="Arial" w:hAnsi="Arial" w:cs="Arial"/>
          <w:color w:val="000000"/>
          <w:kern w:val="0"/>
          <w:szCs w:val="24"/>
          <w:lang w:val="en-GB"/>
        </w:rPr>
        <w:t>), and each ses</w:t>
      </w:r>
      <w:r w:rsidRPr="00C57CE1">
        <w:rPr>
          <w:rFonts w:ascii="Arial" w:hAnsi="Arial" w:cs="Arial"/>
          <w:color w:val="000000"/>
          <w:kern w:val="0"/>
          <w:szCs w:val="24"/>
          <w:lang w:val="en-GB"/>
        </w:rPr>
        <w:t>sion of disposal tended to handle 16 applications (mixture of first and second plus hearings).</w:t>
      </w:r>
      <w:r w:rsidRPr="00181CF2">
        <w:rPr>
          <w:rStyle w:val="FootnoteReference"/>
          <w:rFonts w:ascii="Arial" w:hAnsi="Arial" w:cs="Arial"/>
          <w:color w:val="000000"/>
          <w:kern w:val="0"/>
          <w:szCs w:val="24"/>
          <w:lang w:val="en-GB"/>
        </w:rPr>
        <w:footnoteReference w:id="212"/>
      </w:r>
      <w:r w:rsidRPr="00181CF2">
        <w:rPr>
          <w:rFonts w:ascii="Arial" w:hAnsi="Arial" w:cs="Arial"/>
          <w:color w:val="000000"/>
          <w:kern w:val="0"/>
          <w:szCs w:val="24"/>
          <w:lang w:val="en-GB"/>
        </w:rPr>
        <w:t xml:space="preserve">  It was observed that a significant reason for delay in the system was the UK National Health Service’s waiting list for access to gender reassignment hormone t</w:t>
      </w:r>
      <w:r w:rsidRPr="00C57CE1">
        <w:rPr>
          <w:rFonts w:ascii="Arial" w:hAnsi="Arial" w:cs="Arial"/>
          <w:color w:val="000000"/>
          <w:kern w:val="0"/>
          <w:szCs w:val="24"/>
          <w:lang w:val="en-GB"/>
        </w:rPr>
        <w:t xml:space="preserve">herapy or surgery, with applicants for treatment having to wait several years. </w:t>
      </w:r>
    </w:p>
    <w:p w:rsidR="00DE5BD5" w:rsidRPr="0028108F" w:rsidRDefault="00DE5BD5" w:rsidP="00DE5BD5">
      <w:pPr>
        <w:widowControl/>
        <w:tabs>
          <w:tab w:val="left" w:pos="1134"/>
        </w:tabs>
        <w:suppressAutoHyphens/>
        <w:autoSpaceDE w:val="0"/>
        <w:autoSpaceDN w:val="0"/>
        <w:adjustRightInd w:val="0"/>
        <w:snapToGrid w:val="0"/>
        <w:ind w:left="1134"/>
        <w:jc w:val="both"/>
        <w:rPr>
          <w:rFonts w:ascii="Arial" w:hAnsi="Arial" w:cs="Arial"/>
          <w:color w:val="000000"/>
          <w:kern w:val="0"/>
          <w:szCs w:val="24"/>
          <w:lang w:val="en-GB"/>
        </w:rPr>
      </w:pPr>
    </w:p>
    <w:p w:rsidR="00DE5BD5" w:rsidRPr="00C57CE1"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eastAsia="Times New Roman" w:hAnsi="Arial" w:cs="Arial"/>
          <w:kern w:val="0"/>
          <w:szCs w:val="24"/>
          <w:lang w:val="en-GB"/>
        </w:rPr>
        <w:t>A</w:t>
      </w:r>
      <w:r w:rsidRPr="0028108F">
        <w:rPr>
          <w:rFonts w:ascii="Arial" w:hAnsi="Arial" w:cs="Arial"/>
          <w:color w:val="000000"/>
          <w:kern w:val="0"/>
          <w:szCs w:val="24"/>
          <w:lang w:val="en-GB"/>
        </w:rPr>
        <w:t xml:space="preserve"> Customer Satisfaction Survey was commissioned by the GRP during spring 2010 in which applicants receiving the final decisions from the GRPs were invited to complete and return a questionnaire.  The feedback was positive, with 100% of respondents who took part stating that they were </w:t>
      </w:r>
      <w:r w:rsidRPr="0028108F">
        <w:rPr>
          <w:rFonts w:ascii="Arial" w:eastAsia="Times New Roman" w:hAnsi="Arial" w:cs="Arial"/>
          <w:i/>
          <w:kern w:val="0"/>
          <w:szCs w:val="24"/>
          <w:lang w:val="en-GB"/>
        </w:rPr>
        <w:t>"very or fairly satisfied"</w:t>
      </w:r>
      <w:r w:rsidRPr="0028108F">
        <w:rPr>
          <w:rFonts w:ascii="Arial" w:hAnsi="Arial" w:cs="Arial"/>
          <w:color w:val="000000"/>
          <w:kern w:val="0"/>
          <w:szCs w:val="24"/>
          <w:lang w:val="en-GB"/>
        </w:rPr>
        <w:t xml:space="preserve"> with the administrative process of the gender recognition application</w:t>
      </w:r>
      <w:r w:rsidRPr="0028108F">
        <w:rPr>
          <w:rFonts w:ascii="Arial" w:eastAsia="Times New Roman" w:hAnsi="Arial" w:cs="Arial"/>
          <w:kern w:val="0"/>
          <w:szCs w:val="24"/>
          <w:lang w:val="en-GB"/>
        </w:rPr>
        <w:t>.</w:t>
      </w:r>
      <w:r w:rsidRPr="00181CF2">
        <w:rPr>
          <w:rStyle w:val="FootnoteReference"/>
          <w:rFonts w:ascii="Arial" w:eastAsia="Times New Roman" w:hAnsi="Arial" w:cs="Arial"/>
          <w:kern w:val="0"/>
          <w:szCs w:val="24"/>
          <w:lang w:val="en-GB"/>
        </w:rPr>
        <w:footnoteReference w:id="213"/>
      </w:r>
      <w:r w:rsidRPr="00181CF2">
        <w:rPr>
          <w:rFonts w:ascii="Arial" w:eastAsia="Times New Roman" w:hAnsi="Arial" w:cs="Arial"/>
          <w:kern w:val="0"/>
          <w:szCs w:val="24"/>
          <w:lang w:val="en-GB"/>
        </w:rPr>
        <w:t xml:space="preserve">  </w:t>
      </w:r>
    </w:p>
    <w:p w:rsidR="00DE5BD5" w:rsidRPr="0028108F" w:rsidRDefault="00DE5BD5" w:rsidP="00DE5BD5">
      <w:pPr>
        <w:widowControl/>
        <w:tabs>
          <w:tab w:val="left" w:pos="1134"/>
        </w:tabs>
        <w:suppressAutoHyphens/>
        <w:autoSpaceDE w:val="0"/>
        <w:autoSpaceDN w:val="0"/>
        <w:adjustRightInd w:val="0"/>
        <w:snapToGrid w:val="0"/>
        <w:ind w:left="1134"/>
        <w:jc w:val="both"/>
        <w:rPr>
          <w:rFonts w:ascii="Arial" w:hAnsi="Arial" w:cs="Arial"/>
          <w:color w:val="000000"/>
          <w:kern w:val="0"/>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eastAsia="Times New Roman" w:hAnsi="Arial" w:cs="Arial"/>
          <w:kern w:val="0"/>
          <w:szCs w:val="24"/>
          <w:lang w:val="en-GB"/>
        </w:rPr>
      </w:pPr>
      <w:r w:rsidRPr="0028108F">
        <w:rPr>
          <w:rFonts w:ascii="Arial" w:eastAsia="Times New Roman" w:hAnsi="Arial" w:cs="Arial"/>
          <w:kern w:val="0"/>
          <w:szCs w:val="24"/>
          <w:lang w:val="en-GB"/>
        </w:rPr>
        <w:t xml:space="preserve">It was noted, however, that parts of the administrative process were still not as straightforward as they should be.  For example, applicants were not kept informed and more advice on how to obtain medical reports </w:t>
      </w:r>
      <w:r w:rsidR="00D41803" w:rsidRPr="0028108F">
        <w:rPr>
          <w:rFonts w:ascii="Arial" w:eastAsia="Times New Roman" w:hAnsi="Arial" w:cs="Arial"/>
          <w:kern w:val="0"/>
          <w:szCs w:val="24"/>
          <w:lang w:val="en-GB"/>
        </w:rPr>
        <w:t>w</w:t>
      </w:r>
      <w:r w:rsidR="00D41803">
        <w:rPr>
          <w:rFonts w:ascii="Arial" w:hAnsi="Arial" w:cs="Arial" w:hint="eastAsia"/>
          <w:kern w:val="0"/>
          <w:szCs w:val="24"/>
          <w:lang w:val="en-GB"/>
        </w:rPr>
        <w:t>as</w:t>
      </w:r>
      <w:r w:rsidR="00D41803" w:rsidRPr="0028108F">
        <w:rPr>
          <w:rFonts w:ascii="Arial" w:eastAsia="Times New Roman" w:hAnsi="Arial" w:cs="Arial"/>
          <w:kern w:val="0"/>
          <w:szCs w:val="24"/>
          <w:lang w:val="en-GB"/>
        </w:rPr>
        <w:t xml:space="preserve"> </w:t>
      </w:r>
      <w:r w:rsidRPr="0028108F">
        <w:rPr>
          <w:rFonts w:ascii="Arial" w:eastAsia="Times New Roman" w:hAnsi="Arial" w:cs="Arial"/>
          <w:kern w:val="0"/>
          <w:szCs w:val="24"/>
          <w:lang w:val="en-GB"/>
        </w:rPr>
        <w:t>called for.</w:t>
      </w:r>
      <w:r w:rsidRPr="00181CF2">
        <w:rPr>
          <w:rStyle w:val="FootnoteReference"/>
          <w:rFonts w:ascii="Arial" w:eastAsia="Times New Roman" w:hAnsi="Arial" w:cs="Arial"/>
          <w:kern w:val="0"/>
          <w:szCs w:val="24"/>
          <w:lang w:val="en-GB"/>
        </w:rPr>
        <w:footnoteReference w:id="214"/>
      </w:r>
      <w:r w:rsidRPr="00181CF2">
        <w:rPr>
          <w:rFonts w:ascii="Arial" w:eastAsia="Times New Roman" w:hAnsi="Arial" w:cs="Arial"/>
          <w:kern w:val="0"/>
          <w:szCs w:val="24"/>
          <w:lang w:val="en-GB"/>
        </w:rPr>
        <w:t xml:space="preserve">  </w:t>
      </w:r>
    </w:p>
    <w:p w:rsidR="00DE5BD5" w:rsidRPr="00C57CE1" w:rsidRDefault="00DE5BD5" w:rsidP="00DE5BD5">
      <w:pPr>
        <w:widowControl/>
        <w:tabs>
          <w:tab w:val="left" w:pos="1134"/>
        </w:tabs>
        <w:suppressAutoHyphens/>
        <w:autoSpaceDE w:val="0"/>
        <w:autoSpaceDN w:val="0"/>
        <w:adjustRightInd w:val="0"/>
        <w:snapToGrid w:val="0"/>
        <w:jc w:val="both"/>
        <w:rPr>
          <w:rFonts w:ascii="Arial" w:eastAsia="Times New Roman" w:hAnsi="Arial" w:cs="Arial"/>
          <w:kern w:val="0"/>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eastAsia="Times New Roman" w:hAnsi="Arial" w:cs="Arial"/>
          <w:kern w:val="0"/>
          <w:szCs w:val="24"/>
          <w:lang w:val="en-GB"/>
        </w:rPr>
      </w:pPr>
      <w:r w:rsidRPr="0028108F">
        <w:rPr>
          <w:rFonts w:ascii="Arial" w:eastAsia="Times New Roman" w:hAnsi="Arial" w:cs="Arial"/>
          <w:kern w:val="0"/>
          <w:szCs w:val="24"/>
          <w:lang w:val="en-GB"/>
        </w:rPr>
        <w:lastRenderedPageBreak/>
        <w:t xml:space="preserve">According to a study conducted by the University of Leeds which took place between May 2008 and May 2010 (with 25 transsexual people participating in in-depth interviews relating to their experience of the GRA and the process of applying for a change of gender), most of the participants who had successfully acquired a GRC took the view that the application process was </w:t>
      </w:r>
      <w:r w:rsidRPr="0028108F">
        <w:rPr>
          <w:rFonts w:ascii="Arial" w:eastAsia="Times New Roman" w:hAnsi="Arial" w:cs="Arial"/>
          <w:i/>
          <w:kern w:val="0"/>
          <w:szCs w:val="24"/>
          <w:lang w:val="en-GB"/>
        </w:rPr>
        <w:t>“straightforward”</w:t>
      </w:r>
      <w:r w:rsidRPr="0028108F">
        <w:rPr>
          <w:rFonts w:ascii="Arial" w:eastAsia="Times New Roman" w:hAnsi="Arial" w:cs="Arial"/>
          <w:kern w:val="0"/>
          <w:szCs w:val="24"/>
          <w:lang w:val="en-GB"/>
        </w:rPr>
        <w:t xml:space="preserve"> or </w:t>
      </w:r>
      <w:r w:rsidRPr="0028108F">
        <w:rPr>
          <w:rFonts w:ascii="Arial" w:eastAsia="Times New Roman" w:hAnsi="Arial" w:cs="Arial"/>
          <w:i/>
          <w:kern w:val="0"/>
          <w:szCs w:val="24"/>
          <w:lang w:val="en-GB"/>
        </w:rPr>
        <w:t>“easy,”</w:t>
      </w:r>
      <w:r w:rsidRPr="0028108F">
        <w:rPr>
          <w:rFonts w:ascii="Arial" w:eastAsia="Times New Roman" w:hAnsi="Arial" w:cs="Arial"/>
          <w:kern w:val="0"/>
          <w:szCs w:val="24"/>
          <w:lang w:val="en-GB"/>
        </w:rPr>
        <w:t xml:space="preserve"> whereas some others had found it a complex and problematic procedure, particularly in relation to the required evidence from general practitioners and psychiatrists.</w:t>
      </w:r>
      <w:r w:rsidRPr="00181CF2">
        <w:rPr>
          <w:rStyle w:val="FootnoteReference"/>
          <w:rFonts w:ascii="Arial" w:eastAsia="Times New Roman" w:hAnsi="Arial" w:cs="Arial"/>
          <w:kern w:val="0"/>
          <w:szCs w:val="24"/>
          <w:lang w:val="en-GB"/>
        </w:rPr>
        <w:footnoteReference w:id="215"/>
      </w:r>
    </w:p>
    <w:p w:rsidR="00DE5BD5" w:rsidRPr="00C57CE1" w:rsidRDefault="00DE5BD5" w:rsidP="00DE5BD5">
      <w:pPr>
        <w:pStyle w:val="ListParagraph"/>
        <w:adjustRightInd w:val="0"/>
        <w:snapToGrid w:val="0"/>
        <w:ind w:left="1044" w:hanging="564"/>
        <w:rPr>
          <w:rFonts w:ascii="Arial" w:eastAsia="Times New Roman" w:hAnsi="Arial" w:cs="Arial"/>
          <w:kern w:val="0"/>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color w:val="000000"/>
          <w:kern w:val="0"/>
          <w:szCs w:val="24"/>
          <w:lang w:val="en-GB"/>
        </w:rPr>
      </w:pPr>
      <w:r w:rsidRPr="0028108F">
        <w:rPr>
          <w:rFonts w:ascii="Arial" w:eastAsia="Times New Roman" w:hAnsi="Arial" w:cs="Arial"/>
          <w:kern w:val="0"/>
          <w:szCs w:val="24"/>
          <w:lang w:val="en-GB"/>
        </w:rPr>
        <w:t>Nevertheless, t</w:t>
      </w:r>
      <w:r w:rsidRPr="0028108F">
        <w:rPr>
          <w:rFonts w:ascii="Arial" w:hAnsi="Arial" w:cs="Arial"/>
          <w:color w:val="000000"/>
          <w:kern w:val="0"/>
          <w:szCs w:val="24"/>
          <w:lang w:val="en-GB"/>
        </w:rPr>
        <w:t>here appears to be general consensus that the system introduced by the GRA has been working well.  Some concerns were expressed initially that the legal/judicial character of the GRP resulted in an overly legalistic approach – but these concerns appear to have abated.</w:t>
      </w:r>
      <w:r w:rsidRPr="00181CF2">
        <w:rPr>
          <w:rStyle w:val="FootnoteReference"/>
          <w:rFonts w:ascii="Arial" w:hAnsi="Arial" w:cs="Arial"/>
          <w:color w:val="000000"/>
          <w:kern w:val="0"/>
          <w:szCs w:val="24"/>
          <w:lang w:val="en-GB"/>
        </w:rPr>
        <w:footnoteReference w:id="216"/>
      </w:r>
      <w:r w:rsidRPr="00181CF2">
        <w:rPr>
          <w:rFonts w:ascii="Arial" w:hAnsi="Arial" w:cs="Arial"/>
          <w:color w:val="000000"/>
          <w:kern w:val="0"/>
          <w:szCs w:val="24"/>
          <w:lang w:val="en-GB"/>
        </w:rPr>
        <w:t xml:space="preserve"> </w:t>
      </w:r>
    </w:p>
    <w:p w:rsidR="00DE5BD5" w:rsidRPr="00C57CE1" w:rsidRDefault="00DE5BD5" w:rsidP="00DE5BD5">
      <w:pPr>
        <w:widowControl/>
        <w:tabs>
          <w:tab w:val="left" w:pos="1134"/>
        </w:tabs>
        <w:adjustRightInd w:val="0"/>
        <w:snapToGrid w:val="0"/>
        <w:jc w:val="both"/>
        <w:rPr>
          <w:rFonts w:ascii="Arial" w:eastAsia="Times New Roman" w:hAnsi="Arial" w:cs="Arial"/>
          <w:b/>
          <w:i/>
          <w:kern w:val="0"/>
          <w:szCs w:val="24"/>
          <w:lang w:val="en-GB"/>
        </w:rPr>
      </w:pPr>
    </w:p>
    <w:p w:rsidR="00DE5BD5" w:rsidRPr="0028108F" w:rsidRDefault="00DE5BD5" w:rsidP="00DE5BD5">
      <w:pPr>
        <w:widowControl/>
        <w:tabs>
          <w:tab w:val="left" w:pos="1134"/>
        </w:tabs>
        <w:adjustRightInd w:val="0"/>
        <w:snapToGrid w:val="0"/>
        <w:jc w:val="both"/>
        <w:rPr>
          <w:rFonts w:ascii="Arial" w:hAnsi="Arial" w:cs="Arial"/>
          <w:b/>
          <w:i/>
          <w:kern w:val="0"/>
          <w:szCs w:val="24"/>
          <w:lang w:val="en-GB"/>
        </w:rPr>
      </w:pPr>
      <w:r w:rsidRPr="0028108F">
        <w:rPr>
          <w:rFonts w:ascii="Arial" w:hAnsi="Arial" w:cs="Arial"/>
          <w:b/>
          <w:i/>
          <w:kern w:val="0"/>
          <w:szCs w:val="24"/>
          <w:lang w:val="en-GB"/>
        </w:rPr>
        <w:t>The ‘problematic’ two-year pre-recognition period</w:t>
      </w:r>
    </w:p>
    <w:p w:rsidR="00DE5BD5" w:rsidRPr="0028108F" w:rsidRDefault="00DE5BD5" w:rsidP="00DE5BD5">
      <w:pPr>
        <w:widowControl/>
        <w:tabs>
          <w:tab w:val="left" w:pos="1134"/>
        </w:tabs>
        <w:adjustRightInd w:val="0"/>
        <w:snapToGrid w:val="0"/>
        <w:jc w:val="both"/>
        <w:rPr>
          <w:rFonts w:ascii="Arial" w:hAnsi="Arial" w:cs="Arial"/>
          <w:color w:val="000000"/>
          <w:kern w:val="0"/>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For transsexual people who would like to apply for a GRC under s</w:t>
      </w:r>
      <w:r w:rsidRPr="0028108F">
        <w:rPr>
          <w:rFonts w:ascii="Arial" w:hAnsi="Arial" w:cs="Arial"/>
          <w:color w:val="000000"/>
          <w:kern w:val="0"/>
          <w:szCs w:val="24"/>
          <w:lang w:val="en-GB"/>
        </w:rPr>
        <w:t>ection</w:t>
      </w:r>
      <w:r w:rsidRPr="0028108F">
        <w:rPr>
          <w:rFonts w:ascii="Arial" w:hAnsi="Arial" w:cs="Arial"/>
          <w:szCs w:val="24"/>
          <w:lang w:val="en-GB"/>
        </w:rPr>
        <w:t xml:space="preserve"> 1(1)(a) of the GRA, one prerequisite is to live in the acquired gender throughout the preceding period of two years.  That period involves proof of change of name and documentation to coincide with the applicant’s gender presentation.  A view expressed by the Equality and Human Rights Commission</w:t>
      </w:r>
      <w:r w:rsidRPr="00181CF2">
        <w:rPr>
          <w:rFonts w:ascii="Arial" w:hAnsi="Arial" w:cs="Arial"/>
          <w:szCs w:val="24"/>
          <w:vertAlign w:val="superscript"/>
          <w:lang w:val="en-GB"/>
        </w:rPr>
        <w:footnoteReference w:id="217"/>
      </w:r>
      <w:r w:rsidRPr="00181CF2">
        <w:rPr>
          <w:rFonts w:ascii="Arial" w:hAnsi="Arial" w:cs="Arial"/>
          <w:szCs w:val="24"/>
          <w:lang w:val="en-GB"/>
        </w:rPr>
        <w:t xml:space="preserve"> is that undergoing these changes is </w:t>
      </w:r>
      <w:r w:rsidRPr="00C57CE1">
        <w:rPr>
          <w:rFonts w:ascii="Arial" w:hAnsi="Arial" w:cs="Arial"/>
          <w:i/>
          <w:szCs w:val="24"/>
          <w:lang w:val="en-GB"/>
        </w:rPr>
        <w:t>“paradoxical but also places addi</w:t>
      </w:r>
      <w:r w:rsidRPr="0028108F">
        <w:rPr>
          <w:rFonts w:ascii="Arial" w:hAnsi="Arial" w:cs="Arial"/>
          <w:i/>
          <w:szCs w:val="24"/>
          <w:lang w:val="en-GB"/>
        </w:rPr>
        <w:t>tional barriers to transitioning.”</w:t>
      </w:r>
      <w:r w:rsidRPr="00181CF2">
        <w:rPr>
          <w:rFonts w:ascii="Arial" w:hAnsi="Arial" w:cs="Arial"/>
          <w:szCs w:val="24"/>
          <w:vertAlign w:val="superscript"/>
          <w:lang w:val="en-GB"/>
        </w:rPr>
        <w:footnoteReference w:id="218"/>
      </w:r>
      <w:r w:rsidRPr="00181CF2">
        <w:rPr>
          <w:rFonts w:ascii="Arial" w:hAnsi="Arial" w:cs="Arial"/>
          <w:szCs w:val="24"/>
          <w:lang w:val="en-GB"/>
        </w:rPr>
        <w:t xml:space="preserve">  The Commission found that there was evidence that some employers and service providers were using the GRA effectively to place further barriers on transsexual people wishing to be recognised in their expressed gender.  </w:t>
      </w:r>
      <w:r w:rsidRPr="00C57CE1">
        <w:rPr>
          <w:rFonts w:ascii="Arial" w:hAnsi="Arial" w:cs="Arial"/>
          <w:szCs w:val="24"/>
          <w:lang w:val="en-GB"/>
        </w:rPr>
        <w:t xml:space="preserve">There were organisations which requested a GRC or proof of surgical status as proof of gender and name change, rather than a letter from a general practitioner or consultant psychiatrist and a legal change of name document.  One example was a University’s </w:t>
      </w:r>
      <w:r w:rsidRPr="0028108F">
        <w:rPr>
          <w:rFonts w:ascii="Arial" w:hAnsi="Arial" w:cs="Arial"/>
          <w:szCs w:val="24"/>
          <w:lang w:val="en-GB"/>
        </w:rPr>
        <w:t>refusal to change names and genders on a Degree certificate until the former student obtained a GRC, and as a result the student concerned was unable to take up a further postgraduate course without disclosing his former status.</w:t>
      </w:r>
      <w:r w:rsidRPr="00181CF2">
        <w:rPr>
          <w:rStyle w:val="FootnoteReference"/>
          <w:rFonts w:ascii="Arial" w:hAnsi="Arial" w:cs="Arial"/>
          <w:color w:val="000000"/>
          <w:kern w:val="0"/>
          <w:szCs w:val="24"/>
          <w:lang w:val="en-GB"/>
        </w:rPr>
        <w:footnoteReference w:id="219"/>
      </w: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C57CE1">
        <w:rPr>
          <w:rFonts w:ascii="Arial" w:hAnsi="Arial" w:cs="Arial"/>
          <w:color w:val="000000"/>
          <w:kern w:val="0"/>
          <w:szCs w:val="24"/>
          <w:lang w:val="en-GB"/>
        </w:rPr>
        <w:lastRenderedPageBreak/>
        <w:t xml:space="preserve">It appears that </w:t>
      </w:r>
      <w:r w:rsidRPr="0028108F">
        <w:rPr>
          <w:rFonts w:ascii="Arial" w:hAnsi="Arial" w:cs="Arial"/>
          <w:szCs w:val="24"/>
          <w:lang w:val="en-GB"/>
        </w:rPr>
        <w:t xml:space="preserve">many transsexual people experience </w:t>
      </w:r>
      <w:r w:rsidR="00722858">
        <w:rPr>
          <w:rFonts w:ascii="Arial" w:hAnsi="Arial" w:cs="Arial" w:hint="eastAsia"/>
          <w:szCs w:val="24"/>
          <w:lang w:val="en-GB"/>
        </w:rPr>
        <w:t>difficulties</w:t>
      </w:r>
      <w:r w:rsidR="00722858" w:rsidRPr="0028108F">
        <w:rPr>
          <w:rFonts w:ascii="Arial" w:hAnsi="Arial" w:cs="Arial"/>
          <w:szCs w:val="24"/>
          <w:lang w:val="en-GB"/>
        </w:rPr>
        <w:t xml:space="preserve"> </w:t>
      </w:r>
      <w:r w:rsidRPr="0028108F">
        <w:rPr>
          <w:rFonts w:ascii="Arial" w:hAnsi="Arial" w:cs="Arial"/>
          <w:szCs w:val="24"/>
          <w:lang w:val="en-GB"/>
        </w:rPr>
        <w:t>in changing their name and gender on a variety of ‘day to day’ documentation, since some organisations may be unhelpful in dealing with a request for change of documentation (</w:t>
      </w:r>
      <w:r w:rsidR="00D6311F" w:rsidRPr="0028108F">
        <w:rPr>
          <w:rFonts w:ascii="Arial" w:hAnsi="Arial" w:cs="Arial"/>
          <w:szCs w:val="24"/>
          <w:lang w:val="en-GB"/>
        </w:rPr>
        <w:t>eg</w:t>
      </w:r>
      <w:r w:rsidR="00940215" w:rsidRPr="0028108F">
        <w:rPr>
          <w:rFonts w:ascii="Arial" w:hAnsi="Arial" w:cs="Arial"/>
          <w:szCs w:val="24"/>
          <w:lang w:val="en-GB"/>
        </w:rPr>
        <w:t>,</w:t>
      </w:r>
      <w:r w:rsidRPr="00181CF2">
        <w:rPr>
          <w:rFonts w:ascii="Arial" w:hAnsi="Arial" w:cs="Arial"/>
          <w:szCs w:val="24"/>
          <w:lang w:val="en-GB"/>
        </w:rPr>
        <w:t xml:space="preserve"> driving licence, passport, medical and</w:t>
      </w:r>
      <w:r w:rsidRPr="00C57CE1">
        <w:rPr>
          <w:rFonts w:ascii="Arial" w:hAnsi="Arial" w:cs="Arial"/>
          <w:szCs w:val="24"/>
          <w:lang w:val="en-GB"/>
        </w:rPr>
        <w:t xml:space="preserve"> workplace records) and thus require a GRC before making the changes.  However, one cannot apply for a GRC until there is proof that one has been living full-time in one’s acquired gender for two years (by providing documents in one’s acquired gender).  So</w:t>
      </w:r>
      <w:r w:rsidRPr="0028108F">
        <w:rPr>
          <w:rFonts w:ascii="Arial" w:hAnsi="Arial" w:cs="Arial"/>
          <w:szCs w:val="24"/>
          <w:lang w:val="en-GB"/>
        </w:rPr>
        <w:t xml:space="preserve">me people contend that this causes difficulty for a transsexual person (especially those having not undergone treatment for the purpose of modifying sexual characteristics) beginning to live their life for the first time in their expressed or acquired gender, the cause attributed largely to the lack of appropriate procedures in place for the organisations and the transsexual people to follow for the latter’s requests or applications for name and gender changes in documentation.  </w:t>
      </w:r>
    </w:p>
    <w:p w:rsidR="00DE5BD5" w:rsidRPr="0028108F" w:rsidRDefault="00DE5BD5" w:rsidP="00DE5BD5">
      <w:pPr>
        <w:pStyle w:val="ListParagraph"/>
        <w:adjustRightInd w:val="0"/>
        <w:snapToGrid w:val="0"/>
        <w:ind w:left="1044" w:hanging="564"/>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i/>
          <w:szCs w:val="24"/>
          <w:lang w:val="en-GB"/>
        </w:rPr>
        <w:t>Press for Change</w:t>
      </w:r>
      <w:r w:rsidRPr="0028108F">
        <w:rPr>
          <w:rFonts w:ascii="Arial" w:hAnsi="Arial" w:cs="Arial"/>
          <w:szCs w:val="24"/>
          <w:lang w:val="en-GB"/>
        </w:rPr>
        <w:t>, a UK organisation supporting trans people, had recommended that a government resource be set up to implement such procedures, and that there be legislation to stipulate the legal consequences for failing to comply, and such information should be sent to large service organisations such as government departments, insurance companies, the D</w:t>
      </w:r>
      <w:r w:rsidR="00E328B5">
        <w:rPr>
          <w:rFonts w:ascii="Arial" w:hAnsi="Arial" w:cs="Arial"/>
          <w:szCs w:val="24"/>
          <w:lang w:val="en-GB"/>
        </w:rPr>
        <w:t xml:space="preserve">river and </w:t>
      </w:r>
      <w:r w:rsidRPr="0028108F">
        <w:rPr>
          <w:rFonts w:ascii="Arial" w:hAnsi="Arial" w:cs="Arial"/>
          <w:szCs w:val="24"/>
          <w:lang w:val="en-GB"/>
        </w:rPr>
        <w:t>V</w:t>
      </w:r>
      <w:r w:rsidR="00E328B5">
        <w:rPr>
          <w:rFonts w:ascii="Arial" w:hAnsi="Arial" w:cs="Arial"/>
          <w:szCs w:val="24"/>
          <w:lang w:val="en-GB"/>
        </w:rPr>
        <w:t xml:space="preserve">ehicle </w:t>
      </w:r>
      <w:r w:rsidRPr="0028108F">
        <w:rPr>
          <w:rFonts w:ascii="Arial" w:hAnsi="Arial" w:cs="Arial"/>
          <w:szCs w:val="24"/>
          <w:lang w:val="en-GB"/>
        </w:rPr>
        <w:t>L</w:t>
      </w:r>
      <w:r w:rsidR="00E328B5">
        <w:rPr>
          <w:rFonts w:ascii="Arial" w:hAnsi="Arial" w:cs="Arial"/>
          <w:szCs w:val="24"/>
          <w:lang w:val="en-GB"/>
        </w:rPr>
        <w:t xml:space="preserve">icensing </w:t>
      </w:r>
      <w:r w:rsidRPr="0028108F">
        <w:rPr>
          <w:rFonts w:ascii="Arial" w:hAnsi="Arial" w:cs="Arial"/>
          <w:szCs w:val="24"/>
          <w:lang w:val="en-GB"/>
        </w:rPr>
        <w:t>A</w:t>
      </w:r>
      <w:r w:rsidR="00E328B5">
        <w:rPr>
          <w:rFonts w:ascii="Arial" w:hAnsi="Arial" w:cs="Arial"/>
          <w:szCs w:val="24"/>
          <w:lang w:val="en-GB"/>
        </w:rPr>
        <w:t>gency</w:t>
      </w:r>
      <w:r w:rsidRPr="0028108F">
        <w:rPr>
          <w:rFonts w:ascii="Arial" w:hAnsi="Arial" w:cs="Arial"/>
          <w:szCs w:val="24"/>
          <w:lang w:val="en-GB"/>
        </w:rPr>
        <w:t xml:space="preserve">, </w:t>
      </w:r>
      <w:r w:rsidR="00DC48C6">
        <w:rPr>
          <w:rFonts w:ascii="Arial" w:hAnsi="Arial" w:cs="Arial" w:hint="eastAsia"/>
          <w:szCs w:val="24"/>
          <w:lang w:val="en-GB"/>
        </w:rPr>
        <w:t>general practitioner</w:t>
      </w:r>
      <w:r w:rsidRPr="0028108F">
        <w:rPr>
          <w:rFonts w:ascii="Arial" w:hAnsi="Arial" w:cs="Arial"/>
          <w:szCs w:val="24"/>
          <w:lang w:val="en-GB"/>
        </w:rPr>
        <w:t xml:space="preserve"> surgeries, banks and also to employers.</w:t>
      </w:r>
      <w:r w:rsidRPr="00181CF2">
        <w:rPr>
          <w:rStyle w:val="FootnoteReference"/>
          <w:rFonts w:ascii="Arial" w:hAnsi="Arial" w:cs="Arial"/>
          <w:color w:val="000000"/>
          <w:kern w:val="0"/>
          <w:szCs w:val="24"/>
          <w:lang w:val="en-GB"/>
        </w:rPr>
        <w:footnoteReference w:id="220"/>
      </w:r>
      <w:r w:rsidRPr="00181CF2">
        <w:rPr>
          <w:rFonts w:ascii="Arial" w:hAnsi="Arial" w:cs="Arial"/>
          <w:szCs w:val="24"/>
          <w:lang w:val="en-GB"/>
        </w:rPr>
        <w:t xml:space="preserve">  </w:t>
      </w:r>
    </w:p>
    <w:p w:rsidR="00DE5BD5" w:rsidRPr="00C57CE1" w:rsidRDefault="00DE5BD5" w:rsidP="00DE5BD5">
      <w:pPr>
        <w:pStyle w:val="ListParagraph"/>
        <w:adjustRightInd w:val="0"/>
        <w:snapToGrid w:val="0"/>
        <w:ind w:left="1044" w:hanging="564"/>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These problems were addressed when the Equality Act 2010 commenced on 1 October 2010, making it unlawful to discriminate, harass or victimize a trans person, including direct or indirect discrimination.  With this in effect, a transsexual person can ask an employer or service provider to make changes to his or her name and gender in public or private records by notifying them of their intention to transition (</w:t>
      </w:r>
      <w:r w:rsidR="00D6311F" w:rsidRPr="0028108F">
        <w:rPr>
          <w:rFonts w:ascii="Arial" w:hAnsi="Arial" w:cs="Arial"/>
          <w:szCs w:val="24"/>
          <w:lang w:val="en-GB"/>
        </w:rPr>
        <w:t>ie</w:t>
      </w:r>
      <w:r w:rsidRPr="0028108F">
        <w:rPr>
          <w:rFonts w:ascii="Arial" w:hAnsi="Arial" w:cs="Arial"/>
          <w:szCs w:val="24"/>
          <w:lang w:val="en-GB"/>
        </w:rPr>
        <w:t>, when the transsexual person starts the process of living permanently in the preferred gender role prior to any gender reassignment treatment or surgery), and by providing a statutory declaration of name and gender change.</w:t>
      </w:r>
      <w:r w:rsidRPr="00181CF2">
        <w:rPr>
          <w:rStyle w:val="FootnoteReference"/>
          <w:rFonts w:ascii="Arial" w:hAnsi="Arial" w:cs="Arial"/>
          <w:szCs w:val="24"/>
          <w:lang w:val="en-GB"/>
        </w:rPr>
        <w:footnoteReference w:id="221"/>
      </w:r>
      <w:r w:rsidRPr="00181CF2">
        <w:rPr>
          <w:rFonts w:ascii="Arial" w:hAnsi="Arial" w:cs="Arial"/>
          <w:szCs w:val="24"/>
          <w:lang w:val="en-GB"/>
        </w:rPr>
        <w:t xml:space="preserve">  The organisations concerned must respect these changes as well as the change of ordinary titles of the transsexual person and change of details on such person’s records, and reissue relevant documents as required.</w:t>
      </w:r>
      <w:r w:rsidRPr="00181CF2">
        <w:rPr>
          <w:rStyle w:val="FootnoteReference"/>
          <w:rFonts w:ascii="Arial" w:hAnsi="Arial" w:cs="Arial"/>
          <w:szCs w:val="24"/>
          <w:lang w:val="en-GB"/>
        </w:rPr>
        <w:footnoteReference w:id="222"/>
      </w:r>
    </w:p>
    <w:p w:rsidR="00DE5BD5" w:rsidRPr="00C57CE1" w:rsidRDefault="00DE5BD5" w:rsidP="00DE5BD5">
      <w:pPr>
        <w:widowControl/>
        <w:tabs>
          <w:tab w:val="left" w:pos="1134"/>
        </w:tabs>
        <w:adjustRightInd w:val="0"/>
        <w:snapToGrid w:val="0"/>
        <w:jc w:val="both"/>
        <w:rPr>
          <w:rFonts w:ascii="Arial" w:hAnsi="Arial" w:cs="Arial"/>
          <w:kern w:val="0"/>
          <w:szCs w:val="24"/>
          <w:lang w:val="en-GB"/>
        </w:rPr>
      </w:pPr>
    </w:p>
    <w:p w:rsidR="00DE5BD5" w:rsidRPr="0028108F" w:rsidRDefault="00DE5BD5" w:rsidP="005C685F">
      <w:pPr>
        <w:keepNext/>
        <w:widowControl/>
        <w:tabs>
          <w:tab w:val="left" w:pos="1134"/>
        </w:tabs>
        <w:adjustRightInd w:val="0"/>
        <w:snapToGrid w:val="0"/>
        <w:jc w:val="both"/>
        <w:rPr>
          <w:rFonts w:ascii="Arial" w:hAnsi="Arial" w:cs="Arial"/>
          <w:b/>
          <w:i/>
          <w:kern w:val="0"/>
          <w:szCs w:val="24"/>
          <w:lang w:val="en-GB"/>
        </w:rPr>
      </w:pPr>
      <w:r w:rsidRPr="0028108F">
        <w:rPr>
          <w:rFonts w:ascii="Arial" w:hAnsi="Arial" w:cs="Arial"/>
          <w:b/>
          <w:i/>
          <w:kern w:val="0"/>
          <w:szCs w:val="24"/>
          <w:lang w:val="en-GB"/>
        </w:rPr>
        <w:t>Rigorous diagnostic requirements</w:t>
      </w:r>
    </w:p>
    <w:p w:rsidR="00DE5BD5" w:rsidRPr="0028108F" w:rsidRDefault="00DE5BD5" w:rsidP="005C685F">
      <w:pPr>
        <w:keepNext/>
        <w:widowControl/>
        <w:tabs>
          <w:tab w:val="left" w:pos="1134"/>
        </w:tabs>
        <w:adjustRightInd w:val="0"/>
        <w:snapToGrid w:val="0"/>
        <w:jc w:val="both"/>
        <w:rPr>
          <w:rFonts w:ascii="Arial" w:hAnsi="Arial" w:cs="Arial"/>
          <w:kern w:val="0"/>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eastAsia="Times New Roman" w:hAnsi="Arial" w:cs="Arial"/>
          <w:kern w:val="0"/>
          <w:szCs w:val="24"/>
          <w:lang w:val="en-GB"/>
        </w:rPr>
        <w:t>The non-surgical criteria for a GRC under the GRA was praised by t</w:t>
      </w:r>
      <w:r w:rsidRPr="0028108F">
        <w:rPr>
          <w:rFonts w:ascii="Arial" w:hAnsi="Arial" w:cs="Arial"/>
          <w:szCs w:val="24"/>
          <w:lang w:val="en-GB"/>
        </w:rPr>
        <w:t xml:space="preserve">he majority of the 25 participants in the 2010 study conducted by the </w:t>
      </w:r>
      <w:r w:rsidRPr="0028108F">
        <w:rPr>
          <w:rFonts w:ascii="Arial" w:hAnsi="Arial" w:cs="Arial"/>
          <w:szCs w:val="24"/>
          <w:lang w:val="en-GB"/>
        </w:rPr>
        <w:lastRenderedPageBreak/>
        <w:t xml:space="preserve">University of Leeds, as it was felt that surgical criteria would have been discriminatory against people who could not afford private surgery or were unable to have surgery due to medical reasons.  Yet, it was often highlighted that the continuation of the </w:t>
      </w:r>
      <w:r w:rsidRPr="0028108F">
        <w:rPr>
          <w:rFonts w:ascii="Arial" w:hAnsi="Arial" w:cs="Arial"/>
          <w:i/>
          <w:szCs w:val="24"/>
          <w:lang w:val="en-GB"/>
        </w:rPr>
        <w:t>“</w:t>
      </w:r>
      <w:r w:rsidR="00043FD0" w:rsidRPr="0028108F">
        <w:rPr>
          <w:rFonts w:ascii="Arial" w:hAnsi="Arial" w:cs="Arial"/>
          <w:i/>
          <w:szCs w:val="24"/>
          <w:lang w:val="en-GB"/>
        </w:rPr>
        <w:t>real life test</w:t>
      </w:r>
      <w:r w:rsidRPr="0028108F">
        <w:rPr>
          <w:rFonts w:ascii="Arial" w:hAnsi="Arial" w:cs="Arial"/>
          <w:i/>
          <w:szCs w:val="24"/>
          <w:lang w:val="en-GB"/>
        </w:rPr>
        <w:t>”</w:t>
      </w:r>
      <w:r w:rsidRPr="0028108F">
        <w:rPr>
          <w:rFonts w:ascii="Arial" w:hAnsi="Arial" w:cs="Arial"/>
          <w:szCs w:val="24"/>
          <w:lang w:val="en-GB"/>
        </w:rPr>
        <w:t xml:space="preserve"> undermined such a freedom of choice.</w:t>
      </w:r>
      <w:r w:rsidRPr="00181CF2">
        <w:rPr>
          <w:rStyle w:val="FootnoteReference"/>
          <w:rFonts w:ascii="Arial" w:eastAsia="Times New Roman" w:hAnsi="Arial" w:cs="Arial"/>
          <w:kern w:val="0"/>
          <w:szCs w:val="24"/>
          <w:lang w:val="en-GB"/>
        </w:rPr>
        <w:footnoteReference w:id="223"/>
      </w:r>
      <w:r w:rsidRPr="00181CF2">
        <w:rPr>
          <w:rFonts w:ascii="Arial" w:hAnsi="Arial" w:cs="Arial"/>
          <w:szCs w:val="24"/>
          <w:lang w:val="en-GB"/>
        </w:rPr>
        <w:t xml:space="preserve">  </w:t>
      </w:r>
    </w:p>
    <w:p w:rsidR="00DE5BD5" w:rsidRPr="00C57CE1" w:rsidRDefault="00DE5BD5" w:rsidP="00DE5BD5">
      <w:pPr>
        <w:widowControl/>
        <w:tabs>
          <w:tab w:val="left" w:pos="1134"/>
        </w:tabs>
        <w:adjustRightInd w:val="0"/>
        <w:snapToGrid w:val="0"/>
        <w:jc w:val="both"/>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Further, </w:t>
      </w:r>
      <w:r w:rsidR="009A1E18">
        <w:rPr>
          <w:rFonts w:ascii="Arial" w:hAnsi="Arial" w:cs="Arial" w:hint="eastAsia"/>
          <w:szCs w:val="24"/>
          <w:lang w:val="en-GB"/>
        </w:rPr>
        <w:t>some</w:t>
      </w:r>
      <w:r w:rsidRPr="0028108F">
        <w:rPr>
          <w:rFonts w:ascii="Arial" w:hAnsi="Arial" w:cs="Arial"/>
          <w:szCs w:val="24"/>
          <w:lang w:val="en-GB"/>
        </w:rPr>
        <w:t xml:space="preserve"> argued that the diagnostic statement demanded by the GRP is rigorous in that it requires details of the many early assessment sessions and how the diagnosis was reached.  One possible solution is to be reassessed by a registered psychiatrist in the UK, yet as many transsexual people will say, they are no longer distressed about their gender identity after long years of treatment and gender reassignment – which is a major factor in the diagnosis.  The long National Health Service waiting list mentioned earlier would make obtaining a re-diagnosis not a realistically option for many trans people who desire gender recognition.</w:t>
      </w:r>
      <w:r w:rsidRPr="00181CF2">
        <w:rPr>
          <w:rStyle w:val="FootnoteReference"/>
          <w:rFonts w:ascii="Arial" w:hAnsi="Arial" w:cs="Arial"/>
          <w:szCs w:val="24"/>
          <w:lang w:val="en-GB"/>
        </w:rPr>
        <w:footnoteReference w:id="224"/>
      </w:r>
      <w:r w:rsidRPr="00181CF2">
        <w:rPr>
          <w:rFonts w:ascii="Arial" w:hAnsi="Arial" w:cs="Arial"/>
          <w:szCs w:val="24"/>
          <w:lang w:val="en-GB"/>
        </w:rPr>
        <w:t xml:space="preserve"> </w:t>
      </w:r>
    </w:p>
    <w:p w:rsidR="00DE5BD5" w:rsidRPr="00C57CE1"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b/>
          <w:i/>
          <w:kern w:val="0"/>
          <w:szCs w:val="24"/>
          <w:lang w:val="en-GB"/>
        </w:rPr>
      </w:pPr>
      <w:r w:rsidRPr="0028108F">
        <w:rPr>
          <w:rFonts w:ascii="Arial" w:hAnsi="Arial" w:cs="Arial"/>
          <w:b/>
          <w:i/>
          <w:kern w:val="0"/>
          <w:szCs w:val="24"/>
          <w:lang w:val="en-GB"/>
        </w:rPr>
        <w:t xml:space="preserve">Other </w:t>
      </w:r>
      <w:r w:rsidR="007C05D9">
        <w:rPr>
          <w:rFonts w:ascii="Arial" w:hAnsi="Arial" w:cs="Arial" w:hint="eastAsia"/>
          <w:b/>
          <w:i/>
          <w:kern w:val="0"/>
          <w:szCs w:val="24"/>
          <w:lang w:val="en-GB"/>
        </w:rPr>
        <w:t>observations</w:t>
      </w:r>
    </w:p>
    <w:p w:rsidR="00DE5BD5" w:rsidRPr="0028108F" w:rsidRDefault="00DE5BD5" w:rsidP="00DE5BD5">
      <w:pPr>
        <w:widowControl/>
        <w:tabs>
          <w:tab w:val="left" w:pos="1134"/>
        </w:tabs>
        <w:adjustRightInd w:val="0"/>
        <w:snapToGrid w:val="0"/>
        <w:jc w:val="both"/>
        <w:rPr>
          <w:rFonts w:ascii="Arial" w:hAnsi="Arial" w:cs="Arial"/>
          <w:color w:val="000000"/>
          <w:kern w:val="0"/>
          <w:szCs w:val="24"/>
          <w:lang w:val="en-GB"/>
        </w:rPr>
      </w:pPr>
    </w:p>
    <w:p w:rsidR="00DE5BD5" w:rsidRPr="00C57CE1"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Views have also been expressed on the issue of depathologisation of transgenderism, endorsing the approach that medical and psychiatric professionals should not be involved in the process of gender recognition.</w:t>
      </w:r>
      <w:r w:rsidRPr="00181CF2">
        <w:rPr>
          <w:rStyle w:val="FootnoteReference"/>
          <w:rFonts w:ascii="Arial" w:hAnsi="Arial" w:cs="Arial"/>
          <w:szCs w:val="24"/>
          <w:lang w:val="en-GB"/>
        </w:rPr>
        <w:footnoteReference w:id="225"/>
      </w:r>
      <w:r w:rsidRPr="00181CF2">
        <w:rPr>
          <w:rFonts w:ascii="Arial" w:hAnsi="Arial" w:cs="Arial"/>
          <w:szCs w:val="24"/>
          <w:lang w:val="en-GB"/>
        </w:rPr>
        <w:t xml:space="preserve">  Around half of the 25 participants in the University of Leeds study felt strongly that issues around gender </w:t>
      </w:r>
      <w:r w:rsidRPr="00C57CE1">
        <w:rPr>
          <w:rFonts w:ascii="Arial" w:hAnsi="Arial" w:cs="Arial"/>
          <w:szCs w:val="24"/>
          <w:lang w:val="en-GB"/>
        </w:rPr>
        <w:t xml:space="preserve">and identity and recognition should not be left in the hands of psychiatrists, which was a requirement of the UK system rarely found, they argued, in gender recognition legislation in other jurisdictions.  </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Further, that ‘gender dysphoria’ remains a listed mental illness on the Diagnostic and Statistical Manual of Mental Disorders (DSM)</w:t>
      </w:r>
      <w:r w:rsidRPr="00181CF2">
        <w:rPr>
          <w:rStyle w:val="FootnoteReference"/>
          <w:rFonts w:ascii="Arial" w:hAnsi="Arial" w:cs="Arial"/>
          <w:szCs w:val="24"/>
          <w:lang w:val="en-GB"/>
        </w:rPr>
        <w:footnoteReference w:id="226"/>
      </w:r>
      <w:r w:rsidRPr="00181CF2">
        <w:rPr>
          <w:rFonts w:ascii="Arial" w:hAnsi="Arial" w:cs="Arial"/>
          <w:szCs w:val="24"/>
          <w:lang w:val="en-GB"/>
        </w:rPr>
        <w:t xml:space="preserve"> was criticised by many participants, who thought that it is not a mental illness requiring the involvement of medical practitioners for gender recognition.  </w:t>
      </w:r>
    </w:p>
    <w:p w:rsidR="00DE5BD5" w:rsidRPr="00C57CE1"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Some participants believed that the guiding framework of gender recognition should be se</w:t>
      </w:r>
      <w:r w:rsidRPr="0028108F">
        <w:rPr>
          <w:rFonts w:ascii="Arial" w:eastAsia="Default San Serif" w:hAnsi="Arial" w:cs="Arial"/>
          <w:color w:val="000000"/>
          <w:kern w:val="0"/>
          <w:szCs w:val="24"/>
          <w:lang w:val="en-GB"/>
        </w:rPr>
        <w:t>parated altogether from a biological model of sex and gender.  They called for a more simplified application process and less requirements for medical evidence as well as less involvement of medical practitioners in the legal process of gender recognition.</w:t>
      </w:r>
      <w:r w:rsidRPr="0028108F">
        <w:rPr>
          <w:rStyle w:val="FootnoteReference"/>
          <w:rFonts w:ascii="Arial" w:eastAsia="Times New Roman" w:hAnsi="Arial" w:cs="Arial"/>
          <w:kern w:val="0"/>
          <w:szCs w:val="24"/>
          <w:lang w:val="en-GB"/>
        </w:rPr>
        <w:footnoteReference w:id="227"/>
      </w: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i/>
          <w:szCs w:val="24"/>
          <w:lang w:val="en-GB"/>
        </w:rPr>
      </w:pPr>
      <w:r w:rsidRPr="0028108F">
        <w:rPr>
          <w:rFonts w:ascii="Arial" w:hAnsi="Arial" w:cs="Arial"/>
          <w:szCs w:val="24"/>
          <w:lang w:val="en-GB"/>
        </w:rPr>
        <w:lastRenderedPageBreak/>
        <w:t xml:space="preserve">Further, the majority of the participants felt that the GRA excluded people whose </w:t>
      </w:r>
      <w:r w:rsidRPr="0028108F">
        <w:rPr>
          <w:rFonts w:ascii="Arial" w:eastAsia="Default San Serif" w:hAnsi="Arial" w:cs="Arial"/>
          <w:color w:val="000000"/>
          <w:kern w:val="0"/>
          <w:szCs w:val="24"/>
          <w:lang w:val="en-GB"/>
        </w:rPr>
        <w:t>gender</w:t>
      </w:r>
      <w:r w:rsidRPr="0028108F">
        <w:rPr>
          <w:rFonts w:ascii="Arial" w:hAnsi="Arial" w:cs="Arial"/>
          <w:szCs w:val="24"/>
          <w:lang w:val="en-GB"/>
        </w:rPr>
        <w:t xml:space="preserve"> identities fell outside the categories of male or female and thus inappropriately forced them to fit into these two categories.  In this way, the GRA was criticised for reproducing a binary gender model which was unfair for those whose gender identities were not binary.</w:t>
      </w:r>
      <w:r w:rsidRPr="0028108F">
        <w:rPr>
          <w:rStyle w:val="FootnoteReference"/>
          <w:rFonts w:ascii="Arial" w:hAnsi="Arial" w:cs="Arial"/>
          <w:szCs w:val="24"/>
          <w:lang w:val="en-GB"/>
        </w:rPr>
        <w:footnoteReference w:id="228"/>
      </w:r>
      <w:r w:rsidRPr="0028108F">
        <w:rPr>
          <w:rFonts w:ascii="Arial" w:hAnsi="Arial" w:cs="Arial"/>
          <w:szCs w:val="24"/>
          <w:lang w:val="en-GB"/>
        </w:rPr>
        <w:t xml:space="preserve">  </w:t>
      </w:r>
    </w:p>
    <w:p w:rsidR="00DE5BD5" w:rsidRPr="0028108F" w:rsidRDefault="00DE5BD5" w:rsidP="00DE5BD5">
      <w:pPr>
        <w:widowControl/>
        <w:tabs>
          <w:tab w:val="left" w:pos="1134"/>
        </w:tabs>
        <w:adjustRightInd w:val="0"/>
        <w:snapToGrid w:val="0"/>
        <w:jc w:val="both"/>
        <w:rPr>
          <w:rFonts w:ascii="Arial" w:hAnsi="Arial" w:cs="Arial"/>
          <w:i/>
          <w:szCs w:val="24"/>
          <w:lang w:val="en-GB"/>
        </w:rPr>
      </w:pPr>
    </w:p>
    <w:p w:rsidR="00DE5BD5" w:rsidRPr="0028108F" w:rsidRDefault="00DE5BD5" w:rsidP="00DE5BD5">
      <w:pPr>
        <w:widowControl/>
        <w:tabs>
          <w:tab w:val="left" w:pos="1134"/>
        </w:tabs>
        <w:adjustRightInd w:val="0"/>
        <w:snapToGrid w:val="0"/>
        <w:jc w:val="both"/>
        <w:rPr>
          <w:rFonts w:ascii="Arial" w:hAnsi="Arial" w:cs="Arial"/>
          <w:b/>
          <w:i/>
          <w:szCs w:val="24"/>
          <w:lang w:val="en-GB"/>
        </w:rPr>
      </w:pPr>
      <w:r w:rsidRPr="0028108F">
        <w:rPr>
          <w:rFonts w:ascii="Arial" w:hAnsi="Arial" w:cs="Arial"/>
          <w:b/>
          <w:i/>
          <w:szCs w:val="24"/>
          <w:lang w:val="en-GB"/>
        </w:rPr>
        <w:t>Reform proposals</w:t>
      </w:r>
    </w:p>
    <w:p w:rsidR="00DE5BD5" w:rsidRPr="0028108F" w:rsidRDefault="00DE5BD5" w:rsidP="00DE5BD5">
      <w:pPr>
        <w:widowControl/>
        <w:tabs>
          <w:tab w:val="left" w:pos="1134"/>
        </w:tabs>
        <w:adjustRightInd w:val="0"/>
        <w:snapToGrid w:val="0"/>
        <w:jc w:val="both"/>
        <w:rPr>
          <w:rFonts w:ascii="Arial" w:hAnsi="Arial" w:cs="Arial"/>
          <w:i/>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During the stage of considering the Bill, a campaigning organisation namely </w:t>
      </w:r>
      <w:r w:rsidRPr="0028108F">
        <w:rPr>
          <w:rFonts w:ascii="Arial" w:hAnsi="Arial" w:cs="Arial"/>
          <w:i/>
          <w:szCs w:val="24"/>
          <w:lang w:val="en-GB"/>
        </w:rPr>
        <w:t>Liberty</w:t>
      </w:r>
      <w:r w:rsidRPr="0028108F">
        <w:rPr>
          <w:rFonts w:ascii="Arial" w:hAnsi="Arial" w:cs="Arial"/>
          <w:szCs w:val="24"/>
          <w:lang w:val="en-GB"/>
        </w:rPr>
        <w:t xml:space="preserve"> recommended, amongst other things, that contemporaneous medical reports should be acceptable as the evidence required by the GRP when considering an application for gender recognition, so as to simplify the requirements for the applicants to obtain further medical reports after years of diagnosis that he or she </w:t>
      </w:r>
      <w:r w:rsidR="00CB1B80">
        <w:rPr>
          <w:rFonts w:ascii="Arial" w:hAnsi="Arial" w:cs="Arial" w:hint="eastAsia"/>
          <w:szCs w:val="24"/>
          <w:lang w:val="en-GB"/>
        </w:rPr>
        <w:t>experienced</w:t>
      </w:r>
      <w:r w:rsidR="00CB1B80" w:rsidRPr="0028108F">
        <w:rPr>
          <w:rFonts w:ascii="Arial" w:hAnsi="Arial" w:cs="Arial"/>
          <w:szCs w:val="24"/>
          <w:lang w:val="en-GB"/>
        </w:rPr>
        <w:t xml:space="preserve"> </w:t>
      </w:r>
      <w:r w:rsidRPr="0028108F">
        <w:rPr>
          <w:rFonts w:ascii="Arial" w:hAnsi="Arial" w:cs="Arial"/>
          <w:szCs w:val="24"/>
          <w:lang w:val="en-GB"/>
        </w:rPr>
        <w:t>gender dysphoria.</w:t>
      </w:r>
      <w:r w:rsidRPr="0028108F">
        <w:rPr>
          <w:rStyle w:val="FootnoteReference"/>
          <w:rFonts w:ascii="Arial" w:hAnsi="Arial" w:cs="Arial"/>
          <w:szCs w:val="24"/>
          <w:lang w:val="en-GB"/>
        </w:rPr>
        <w:footnoteReference w:id="229"/>
      </w:r>
      <w:r w:rsidRPr="0028108F">
        <w:rPr>
          <w:rFonts w:ascii="Arial" w:hAnsi="Arial" w:cs="Arial"/>
          <w:szCs w:val="24"/>
          <w:lang w:val="en-GB"/>
        </w:rPr>
        <w:t xml:space="preserve">  This recommendation has not yet been adopted in law or by the GRP.</w:t>
      </w:r>
    </w:p>
    <w:p w:rsidR="00DE5BD5" w:rsidRPr="0028108F" w:rsidRDefault="00DE5BD5" w:rsidP="00DE5BD5">
      <w:pPr>
        <w:pStyle w:val="ListParagrap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There </w:t>
      </w:r>
      <w:r w:rsidR="00D41803" w:rsidRPr="0028108F">
        <w:rPr>
          <w:rFonts w:ascii="Arial" w:hAnsi="Arial" w:cs="Arial"/>
          <w:szCs w:val="24"/>
          <w:lang w:val="en-GB"/>
        </w:rPr>
        <w:t>ha</w:t>
      </w:r>
      <w:r w:rsidR="00D41803">
        <w:rPr>
          <w:rFonts w:ascii="Arial" w:hAnsi="Arial" w:cs="Arial" w:hint="eastAsia"/>
          <w:szCs w:val="24"/>
          <w:lang w:val="en-GB"/>
        </w:rPr>
        <w:t>ve</w:t>
      </w:r>
      <w:r w:rsidR="00D41803" w:rsidRPr="0028108F">
        <w:rPr>
          <w:rFonts w:ascii="Arial" w:hAnsi="Arial" w:cs="Arial"/>
          <w:szCs w:val="24"/>
          <w:lang w:val="en-GB"/>
        </w:rPr>
        <w:t xml:space="preserve"> </w:t>
      </w:r>
      <w:r w:rsidRPr="0028108F">
        <w:rPr>
          <w:rFonts w:ascii="Arial" w:hAnsi="Arial" w:cs="Arial"/>
          <w:szCs w:val="24"/>
          <w:lang w:val="en-GB"/>
        </w:rPr>
        <w:t xml:space="preserve">recently been calls for re-evaluation of the structure of the current gender recognition scheme in the UK, particularly after the emergence of self-declaration models in countries like Argentina, Denmark and Malta (summaries of the gender recognition schemes in these jurisdictions can be found in </w:t>
      </w:r>
      <w:r w:rsidRPr="008813DE">
        <w:rPr>
          <w:rFonts w:ascii="Arial" w:hAnsi="Arial" w:cs="Arial"/>
          <w:szCs w:val="24"/>
          <w:lang w:val="en-GB"/>
        </w:rPr>
        <w:t>Chapter 4 and Annex</w:t>
      </w:r>
      <w:r w:rsidR="002157E0" w:rsidRPr="008813DE">
        <w:rPr>
          <w:rFonts w:ascii="Arial" w:hAnsi="Arial" w:cs="Arial"/>
          <w:szCs w:val="24"/>
          <w:lang w:val="en-GB"/>
        </w:rPr>
        <w:t xml:space="preserve"> B</w:t>
      </w:r>
      <w:r w:rsidRPr="00181CF2">
        <w:rPr>
          <w:rFonts w:ascii="Arial" w:hAnsi="Arial" w:cs="Arial"/>
          <w:szCs w:val="24"/>
          <w:lang w:val="en-GB"/>
        </w:rPr>
        <w:t xml:space="preserve"> of this Consultation Paper), as well as the 2014 report published by the European Union Agency for Fundamental Rights which reported on the high rates of discrimination experienced by transgender individuals in, </w:t>
      </w:r>
      <w:r w:rsidRPr="00C57CE1">
        <w:rPr>
          <w:rFonts w:ascii="Arial" w:hAnsi="Arial" w:cs="Arial"/>
          <w:i/>
          <w:szCs w:val="24"/>
          <w:lang w:val="en-GB"/>
        </w:rPr>
        <w:t>inter alia</w:t>
      </w:r>
      <w:r w:rsidRPr="0028108F">
        <w:rPr>
          <w:rFonts w:ascii="Arial" w:hAnsi="Arial" w:cs="Arial"/>
          <w:szCs w:val="24"/>
          <w:lang w:val="en-GB"/>
        </w:rPr>
        <w:t>, the UK</w:t>
      </w:r>
      <w:r w:rsidR="00D41803">
        <w:rPr>
          <w:rFonts w:ascii="Arial" w:hAnsi="Arial" w:cs="Arial" w:hint="eastAsia"/>
          <w:szCs w:val="24"/>
          <w:lang w:val="en-GB"/>
        </w:rPr>
        <w:t>,</w:t>
      </w:r>
      <w:r w:rsidRPr="0028108F">
        <w:rPr>
          <w:rFonts w:ascii="Arial" w:hAnsi="Arial" w:cs="Arial"/>
          <w:szCs w:val="24"/>
          <w:lang w:val="en-GB"/>
        </w:rPr>
        <w:t xml:space="preserve"> attributing significantly to their inability to access proper identity documents and the stigmatising pre-requisites which they must satisfy to obtain recognition.</w:t>
      </w:r>
      <w:r w:rsidRPr="0028108F">
        <w:rPr>
          <w:rStyle w:val="FootnoteReference"/>
          <w:rFonts w:ascii="Arial" w:hAnsi="Arial" w:cs="Arial"/>
          <w:szCs w:val="24"/>
          <w:lang w:val="en-GB"/>
        </w:rPr>
        <w:footnoteReference w:id="230"/>
      </w:r>
    </w:p>
    <w:p w:rsidR="00DE5BD5" w:rsidRPr="0028108F" w:rsidRDefault="00DE5BD5" w:rsidP="0028108F">
      <w:pPr>
        <w:tabs>
          <w:tab w:val="left" w:pos="993"/>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In January 2016, the Women and Equalities Committee (a Parliamentary committee in the UK appointed by the House of Commons in June 2015 to oversee equalities issues)</w:t>
      </w:r>
      <w:r w:rsidRPr="0028108F">
        <w:rPr>
          <w:rStyle w:val="FootnoteReference"/>
          <w:rFonts w:ascii="Arial" w:hAnsi="Arial" w:cs="Arial"/>
          <w:szCs w:val="24"/>
          <w:lang w:val="en-GB"/>
        </w:rPr>
        <w:footnoteReference w:id="231"/>
      </w:r>
      <w:r w:rsidRPr="0028108F">
        <w:rPr>
          <w:rFonts w:ascii="Arial" w:hAnsi="Arial" w:cs="Arial"/>
          <w:szCs w:val="24"/>
          <w:lang w:val="en-GB"/>
        </w:rPr>
        <w:t xml:space="preserve"> released a report on </w:t>
      </w:r>
      <w:r w:rsidRPr="0028108F">
        <w:rPr>
          <w:rFonts w:ascii="Arial" w:hAnsi="Arial" w:cs="Arial"/>
          <w:i/>
          <w:szCs w:val="24"/>
          <w:lang w:val="en-GB"/>
        </w:rPr>
        <w:t>Transgender Equality</w:t>
      </w:r>
      <w:r w:rsidRPr="0028108F">
        <w:rPr>
          <w:rFonts w:ascii="Arial" w:hAnsi="Arial" w:cs="Arial"/>
          <w:szCs w:val="24"/>
          <w:lang w:val="en-GB"/>
        </w:rPr>
        <w:t xml:space="preserve"> calling for, </w:t>
      </w:r>
      <w:r w:rsidRPr="0028108F">
        <w:rPr>
          <w:rFonts w:ascii="Arial" w:hAnsi="Arial" w:cs="Arial"/>
          <w:i/>
          <w:szCs w:val="24"/>
          <w:lang w:val="en-GB"/>
        </w:rPr>
        <w:t>inter alia</w:t>
      </w:r>
      <w:r w:rsidRPr="0028108F">
        <w:rPr>
          <w:rFonts w:ascii="Arial" w:hAnsi="Arial" w:cs="Arial"/>
          <w:szCs w:val="24"/>
          <w:lang w:val="en-GB"/>
        </w:rPr>
        <w:t>, proposals to update the GRA in line with the principles of gender self-declaration that have been developed in some other jurisdictions.</w:t>
      </w:r>
      <w:r w:rsidRPr="0028108F">
        <w:rPr>
          <w:rStyle w:val="FootnoteReference"/>
          <w:rFonts w:ascii="Arial" w:hAnsi="Arial" w:cs="Arial"/>
          <w:szCs w:val="24"/>
          <w:lang w:val="en-GB"/>
        </w:rPr>
        <w:footnoteReference w:id="232"/>
      </w:r>
      <w:r w:rsidRPr="0028108F">
        <w:rPr>
          <w:rFonts w:ascii="Arial" w:hAnsi="Arial" w:cs="Arial"/>
          <w:szCs w:val="24"/>
          <w:lang w:val="en-GB"/>
        </w:rPr>
        <w:t xml:space="preserve">  In place of the present medicalised, quasi-judicial application process, the Committee recommended that an administrative process should be developed, centred on the wishes of the individual applicant, rather than on intensive analysis by doctors and lawyers.  The Committee also </w:t>
      </w:r>
      <w:r w:rsidRPr="0028108F">
        <w:rPr>
          <w:rFonts w:ascii="Arial" w:hAnsi="Arial" w:cs="Arial"/>
          <w:szCs w:val="24"/>
          <w:lang w:val="en-GB"/>
        </w:rPr>
        <w:lastRenderedPageBreak/>
        <w:t>recommended that the gender recognition process should be opened up to applicants aged 16 and 17, with appropriate support, on the basis of self-declaration,</w:t>
      </w:r>
      <w:r w:rsidRPr="0028108F">
        <w:rPr>
          <w:rStyle w:val="FootnoteReference"/>
          <w:rFonts w:ascii="Arial" w:hAnsi="Arial" w:cs="Arial"/>
          <w:szCs w:val="24"/>
          <w:lang w:val="en-GB"/>
        </w:rPr>
        <w:footnoteReference w:id="233"/>
      </w:r>
      <w:r w:rsidRPr="0028108F">
        <w:rPr>
          <w:rFonts w:ascii="Arial" w:hAnsi="Arial" w:cs="Arial"/>
          <w:szCs w:val="24"/>
          <w:lang w:val="en-GB"/>
        </w:rPr>
        <w:t xml:space="preserve"> and that there should be an option to record gender as </w:t>
      </w:r>
      <w:r w:rsidRPr="0028108F">
        <w:rPr>
          <w:rFonts w:ascii="Arial" w:hAnsi="Arial" w:cs="Arial"/>
          <w:i/>
          <w:szCs w:val="24"/>
          <w:lang w:val="en-GB"/>
        </w:rPr>
        <w:t>“X”</w:t>
      </w:r>
      <w:r w:rsidRPr="0028108F">
        <w:rPr>
          <w:rFonts w:ascii="Arial" w:hAnsi="Arial" w:cs="Arial"/>
          <w:szCs w:val="24"/>
          <w:lang w:val="en-GB"/>
        </w:rPr>
        <w:t xml:space="preserve"> on a passport.</w:t>
      </w:r>
      <w:r w:rsidRPr="0028108F">
        <w:rPr>
          <w:rStyle w:val="FootnoteReference"/>
          <w:rFonts w:ascii="Arial" w:hAnsi="Arial" w:cs="Arial"/>
          <w:szCs w:val="24"/>
          <w:lang w:val="en-GB"/>
        </w:rPr>
        <w:footnoteReference w:id="234"/>
      </w:r>
    </w:p>
    <w:p w:rsidR="0065537A" w:rsidRPr="0028108F" w:rsidRDefault="0065537A" w:rsidP="00DE5BD5">
      <w:pPr>
        <w:tabs>
          <w:tab w:val="left" w:pos="993"/>
        </w:tabs>
        <w:adjustRightInd w:val="0"/>
        <w:snapToGrid w:val="0"/>
        <w:jc w:val="both"/>
        <w:rPr>
          <w:rFonts w:ascii="Arial" w:hAnsi="Arial" w:cs="Arial"/>
          <w:szCs w:val="24"/>
          <w:lang w:val="en-GB"/>
        </w:rPr>
      </w:pPr>
    </w:p>
    <w:p w:rsidR="00DE5BD5" w:rsidRPr="0028108F" w:rsidRDefault="00DE5BD5" w:rsidP="00DE5BD5">
      <w:pPr>
        <w:widowControl/>
        <w:tabs>
          <w:tab w:val="left" w:pos="1134"/>
        </w:tabs>
        <w:adjustRightInd w:val="0"/>
        <w:snapToGrid w:val="0"/>
        <w:jc w:val="both"/>
        <w:rPr>
          <w:rFonts w:ascii="Arial" w:hAnsi="Arial" w:cs="Arial"/>
          <w:b/>
          <w:i/>
          <w:szCs w:val="24"/>
          <w:lang w:val="en-GB"/>
        </w:rPr>
      </w:pPr>
      <w:r w:rsidRPr="0028108F">
        <w:rPr>
          <w:rFonts w:ascii="Arial" w:hAnsi="Arial" w:cs="Arial"/>
          <w:b/>
          <w:i/>
          <w:szCs w:val="24"/>
          <w:lang w:val="en-GB"/>
        </w:rPr>
        <w:t>Judicial challenges related to the GRA</w:t>
      </w:r>
    </w:p>
    <w:p w:rsidR="00DE5BD5" w:rsidRPr="0028108F" w:rsidRDefault="00DE5BD5" w:rsidP="0028108F">
      <w:pPr>
        <w:tabs>
          <w:tab w:val="left" w:pos="993"/>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Prior to the reform proposals above being put forward, there were two High Court decisions in 2015 concerning the means by which the UK legally recognises a transsexual person’s acquired gender under the GRA, namely </w:t>
      </w:r>
      <w:r w:rsidRPr="0028108F">
        <w:rPr>
          <w:rFonts w:ascii="Arial" w:hAnsi="Arial" w:cs="Arial"/>
          <w:i/>
          <w:szCs w:val="24"/>
          <w:lang w:val="en-GB"/>
        </w:rPr>
        <w:t>R (on the application of JK) v Registrar General for England and Wales</w:t>
      </w:r>
      <w:r w:rsidR="00C9791A" w:rsidRPr="0028108F">
        <w:rPr>
          <w:rFonts w:ascii="Arial" w:hAnsi="Arial" w:cs="Arial"/>
          <w:szCs w:val="24"/>
          <w:lang w:val="en-GB"/>
        </w:rPr>
        <w:t xml:space="preserve"> (2015)</w:t>
      </w:r>
      <w:r w:rsidRPr="00181CF2">
        <w:rPr>
          <w:rStyle w:val="FootnoteReference"/>
          <w:rFonts w:ascii="Arial" w:hAnsi="Arial" w:cs="Arial"/>
          <w:szCs w:val="24"/>
          <w:lang w:val="en-GB"/>
        </w:rPr>
        <w:footnoteReference w:id="235"/>
      </w:r>
      <w:r w:rsidRPr="00181CF2">
        <w:rPr>
          <w:rFonts w:ascii="Arial" w:hAnsi="Arial" w:cs="Arial"/>
          <w:i/>
          <w:szCs w:val="24"/>
          <w:lang w:val="en-GB"/>
        </w:rPr>
        <w:t xml:space="preserve"> </w:t>
      </w:r>
      <w:r w:rsidRPr="00C57CE1">
        <w:rPr>
          <w:rFonts w:ascii="Arial" w:hAnsi="Arial" w:cs="Arial"/>
          <w:szCs w:val="24"/>
          <w:lang w:val="en-GB"/>
        </w:rPr>
        <w:t>and</w:t>
      </w:r>
      <w:r w:rsidRPr="0028108F">
        <w:rPr>
          <w:rFonts w:ascii="Arial" w:hAnsi="Arial" w:cs="Arial"/>
          <w:i/>
          <w:szCs w:val="24"/>
          <w:lang w:val="en-GB"/>
        </w:rPr>
        <w:t xml:space="preserve"> Carpenter v Secretary of State for Justice</w:t>
      </w:r>
      <w:r w:rsidR="00C9791A" w:rsidRPr="0028108F">
        <w:rPr>
          <w:rFonts w:ascii="Arial" w:hAnsi="Arial" w:cs="Arial"/>
          <w:szCs w:val="24"/>
          <w:lang w:val="en-GB"/>
        </w:rPr>
        <w:t xml:space="preserve"> (2015)</w:t>
      </w:r>
      <w:r w:rsidRPr="0028108F">
        <w:rPr>
          <w:rFonts w:ascii="Arial" w:hAnsi="Arial" w:cs="Arial"/>
          <w:szCs w:val="24"/>
          <w:lang w:val="en-GB"/>
        </w:rPr>
        <w:t>.</w:t>
      </w:r>
      <w:r w:rsidRPr="00181CF2">
        <w:rPr>
          <w:rStyle w:val="FootnoteReference"/>
          <w:rFonts w:ascii="Arial" w:hAnsi="Arial" w:cs="Arial"/>
          <w:szCs w:val="24"/>
          <w:lang w:val="en-GB"/>
        </w:rPr>
        <w:footnoteReference w:id="236"/>
      </w:r>
      <w:r w:rsidRPr="00181CF2">
        <w:rPr>
          <w:rFonts w:ascii="Arial" w:hAnsi="Arial" w:cs="Arial"/>
          <w:i/>
          <w:szCs w:val="24"/>
          <w:lang w:val="en-GB"/>
        </w:rPr>
        <w:t xml:space="preserve">  </w:t>
      </w:r>
      <w:r w:rsidRPr="00C57CE1">
        <w:rPr>
          <w:rFonts w:ascii="Arial" w:hAnsi="Arial" w:cs="Arial"/>
          <w:szCs w:val="24"/>
          <w:lang w:val="en-GB"/>
        </w:rPr>
        <w:t>Both cases required the court to consider the impact of the GRA on the rights of transsexu</w:t>
      </w:r>
      <w:r w:rsidRPr="0028108F">
        <w:rPr>
          <w:rFonts w:ascii="Arial" w:hAnsi="Arial" w:cs="Arial"/>
          <w:szCs w:val="24"/>
          <w:lang w:val="en-GB"/>
        </w:rPr>
        <w:t>al persons to respect for their private and family lives pursuant to Article 8 of the ECHR, as well as their right not to be discriminated against in their enjoyment of the ECHR rights by virtue of Article 14.</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main issue in the </w:t>
      </w:r>
      <w:r w:rsidRPr="0028108F">
        <w:rPr>
          <w:rFonts w:ascii="Arial" w:hAnsi="Arial" w:cs="Arial"/>
          <w:i/>
          <w:szCs w:val="24"/>
          <w:lang w:val="en-GB"/>
        </w:rPr>
        <w:t>JK</w:t>
      </w:r>
      <w:r w:rsidRPr="0028108F">
        <w:rPr>
          <w:rFonts w:ascii="Arial" w:hAnsi="Arial" w:cs="Arial"/>
          <w:szCs w:val="24"/>
          <w:lang w:val="en-GB"/>
        </w:rPr>
        <w:t xml:space="preserve"> case was whether the Registrar General’s refusal to allow the alteration of the birth certificates of two children of a male-to-female transsexual person recognised under the GRA was a breach of Articles 8 and 14 of the ECHR.  The applicant challenged the requirement that she be recorded as </w:t>
      </w:r>
      <w:r w:rsidRPr="0028108F">
        <w:rPr>
          <w:rFonts w:ascii="Arial" w:hAnsi="Arial" w:cs="Arial"/>
          <w:i/>
          <w:szCs w:val="24"/>
          <w:lang w:val="en-GB"/>
        </w:rPr>
        <w:t>“father”</w:t>
      </w:r>
      <w:r w:rsidRPr="0028108F">
        <w:rPr>
          <w:rFonts w:ascii="Arial" w:hAnsi="Arial" w:cs="Arial"/>
          <w:szCs w:val="24"/>
          <w:lang w:val="en-GB"/>
        </w:rPr>
        <w:t xml:space="preserve"> on the children’s birth certificates, rather than </w:t>
      </w:r>
      <w:r w:rsidRPr="0028108F">
        <w:rPr>
          <w:rFonts w:ascii="Arial" w:hAnsi="Arial" w:cs="Arial"/>
          <w:i/>
          <w:szCs w:val="24"/>
          <w:lang w:val="en-GB"/>
        </w:rPr>
        <w:t>“parent”</w:t>
      </w:r>
      <w:r w:rsidRPr="0028108F">
        <w:rPr>
          <w:rFonts w:ascii="Arial" w:hAnsi="Arial" w:cs="Arial"/>
          <w:szCs w:val="24"/>
          <w:lang w:val="en-GB"/>
        </w:rPr>
        <w:t xml:space="preserve"> or </w:t>
      </w:r>
      <w:r w:rsidRPr="0028108F">
        <w:rPr>
          <w:rFonts w:ascii="Arial" w:hAnsi="Arial" w:cs="Arial"/>
          <w:i/>
          <w:szCs w:val="24"/>
          <w:lang w:val="en-GB"/>
        </w:rPr>
        <w:t>“father/parent”</w:t>
      </w:r>
      <w:r w:rsidRPr="0028108F">
        <w:rPr>
          <w:rFonts w:ascii="Arial" w:hAnsi="Arial" w:cs="Arial"/>
          <w:szCs w:val="24"/>
          <w:lang w:val="en-GB"/>
        </w:rPr>
        <w:t xml:space="preserve">, as, it was argued, there may be circumstances in which the children might disclose their birth certificates which would expose the fact of the transsexual person’s previous gender identity.  JK’s requests for her to be recorded as her children’s </w:t>
      </w:r>
      <w:r w:rsidRPr="0028108F">
        <w:rPr>
          <w:rFonts w:ascii="Arial" w:hAnsi="Arial" w:cs="Arial"/>
          <w:i/>
          <w:szCs w:val="24"/>
          <w:lang w:val="en-GB"/>
        </w:rPr>
        <w:t>“parent”</w:t>
      </w:r>
      <w:r w:rsidRPr="0028108F">
        <w:rPr>
          <w:rFonts w:ascii="Arial" w:hAnsi="Arial" w:cs="Arial"/>
          <w:szCs w:val="24"/>
          <w:lang w:val="en-GB"/>
        </w:rPr>
        <w:t xml:space="preserve"> rather than </w:t>
      </w:r>
      <w:r w:rsidRPr="0028108F">
        <w:rPr>
          <w:rFonts w:ascii="Arial" w:hAnsi="Arial" w:cs="Arial"/>
          <w:i/>
          <w:szCs w:val="24"/>
          <w:lang w:val="en-GB"/>
        </w:rPr>
        <w:t>“father”</w:t>
      </w:r>
      <w:r w:rsidRPr="0028108F">
        <w:rPr>
          <w:rFonts w:ascii="Arial" w:hAnsi="Arial" w:cs="Arial"/>
          <w:szCs w:val="24"/>
          <w:lang w:val="en-GB"/>
        </w:rPr>
        <w:t xml:space="preserve"> on their birth certificates were declined by virtue of section 12 of the GRA.  </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The Court dismissed JK’s application, ruling that the requirement for JK to be listed as </w:t>
      </w:r>
      <w:r w:rsidRPr="0028108F">
        <w:rPr>
          <w:rFonts w:ascii="Arial" w:hAnsi="Arial" w:cs="Arial"/>
          <w:i/>
          <w:szCs w:val="24"/>
          <w:lang w:val="en-GB"/>
        </w:rPr>
        <w:t>“father”</w:t>
      </w:r>
      <w:r w:rsidRPr="0028108F">
        <w:rPr>
          <w:rFonts w:ascii="Arial" w:hAnsi="Arial" w:cs="Arial"/>
          <w:szCs w:val="24"/>
          <w:lang w:val="en-GB"/>
        </w:rPr>
        <w:t xml:space="preserve"> on the birth certificate of a child was not a breach of her human rights under Article 8, as this requirement did not stray outside the state’s “</w:t>
      </w:r>
      <w:r w:rsidRPr="0028108F">
        <w:rPr>
          <w:rFonts w:ascii="Arial" w:hAnsi="Arial" w:cs="Arial"/>
          <w:i/>
          <w:szCs w:val="24"/>
          <w:lang w:val="en-GB"/>
        </w:rPr>
        <w:t xml:space="preserve">wide margin of appreciation in giving effect to the right of transsexual people to have their new gender recognised” </w:t>
      </w:r>
      <w:r w:rsidRPr="0028108F">
        <w:rPr>
          <w:rFonts w:ascii="Arial" w:hAnsi="Arial" w:cs="Arial"/>
          <w:szCs w:val="24"/>
          <w:lang w:val="en-GB"/>
        </w:rPr>
        <w:t xml:space="preserve">and </w:t>
      </w:r>
      <w:r w:rsidRPr="0028108F">
        <w:rPr>
          <w:rFonts w:ascii="Arial" w:hAnsi="Arial" w:cs="Arial"/>
          <w:i/>
          <w:szCs w:val="24"/>
          <w:lang w:val="en-GB"/>
        </w:rPr>
        <w:t>“in respect of ensuring that the right to privacy is properly respected in a sensitive moral and ethical area.”</w:t>
      </w:r>
      <w:r w:rsidRPr="00181CF2">
        <w:rPr>
          <w:rStyle w:val="FootnoteReference"/>
          <w:rFonts w:ascii="Arial" w:hAnsi="Arial" w:cs="Arial"/>
          <w:szCs w:val="24"/>
          <w:lang w:val="en-GB"/>
        </w:rPr>
        <w:footnoteReference w:id="237"/>
      </w:r>
      <w:r w:rsidRPr="00181CF2">
        <w:rPr>
          <w:rFonts w:ascii="Arial" w:hAnsi="Arial" w:cs="Arial"/>
          <w:szCs w:val="24"/>
          <w:lang w:val="en-GB"/>
        </w:rPr>
        <w:t xml:space="preserve">  The Court took the view that there were pros an</w:t>
      </w:r>
      <w:r w:rsidRPr="00C57CE1">
        <w:rPr>
          <w:rFonts w:ascii="Arial" w:hAnsi="Arial" w:cs="Arial"/>
          <w:szCs w:val="24"/>
          <w:lang w:val="en-GB"/>
        </w:rPr>
        <w:t>d cons for the children if JK’s gender marker was allowed to be altered on their birth certificates: whilst it could reduce the risks of stress resulting from the disclosure of JK’s transsexuality, it would increase the risks inherent in their birth certif</w:t>
      </w:r>
      <w:r w:rsidRPr="0028108F">
        <w:rPr>
          <w:rFonts w:ascii="Arial" w:hAnsi="Arial" w:cs="Arial"/>
          <w:szCs w:val="24"/>
          <w:lang w:val="en-GB"/>
        </w:rPr>
        <w:t>icates showing no father and suggestive of two female parents from birth: “</w:t>
      </w:r>
      <w:r w:rsidRPr="0028108F">
        <w:rPr>
          <w:rFonts w:ascii="Arial" w:hAnsi="Arial" w:cs="Arial"/>
          <w:i/>
          <w:szCs w:val="24"/>
          <w:lang w:val="en-GB"/>
        </w:rPr>
        <w:t xml:space="preserve">if their birth certificates were altered to show their father as ‘parent’ (or, if it were possible, ’father/parent’) that itself would interfere with the child's article 8 right to have his or her fundamental identity recognised.  In some cases, such alteration may be adverse to the best interests of the relevant </w:t>
      </w:r>
      <w:r w:rsidRPr="0028108F">
        <w:rPr>
          <w:rFonts w:ascii="Arial" w:hAnsi="Arial" w:cs="Arial"/>
          <w:i/>
          <w:szCs w:val="24"/>
          <w:lang w:val="en-GB"/>
        </w:rPr>
        <w:lastRenderedPageBreak/>
        <w:t>children</w:t>
      </w:r>
      <w:r w:rsidRPr="0028108F">
        <w:rPr>
          <w:rFonts w:ascii="Arial" w:hAnsi="Arial" w:cs="Arial"/>
          <w:szCs w:val="24"/>
          <w:lang w:val="en-GB"/>
        </w:rPr>
        <w:t>.”</w:t>
      </w:r>
      <w:r w:rsidRPr="00181CF2">
        <w:rPr>
          <w:rStyle w:val="FootnoteReference"/>
          <w:rFonts w:ascii="Arial" w:hAnsi="Arial" w:cs="Arial"/>
          <w:szCs w:val="24"/>
          <w:lang w:val="en-GB"/>
        </w:rPr>
        <w:footnoteReference w:id="238"/>
      </w:r>
      <w:r w:rsidRPr="00181CF2">
        <w:rPr>
          <w:rFonts w:ascii="Arial" w:hAnsi="Arial" w:cs="Arial"/>
          <w:szCs w:val="24"/>
          <w:lang w:val="en-GB"/>
        </w:rPr>
        <w:t xml:space="preserve">  Further, if a transsexual person like JK has an entitlement to change his or her children’s birth certificate</w:t>
      </w:r>
      <w:r w:rsidRPr="00C57CE1">
        <w:rPr>
          <w:rFonts w:ascii="Arial" w:hAnsi="Arial" w:cs="Arial"/>
          <w:szCs w:val="24"/>
          <w:lang w:val="en-GB"/>
        </w:rPr>
        <w:t>, “</w:t>
      </w:r>
      <w:r w:rsidRPr="0028108F">
        <w:rPr>
          <w:rFonts w:ascii="Arial" w:hAnsi="Arial" w:cs="Arial"/>
          <w:i/>
          <w:szCs w:val="24"/>
          <w:lang w:val="en-GB"/>
        </w:rPr>
        <w:t>that may override the rights of the children and others (such as another parent)</w:t>
      </w:r>
      <w:r w:rsidRPr="0028108F">
        <w:rPr>
          <w:rFonts w:ascii="Arial" w:hAnsi="Arial" w:cs="Arial"/>
          <w:szCs w:val="24"/>
          <w:lang w:val="en-GB"/>
        </w:rPr>
        <w:t>” and “</w:t>
      </w:r>
      <w:r w:rsidRPr="0028108F">
        <w:rPr>
          <w:rFonts w:ascii="Arial" w:hAnsi="Arial" w:cs="Arial"/>
          <w:i/>
          <w:szCs w:val="24"/>
          <w:lang w:val="en-GB"/>
        </w:rPr>
        <w:t>will provoke disputes that will be contrary to the public interest in gender change being a non-adversarial process.”</w:t>
      </w:r>
      <w:r w:rsidRPr="0028108F">
        <w:rPr>
          <w:rStyle w:val="FootnoteReference"/>
          <w:rFonts w:ascii="Arial" w:hAnsi="Arial" w:cs="Arial"/>
          <w:szCs w:val="24"/>
          <w:lang w:val="en-GB"/>
        </w:rPr>
        <w:t xml:space="preserve"> </w:t>
      </w:r>
      <w:r w:rsidRPr="00181CF2">
        <w:rPr>
          <w:rStyle w:val="FootnoteReference"/>
          <w:rFonts w:ascii="Arial" w:hAnsi="Arial" w:cs="Arial"/>
          <w:szCs w:val="24"/>
          <w:lang w:val="en-GB"/>
        </w:rPr>
        <w:footnoteReference w:id="239"/>
      </w:r>
      <w:r w:rsidRPr="00181CF2">
        <w:rPr>
          <w:rFonts w:ascii="Arial" w:hAnsi="Arial" w:cs="Arial"/>
          <w:szCs w:val="24"/>
          <w:lang w:val="en-GB"/>
        </w:rPr>
        <w:t xml:space="preserve">  The Court therefore found that, insofar as th</w:t>
      </w:r>
      <w:r w:rsidRPr="00C57CE1">
        <w:rPr>
          <w:rFonts w:ascii="Arial" w:hAnsi="Arial" w:cs="Arial"/>
          <w:szCs w:val="24"/>
          <w:lang w:val="en-GB"/>
        </w:rPr>
        <w:t xml:space="preserve">e scheme interferes with the Article 8 rights of JK and/or her children (which was held to be the case), the interference was outweighed by the interference with the rights and interests of other individuals and the public interest that would be caused by </w:t>
      </w:r>
      <w:r w:rsidRPr="0028108F">
        <w:rPr>
          <w:rFonts w:ascii="Arial" w:hAnsi="Arial" w:cs="Arial"/>
          <w:szCs w:val="24"/>
          <w:lang w:val="en-GB"/>
        </w:rPr>
        <w:t>not having such a restriction, and was therefore justified under Article 8(2).</w:t>
      </w:r>
      <w:r w:rsidRPr="00181CF2">
        <w:rPr>
          <w:rStyle w:val="FootnoteReference"/>
          <w:rFonts w:ascii="Arial" w:hAnsi="Arial" w:cs="Arial"/>
          <w:szCs w:val="24"/>
          <w:lang w:val="en-GB"/>
        </w:rPr>
        <w:footnoteReference w:id="240"/>
      </w:r>
    </w:p>
    <w:p w:rsidR="00DE5BD5" w:rsidRPr="00C57CE1" w:rsidRDefault="00DE5BD5" w:rsidP="00DE5BD5">
      <w:pPr>
        <w:widowControl/>
        <w:tabs>
          <w:tab w:val="left" w:pos="1134"/>
        </w:tabs>
        <w:adjustRightInd w:val="0"/>
        <w:snapToGrid w:val="0"/>
        <w:jc w:val="both"/>
        <w:rPr>
          <w:rFonts w:ascii="Arial" w:hAnsi="Arial" w:cs="Arial"/>
          <w:szCs w:val="24"/>
          <w:lang w:val="en-GB"/>
        </w:rPr>
      </w:pPr>
    </w:p>
    <w:p w:rsidR="00DE5BD5" w:rsidRPr="0028108F"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 xml:space="preserve">On the other hand, the central dispute in the </w:t>
      </w:r>
      <w:r w:rsidRPr="0028108F">
        <w:rPr>
          <w:rFonts w:ascii="Arial" w:hAnsi="Arial" w:cs="Arial"/>
          <w:i/>
          <w:szCs w:val="24"/>
          <w:lang w:val="en-GB"/>
        </w:rPr>
        <w:t xml:space="preserve">Carpenter </w:t>
      </w:r>
      <w:r w:rsidRPr="0028108F">
        <w:rPr>
          <w:rFonts w:ascii="Arial" w:hAnsi="Arial" w:cs="Arial"/>
          <w:szCs w:val="24"/>
          <w:lang w:val="en-GB"/>
        </w:rPr>
        <w:t>case was whether the evidential requirements under section 3(3) of the GRA (requiring an applicant who has had or intends to have medical procedures to reveal details of the medical procedures to the GRP to support the application for a GRC) were incompatible with Articles 8 and 14 of the ECHR, as interfering unnecessarily or disproportionately with the privacy of transsexual persons who plan to have or have had such medical treatment.</w:t>
      </w:r>
    </w:p>
    <w:p w:rsidR="00DE5BD5" w:rsidRPr="0028108F" w:rsidRDefault="00DE5BD5" w:rsidP="00DE5BD5">
      <w:pPr>
        <w:widowControl/>
        <w:tabs>
          <w:tab w:val="left" w:pos="1134"/>
        </w:tabs>
        <w:adjustRightInd w:val="0"/>
        <w:snapToGrid w:val="0"/>
        <w:jc w:val="both"/>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28108F">
        <w:rPr>
          <w:rFonts w:ascii="Arial" w:hAnsi="Arial" w:cs="Arial"/>
          <w:szCs w:val="24"/>
          <w:lang w:val="en-GB"/>
        </w:rPr>
        <w:t>The claim was rejected by the High Court on the grounds that the information about medical treatment was necessary to the decision to be taken by the GRP, and thus its dissemination was necessary and proportionate to the legitimate aim, and there was no incompatibility with Article 8.  It was a material consideration for the court that the disclosure of the details of SRS would be limited, since the list of the surgical procedures undergone was only reported on by a medical practitioner to the GRP and disseminated no further.</w:t>
      </w:r>
      <w:r w:rsidRPr="00181CF2">
        <w:rPr>
          <w:rStyle w:val="FootnoteReference"/>
          <w:rFonts w:ascii="Arial" w:hAnsi="Arial" w:cs="Arial"/>
          <w:szCs w:val="24"/>
          <w:lang w:val="en-GB"/>
        </w:rPr>
        <w:footnoteReference w:id="241"/>
      </w:r>
      <w:r w:rsidRPr="00181CF2">
        <w:rPr>
          <w:rFonts w:ascii="Arial" w:hAnsi="Arial" w:cs="Arial"/>
          <w:szCs w:val="24"/>
          <w:lang w:val="en-GB"/>
        </w:rPr>
        <w:t xml:space="preserve">  In addition, just because a person who has undergone treatment for modifying their sexual characteristics must provide details of the treatment would not make it more d</w:t>
      </w:r>
      <w:r w:rsidRPr="00C57CE1">
        <w:rPr>
          <w:rFonts w:ascii="Arial" w:hAnsi="Arial" w:cs="Arial"/>
          <w:szCs w:val="24"/>
          <w:lang w:val="en-GB"/>
        </w:rPr>
        <w:t>ifficult for them to obtain a certificate than a transsexual person who has not undergone surgery.</w:t>
      </w:r>
      <w:r w:rsidRPr="00181CF2">
        <w:rPr>
          <w:rStyle w:val="FootnoteReference"/>
          <w:rFonts w:ascii="Arial" w:hAnsi="Arial" w:cs="Arial"/>
          <w:szCs w:val="24"/>
          <w:lang w:val="en-GB"/>
        </w:rPr>
        <w:footnoteReference w:id="242"/>
      </w:r>
    </w:p>
    <w:p w:rsidR="00DE5BD5" w:rsidRPr="00C57CE1" w:rsidRDefault="00DE5BD5" w:rsidP="00DE5BD5">
      <w:pPr>
        <w:widowControl/>
        <w:tabs>
          <w:tab w:val="left" w:pos="1134"/>
        </w:tabs>
        <w:adjustRightInd w:val="0"/>
        <w:snapToGrid w:val="0"/>
        <w:jc w:val="both"/>
        <w:rPr>
          <w:rFonts w:ascii="Arial" w:hAnsi="Arial" w:cs="Arial"/>
          <w:szCs w:val="24"/>
          <w:lang w:val="en-GB"/>
        </w:rPr>
      </w:pPr>
    </w:p>
    <w:p w:rsidR="00DE5BD5" w:rsidRPr="00181CF2" w:rsidRDefault="00DE5BD5" w:rsidP="00DE5BD5">
      <w:pPr>
        <w:widowControl/>
        <w:numPr>
          <w:ilvl w:val="0"/>
          <w:numId w:val="13"/>
        </w:numPr>
        <w:tabs>
          <w:tab w:val="left" w:pos="1418"/>
        </w:tabs>
        <w:adjustRightInd w:val="0"/>
        <w:snapToGrid w:val="0"/>
        <w:ind w:left="0" w:firstLine="0"/>
        <w:jc w:val="both"/>
        <w:rPr>
          <w:rFonts w:ascii="Arial" w:hAnsi="Arial" w:cs="Arial"/>
          <w:szCs w:val="24"/>
          <w:lang w:val="en-GB"/>
        </w:rPr>
      </w:pPr>
      <w:r w:rsidRPr="00C57CE1">
        <w:rPr>
          <w:rFonts w:ascii="Arial" w:hAnsi="Arial" w:cs="Arial"/>
          <w:szCs w:val="24"/>
          <w:lang w:val="en-GB"/>
        </w:rPr>
        <w:t xml:space="preserve">A commentator has nonetheless queried the </w:t>
      </w:r>
      <w:r w:rsidRPr="0028108F">
        <w:rPr>
          <w:rFonts w:ascii="Arial" w:hAnsi="Arial" w:cs="Arial"/>
          <w:i/>
          <w:szCs w:val="24"/>
          <w:lang w:val="en-GB"/>
        </w:rPr>
        <w:t>Carpenter</w:t>
      </w:r>
      <w:r w:rsidRPr="0028108F">
        <w:rPr>
          <w:rFonts w:ascii="Arial" w:hAnsi="Arial" w:cs="Arial"/>
          <w:szCs w:val="24"/>
          <w:lang w:val="en-GB"/>
        </w:rPr>
        <w:t xml:space="preserve"> ruling on the basis that it was not clear why the GRP needed to know precisely what procedures were performed by an applicant for gender recognition under the GRA when he or she may have already satisfied the statutory criteria (</w:t>
      </w:r>
      <w:r w:rsidR="00D6311F" w:rsidRPr="0028108F">
        <w:rPr>
          <w:rFonts w:ascii="Arial" w:hAnsi="Arial" w:cs="Arial"/>
          <w:szCs w:val="24"/>
          <w:lang w:val="en-GB"/>
        </w:rPr>
        <w:t>ie</w:t>
      </w:r>
      <w:r w:rsidRPr="0028108F">
        <w:rPr>
          <w:rFonts w:ascii="Arial" w:hAnsi="Arial" w:cs="Arial"/>
          <w:szCs w:val="24"/>
          <w:lang w:val="en-GB"/>
        </w:rPr>
        <w:t>, has or has had gender dysphoria, has lived in the acquired gender for two years prior to the application, and intends to live in the acquired gender for the rest of his or her life (section 2(1)).</w:t>
      </w:r>
      <w:r w:rsidRPr="00181CF2">
        <w:rPr>
          <w:rStyle w:val="FootnoteReference"/>
          <w:rFonts w:ascii="Arial" w:hAnsi="Arial" w:cs="Arial"/>
          <w:szCs w:val="24"/>
          <w:lang w:val="en-GB"/>
        </w:rPr>
        <w:footnoteReference w:id="243"/>
      </w:r>
      <w:r w:rsidRPr="00181CF2">
        <w:rPr>
          <w:rFonts w:ascii="Arial" w:hAnsi="Arial" w:cs="Arial"/>
          <w:szCs w:val="24"/>
          <w:lang w:val="en-GB"/>
        </w:rPr>
        <w:t xml:space="preserve">  It was further contended that although the </w:t>
      </w:r>
      <w:r w:rsidRPr="00181CF2">
        <w:rPr>
          <w:rFonts w:ascii="Arial" w:hAnsi="Arial" w:cs="Arial"/>
          <w:szCs w:val="24"/>
          <w:lang w:val="en-GB"/>
        </w:rPr>
        <w:lastRenderedPageBreak/>
        <w:t>GRP would usually inquire into why an applicant has not undergone treatment for reassignment, the fact that the GRP would ask whether some</w:t>
      </w:r>
      <w:r w:rsidRPr="00C57CE1">
        <w:rPr>
          <w:rFonts w:ascii="Arial" w:hAnsi="Arial" w:cs="Arial"/>
          <w:szCs w:val="24"/>
          <w:lang w:val="en-GB"/>
        </w:rPr>
        <w:t>one has had surgery (and if not, why not) does not particularly justify a legal requirement to give the GRP details of such surgery.</w:t>
      </w:r>
      <w:r w:rsidRPr="00181CF2">
        <w:rPr>
          <w:rStyle w:val="FootnoteReference"/>
          <w:rFonts w:ascii="Arial" w:hAnsi="Arial" w:cs="Arial"/>
          <w:szCs w:val="24"/>
          <w:lang w:val="en-GB"/>
        </w:rPr>
        <w:footnoteReference w:id="244"/>
      </w:r>
    </w:p>
    <w:p w:rsidR="00DE5BD5" w:rsidRPr="00C57CE1" w:rsidRDefault="00DE5BD5" w:rsidP="00DE5BD5">
      <w:pPr>
        <w:adjustRightInd w:val="0"/>
        <w:snapToGrid w:val="0"/>
        <w:jc w:val="both"/>
        <w:rPr>
          <w:rFonts w:ascii="Arial" w:hAnsi="Arial" w:cs="Arial"/>
          <w:szCs w:val="24"/>
          <w:lang w:val="en-GB"/>
        </w:rPr>
      </w:pPr>
    </w:p>
    <w:p w:rsidR="00DE5BD5" w:rsidRPr="0028108F" w:rsidRDefault="00DE5BD5" w:rsidP="00DE5BD5">
      <w:pPr>
        <w:adjustRightInd w:val="0"/>
        <w:snapToGrid w:val="0"/>
        <w:jc w:val="center"/>
        <w:rPr>
          <w:rFonts w:ascii="Arial" w:hAnsi="Arial" w:cs="Arial"/>
          <w:i/>
          <w:color w:val="000000" w:themeColor="text1"/>
          <w:szCs w:val="24"/>
          <w:lang w:val="en-GB"/>
        </w:rPr>
      </w:pPr>
    </w:p>
    <w:p w:rsidR="00915161" w:rsidRPr="0028108F" w:rsidRDefault="00915161" w:rsidP="00DE5BD5">
      <w:pPr>
        <w:tabs>
          <w:tab w:val="left" w:pos="1418"/>
        </w:tabs>
        <w:adjustRightInd w:val="0"/>
        <w:snapToGrid w:val="0"/>
        <w:jc w:val="both"/>
        <w:rPr>
          <w:rFonts w:ascii="Arial" w:hAnsi="Arial" w:cs="Arial"/>
          <w:szCs w:val="24"/>
          <w:lang w:val="en-GB"/>
        </w:rPr>
      </w:pPr>
    </w:p>
    <w:p w:rsidR="00915161" w:rsidRPr="0028108F" w:rsidRDefault="00915161" w:rsidP="00915161">
      <w:pPr>
        <w:tabs>
          <w:tab w:val="left" w:pos="1418"/>
        </w:tabs>
        <w:adjustRightInd w:val="0"/>
        <w:snapToGrid w:val="0"/>
        <w:jc w:val="both"/>
        <w:rPr>
          <w:rFonts w:ascii="Arial" w:hAnsi="Arial" w:cs="Arial"/>
          <w:szCs w:val="24"/>
          <w:lang w:val="en-GB"/>
        </w:rPr>
      </w:pPr>
    </w:p>
    <w:p w:rsidR="00915161" w:rsidRPr="0028108F" w:rsidRDefault="00915161" w:rsidP="00915161">
      <w:pPr>
        <w:adjustRightInd w:val="0"/>
        <w:snapToGrid w:val="0"/>
        <w:jc w:val="both"/>
        <w:rPr>
          <w:rFonts w:ascii="Arial" w:hAnsi="Arial" w:cs="Arial"/>
          <w:szCs w:val="24"/>
          <w:lang w:val="en-GB"/>
        </w:rPr>
      </w:pPr>
    </w:p>
    <w:p w:rsidR="003D52D7" w:rsidRPr="0028108F" w:rsidRDefault="003D52D7">
      <w:pPr>
        <w:widowControl/>
        <w:rPr>
          <w:rFonts w:ascii="Arial" w:hAnsi="Arial" w:cs="Arial"/>
          <w:lang w:val="en-GB"/>
        </w:rPr>
      </w:pPr>
      <w:r w:rsidRPr="0028108F">
        <w:rPr>
          <w:rFonts w:ascii="Arial" w:hAnsi="Arial" w:cs="Arial"/>
          <w:lang w:val="en-GB"/>
        </w:rPr>
        <w:br w:type="page"/>
      </w:r>
    </w:p>
    <w:p w:rsidR="003D52D7" w:rsidRPr="0028108F" w:rsidRDefault="003D52D7" w:rsidP="003D52D7">
      <w:pPr>
        <w:adjustRightInd w:val="0"/>
        <w:snapToGrid w:val="0"/>
        <w:jc w:val="both"/>
        <w:rPr>
          <w:rFonts w:ascii="Arial" w:hAnsi="Arial" w:cs="Arial"/>
          <w:b/>
          <w:sz w:val="32"/>
          <w:szCs w:val="24"/>
          <w:lang w:val="en-GB"/>
        </w:rPr>
      </w:pPr>
      <w:r w:rsidRPr="0028108F">
        <w:rPr>
          <w:rFonts w:ascii="Arial" w:hAnsi="Arial" w:cs="Arial"/>
          <w:b/>
          <w:sz w:val="32"/>
          <w:szCs w:val="24"/>
          <w:lang w:val="en-GB"/>
        </w:rPr>
        <w:lastRenderedPageBreak/>
        <w:t>CHAPTER 4</w:t>
      </w:r>
    </w:p>
    <w:p w:rsidR="003D52D7" w:rsidRPr="0028108F" w:rsidRDefault="003D52D7" w:rsidP="003D52D7">
      <w:pPr>
        <w:adjustRightInd w:val="0"/>
        <w:snapToGrid w:val="0"/>
        <w:jc w:val="both"/>
        <w:rPr>
          <w:rFonts w:ascii="Arial" w:hAnsi="Arial" w:cs="Arial"/>
          <w:b/>
          <w:sz w:val="32"/>
          <w:szCs w:val="24"/>
          <w:lang w:val="en-GB"/>
        </w:rPr>
      </w:pPr>
    </w:p>
    <w:p w:rsidR="003D52D7" w:rsidRPr="0028108F" w:rsidRDefault="003D52D7" w:rsidP="003D52D7">
      <w:pPr>
        <w:adjustRightInd w:val="0"/>
        <w:snapToGrid w:val="0"/>
        <w:jc w:val="both"/>
        <w:rPr>
          <w:rFonts w:ascii="Arial" w:hAnsi="Arial" w:cs="Arial"/>
          <w:b/>
          <w:caps/>
          <w:sz w:val="32"/>
          <w:szCs w:val="24"/>
          <w:lang w:val="en-GB"/>
        </w:rPr>
      </w:pPr>
      <w:r w:rsidRPr="0028108F">
        <w:rPr>
          <w:rFonts w:ascii="Arial" w:hAnsi="Arial" w:cs="Arial"/>
          <w:b/>
          <w:sz w:val="32"/>
          <w:szCs w:val="24"/>
          <w:lang w:val="en-GB"/>
        </w:rPr>
        <w:t xml:space="preserve">Summary of gender recognition schemes </w:t>
      </w:r>
    </w:p>
    <w:p w:rsidR="003D52D7" w:rsidRPr="0028108F" w:rsidRDefault="003D52D7" w:rsidP="003D52D7">
      <w:pPr>
        <w:adjustRightInd w:val="0"/>
        <w:snapToGrid w:val="0"/>
        <w:jc w:val="both"/>
        <w:rPr>
          <w:rFonts w:ascii="Arial" w:hAnsi="Arial" w:cs="Arial"/>
          <w:b/>
          <w:caps/>
          <w:sz w:val="32"/>
          <w:szCs w:val="24"/>
          <w:lang w:val="en-GB"/>
        </w:rPr>
      </w:pPr>
      <w:r w:rsidRPr="0028108F">
        <w:rPr>
          <w:rFonts w:ascii="Arial" w:hAnsi="Arial" w:cs="Arial"/>
          <w:b/>
          <w:sz w:val="32"/>
          <w:szCs w:val="24"/>
          <w:lang w:val="en-GB"/>
        </w:rPr>
        <w:t>in other jurisdictions</w:t>
      </w:r>
    </w:p>
    <w:p w:rsidR="003D52D7" w:rsidRPr="0028108F" w:rsidRDefault="003D52D7" w:rsidP="003D52D7">
      <w:pPr>
        <w:adjustRightInd w:val="0"/>
        <w:snapToGrid w:val="0"/>
        <w:jc w:val="both"/>
        <w:rPr>
          <w:rFonts w:ascii="Arial" w:hAnsi="Arial" w:cs="Arial"/>
          <w:b/>
          <w:szCs w:val="24"/>
          <w:lang w:val="en-GB"/>
        </w:rPr>
      </w:pPr>
      <w:r w:rsidRPr="0028108F">
        <w:rPr>
          <w:rFonts w:ascii="Arial" w:hAnsi="Arial" w:cs="Arial"/>
          <w:b/>
          <w:szCs w:val="24"/>
          <w:lang w:val="en-GB"/>
        </w:rPr>
        <w:t>__________________________</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sz w:val="28"/>
          <w:szCs w:val="24"/>
          <w:lang w:val="en-GB"/>
        </w:rPr>
      </w:pPr>
      <w:r w:rsidRPr="0028108F">
        <w:rPr>
          <w:rFonts w:ascii="Arial" w:hAnsi="Arial" w:cs="Arial"/>
          <w:b/>
          <w:sz w:val="28"/>
          <w:szCs w:val="24"/>
          <w:lang w:val="en-GB"/>
        </w:rPr>
        <w:t>Introduction</w:t>
      </w:r>
    </w:p>
    <w:p w:rsidR="003D52D7" w:rsidRPr="0028108F" w:rsidRDefault="003D52D7" w:rsidP="003D52D7">
      <w:pPr>
        <w:tabs>
          <w:tab w:val="left" w:pos="993"/>
        </w:tabs>
        <w:adjustRightInd w:val="0"/>
        <w:snapToGrid w:val="0"/>
        <w:jc w:val="both"/>
        <w:rPr>
          <w:rFonts w:ascii="Arial" w:hAnsi="Arial" w:cs="Arial"/>
          <w:szCs w:val="24"/>
          <w:lang w:val="en-GB"/>
        </w:rPr>
      </w:pP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w:t>
      </w:r>
      <w:r w:rsidR="007C05D9">
        <w:rPr>
          <w:rFonts w:ascii="Arial" w:hAnsi="Arial" w:cs="Arial" w:hint="eastAsia"/>
          <w:szCs w:val="24"/>
          <w:lang w:val="en-GB"/>
        </w:rPr>
        <w:t xml:space="preserve">appears </w:t>
      </w:r>
      <w:r w:rsidRPr="0028108F">
        <w:rPr>
          <w:rFonts w:ascii="Arial" w:hAnsi="Arial" w:cs="Arial"/>
          <w:szCs w:val="24"/>
          <w:lang w:val="en-GB"/>
        </w:rPr>
        <w:t>that t</w:t>
      </w:r>
      <w:r w:rsidRPr="0028108F">
        <w:rPr>
          <w:rFonts w:ascii="Arial" w:hAnsi="Arial" w:cs="Arial"/>
          <w:lang w:val="en-GB"/>
        </w:rPr>
        <w:t>he issue of legal gender recognition has been gaining increased attention across the international stage, and in this current study, we have reviewed the legal position in more than 110 jurisdictions.</w:t>
      </w:r>
      <w:r w:rsidRPr="0028108F">
        <w:rPr>
          <w:rStyle w:val="FootnoteReference"/>
          <w:rFonts w:ascii="Arial" w:hAnsi="Arial" w:cs="Arial"/>
          <w:szCs w:val="24"/>
          <w:lang w:val="en-GB"/>
        </w:rPr>
        <w:footnoteReference w:id="245"/>
      </w:r>
      <w:r w:rsidRPr="0028108F">
        <w:rPr>
          <w:rFonts w:ascii="Arial" w:hAnsi="Arial" w:cs="Arial"/>
          <w:lang w:val="en-GB"/>
        </w:rPr>
        <w:t xml:space="preserve">  Although there remains little uniformity in the legal approaches adopted, it is evident that there is a growing emphasis on human rights norms to be applied in this area.</w:t>
      </w:r>
      <w:r w:rsidR="006675C3" w:rsidRPr="0028108F">
        <w:rPr>
          <w:rStyle w:val="FootnoteReference"/>
          <w:rFonts w:ascii="Arial" w:hAnsi="Arial" w:cs="Arial"/>
          <w:szCs w:val="24"/>
          <w:lang w:val="en-GB"/>
        </w:rPr>
        <w:footnoteReference w:id="246"/>
      </w:r>
      <w:r w:rsidRPr="0028108F">
        <w:rPr>
          <w:rFonts w:ascii="Arial" w:hAnsi="Arial" w:cs="Arial"/>
          <w:lang w:val="en-GB"/>
        </w:rPr>
        <w:t xml:space="preserve"> </w:t>
      </w:r>
    </w:p>
    <w:p w:rsidR="003D52D7" w:rsidRPr="0028108F" w:rsidRDefault="003D52D7" w:rsidP="003D52D7">
      <w:pPr>
        <w:pStyle w:val="ListParagraph"/>
        <w:widowControl/>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This </w:t>
      </w:r>
      <w:r w:rsidR="00D130C9">
        <w:rPr>
          <w:rFonts w:ascii="Arial" w:hAnsi="Arial" w:cs="Arial"/>
          <w:szCs w:val="24"/>
          <w:lang w:val="en-GB"/>
        </w:rPr>
        <w:t>c</w:t>
      </w:r>
      <w:r w:rsidRPr="0028108F">
        <w:rPr>
          <w:rFonts w:ascii="Arial" w:hAnsi="Arial" w:cs="Arial"/>
          <w:szCs w:val="24"/>
          <w:lang w:val="en-GB"/>
        </w:rPr>
        <w:t xml:space="preserve">hapter sets out examples of the differing approaches taken in other jurisdictions regarding gender recognition, including their legal bases, the criteria applied for granting recognition in some form, and the legal implications once recognition is granted.  To illustrate a range of approaches, various models are discussed across four geographical regions, including Asia-Pacific, Europe, North America and South America.  (It should be noted that the United Kingdom, which was the subject of the previous </w:t>
      </w:r>
      <w:r w:rsidR="00D130C9">
        <w:rPr>
          <w:rFonts w:ascii="Arial" w:hAnsi="Arial" w:cs="Arial"/>
          <w:szCs w:val="24"/>
          <w:lang w:val="en-GB"/>
        </w:rPr>
        <w:t>c</w:t>
      </w:r>
      <w:r w:rsidRPr="0028108F">
        <w:rPr>
          <w:rFonts w:ascii="Arial" w:hAnsi="Arial" w:cs="Arial"/>
          <w:szCs w:val="24"/>
          <w:lang w:val="en-GB"/>
        </w:rPr>
        <w:t>hapter, is not included in this analysis.)  Examples of such models include, but are not limited to:</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60"/>
        </w:numPr>
        <w:tabs>
          <w:tab w:val="left" w:pos="1418"/>
        </w:tabs>
        <w:adjustRightInd w:val="0"/>
        <w:snapToGrid w:val="0"/>
        <w:ind w:leftChars="0" w:left="840"/>
        <w:jc w:val="both"/>
        <w:rPr>
          <w:rFonts w:ascii="Arial" w:hAnsi="Arial" w:cs="Arial"/>
          <w:szCs w:val="24"/>
          <w:lang w:val="en-GB"/>
        </w:rPr>
      </w:pPr>
      <w:r w:rsidRPr="0028108F">
        <w:rPr>
          <w:rFonts w:ascii="Arial" w:hAnsi="Arial" w:cs="Arial"/>
          <w:szCs w:val="24"/>
          <w:lang w:val="en-GB"/>
        </w:rPr>
        <w:t>a self-declaration model, which allows change of gender identity by means of the applicant submitting a specific declaration self-identifying in a particular gender without any medical intervention requirements, personal status restrictions</w:t>
      </w:r>
      <w:r w:rsidRPr="0028108F">
        <w:rPr>
          <w:rStyle w:val="FootnoteReference"/>
          <w:rFonts w:ascii="Arial" w:hAnsi="Arial" w:cs="Arial"/>
          <w:szCs w:val="24"/>
          <w:lang w:val="en-GB"/>
        </w:rPr>
        <w:footnoteReference w:id="247"/>
      </w:r>
      <w:r w:rsidRPr="0028108F">
        <w:rPr>
          <w:rFonts w:ascii="Arial" w:hAnsi="Arial" w:cs="Arial"/>
          <w:szCs w:val="24"/>
          <w:lang w:val="en-GB"/>
        </w:rPr>
        <w:t xml:space="preserve"> or any procedural complexity (examples of jurisdictions adopting this model are Argentina, Denmark, Malta and Ireland);</w:t>
      </w:r>
    </w:p>
    <w:p w:rsidR="003D52D7" w:rsidRPr="0028108F" w:rsidRDefault="003D52D7" w:rsidP="003D52D7">
      <w:pPr>
        <w:pStyle w:val="ListParagraph"/>
        <w:tabs>
          <w:tab w:val="left" w:pos="1418"/>
        </w:tabs>
        <w:adjustRightInd w:val="0"/>
        <w:ind w:leftChars="295" w:left="1416" w:hangingChars="295" w:hanging="708"/>
        <w:jc w:val="both"/>
        <w:rPr>
          <w:rFonts w:ascii="Arial" w:hAnsi="Arial" w:cs="Arial"/>
          <w:szCs w:val="24"/>
          <w:lang w:val="en-GB"/>
        </w:rPr>
      </w:pPr>
    </w:p>
    <w:p w:rsidR="003D52D7" w:rsidRPr="0028108F" w:rsidRDefault="003D52D7" w:rsidP="003D52D7">
      <w:pPr>
        <w:pStyle w:val="ListParagraph"/>
        <w:numPr>
          <w:ilvl w:val="0"/>
          <w:numId w:val="60"/>
        </w:numPr>
        <w:tabs>
          <w:tab w:val="left" w:pos="1418"/>
        </w:tabs>
        <w:adjustRightInd w:val="0"/>
        <w:snapToGrid w:val="0"/>
        <w:ind w:leftChars="0" w:left="840"/>
        <w:jc w:val="both"/>
        <w:rPr>
          <w:rFonts w:ascii="Arial" w:hAnsi="Arial" w:cs="Arial"/>
          <w:szCs w:val="24"/>
          <w:lang w:val="en-GB"/>
        </w:rPr>
      </w:pPr>
      <w:r w:rsidRPr="0028108F">
        <w:rPr>
          <w:rFonts w:ascii="Arial" w:hAnsi="Arial" w:cs="Arial"/>
          <w:szCs w:val="24"/>
          <w:lang w:val="en-GB"/>
        </w:rPr>
        <w:t xml:space="preserve">a surgery-free but otherwise detailed model demanding medical evidence, such as proof of diagnosis of gender dysphoria or transsexualism and proof of </w:t>
      </w:r>
      <w:r w:rsidR="00043FD0" w:rsidRPr="0028108F">
        <w:rPr>
          <w:rFonts w:ascii="Arial" w:hAnsi="Arial" w:cs="Arial"/>
          <w:szCs w:val="24"/>
          <w:lang w:val="en-GB"/>
        </w:rPr>
        <w:t>real life test</w:t>
      </w:r>
      <w:r w:rsidRPr="0028108F">
        <w:rPr>
          <w:rFonts w:ascii="Arial" w:hAnsi="Arial" w:cs="Arial"/>
          <w:szCs w:val="24"/>
          <w:lang w:val="en-GB"/>
        </w:rPr>
        <w:t xml:space="preserve"> (examples of jurisdictions adopting this model are the UK, Iceland, Germany, Spain and New York State);</w:t>
      </w:r>
    </w:p>
    <w:p w:rsidR="003D52D7" w:rsidRPr="0028108F" w:rsidRDefault="003D52D7" w:rsidP="003D52D7">
      <w:pPr>
        <w:pStyle w:val="ListParagraph"/>
        <w:ind w:leftChars="295" w:left="1416" w:hangingChars="295" w:hanging="708"/>
        <w:rPr>
          <w:rFonts w:ascii="Arial" w:hAnsi="Arial" w:cs="Arial"/>
          <w:szCs w:val="24"/>
          <w:lang w:val="en-GB"/>
        </w:rPr>
      </w:pPr>
    </w:p>
    <w:p w:rsidR="003D52D7" w:rsidRPr="0028108F" w:rsidRDefault="003D52D7" w:rsidP="003D52D7">
      <w:pPr>
        <w:pStyle w:val="ListParagraph"/>
        <w:numPr>
          <w:ilvl w:val="0"/>
          <w:numId w:val="60"/>
        </w:numPr>
        <w:tabs>
          <w:tab w:val="left" w:pos="1418"/>
        </w:tabs>
        <w:adjustRightInd w:val="0"/>
        <w:snapToGrid w:val="0"/>
        <w:ind w:leftChars="0" w:left="840"/>
        <w:jc w:val="both"/>
        <w:rPr>
          <w:rFonts w:ascii="Arial" w:hAnsi="Arial" w:cs="Arial"/>
          <w:szCs w:val="24"/>
          <w:lang w:val="en-GB"/>
        </w:rPr>
      </w:pPr>
      <w:r w:rsidRPr="0028108F">
        <w:rPr>
          <w:rFonts w:ascii="Arial" w:hAnsi="Arial" w:cs="Arial"/>
          <w:szCs w:val="24"/>
          <w:lang w:val="en-GB"/>
        </w:rPr>
        <w:t>a surgery-requiring model, but with few other medical evidence requirements (or ambiguous as to whether such requirements exist), though including certain other restrictions, such as marital status exclusion (examples of jurisdictions adopting this model are New South Wales (Australia), Queensland (Australia), Liechtenstein</w:t>
      </w:r>
      <w:r w:rsidR="00E827DE" w:rsidRPr="0028108F">
        <w:rPr>
          <w:rFonts w:ascii="Arial" w:hAnsi="Arial" w:cs="Arial"/>
          <w:szCs w:val="24"/>
          <w:lang w:val="en-GB"/>
        </w:rPr>
        <w:t xml:space="preserve"> and</w:t>
      </w:r>
      <w:r w:rsidRPr="0028108F">
        <w:rPr>
          <w:rFonts w:ascii="Arial" w:hAnsi="Arial" w:cs="Arial"/>
          <w:szCs w:val="24"/>
          <w:lang w:val="en-GB"/>
        </w:rPr>
        <w:t xml:space="preserve"> New Brunswick (Canada)); and</w:t>
      </w:r>
    </w:p>
    <w:p w:rsidR="003D52D7" w:rsidRPr="0028108F" w:rsidRDefault="003D52D7" w:rsidP="003D52D7">
      <w:pPr>
        <w:pStyle w:val="ListParagraph"/>
        <w:ind w:leftChars="295" w:left="1416" w:hangingChars="295" w:hanging="708"/>
        <w:rPr>
          <w:rFonts w:ascii="Arial" w:hAnsi="Arial" w:cs="Arial"/>
          <w:szCs w:val="24"/>
          <w:lang w:val="en-GB"/>
        </w:rPr>
      </w:pPr>
    </w:p>
    <w:p w:rsidR="003D52D7" w:rsidRPr="0028108F" w:rsidRDefault="003D52D7" w:rsidP="003D52D7">
      <w:pPr>
        <w:pStyle w:val="ListParagraph"/>
        <w:numPr>
          <w:ilvl w:val="0"/>
          <w:numId w:val="60"/>
        </w:numPr>
        <w:tabs>
          <w:tab w:val="left" w:pos="1418"/>
        </w:tabs>
        <w:adjustRightInd w:val="0"/>
        <w:snapToGrid w:val="0"/>
        <w:ind w:leftChars="0" w:left="840"/>
        <w:jc w:val="both"/>
        <w:rPr>
          <w:rFonts w:ascii="Arial" w:hAnsi="Arial" w:cs="Arial"/>
          <w:szCs w:val="24"/>
          <w:lang w:val="en-GB"/>
        </w:rPr>
      </w:pPr>
      <w:r w:rsidRPr="0028108F">
        <w:rPr>
          <w:rFonts w:ascii="Arial" w:hAnsi="Arial" w:cs="Arial"/>
          <w:szCs w:val="24"/>
          <w:lang w:val="en-GB"/>
        </w:rPr>
        <w:t xml:space="preserve">a model which includes a wide range of </w:t>
      </w:r>
      <w:r w:rsidR="005D646F" w:rsidRPr="0028108F">
        <w:rPr>
          <w:rFonts w:ascii="Arial" w:hAnsi="Arial" w:cs="Arial"/>
          <w:szCs w:val="24"/>
          <w:lang w:val="en-GB"/>
        </w:rPr>
        <w:t>requirements</w:t>
      </w:r>
      <w:r w:rsidRPr="0028108F">
        <w:rPr>
          <w:rFonts w:ascii="Arial" w:hAnsi="Arial" w:cs="Arial"/>
          <w:szCs w:val="24"/>
          <w:lang w:val="en-GB"/>
        </w:rPr>
        <w:t xml:space="preserve"> like surgery, medical diagnosis of gender dysphoria, marital status exclusion, etc</w:t>
      </w:r>
      <w:r w:rsidR="00BE259B" w:rsidRPr="0028108F">
        <w:rPr>
          <w:rFonts w:ascii="Arial" w:hAnsi="Arial" w:cs="Arial"/>
          <w:szCs w:val="24"/>
          <w:lang w:val="en-GB"/>
        </w:rPr>
        <w:t>.</w:t>
      </w:r>
      <w:r w:rsidRPr="0028108F">
        <w:rPr>
          <w:rFonts w:ascii="Arial" w:hAnsi="Arial" w:cs="Arial"/>
          <w:szCs w:val="24"/>
          <w:lang w:val="en-GB"/>
        </w:rPr>
        <w:t xml:space="preserve"> (examples of jurisdictions adopting this model are Japan, Mainland China, </w:t>
      </w:r>
      <w:r w:rsidR="00BD6DB3" w:rsidRPr="0028108F">
        <w:rPr>
          <w:rFonts w:ascii="Arial" w:hAnsi="Arial" w:cs="Arial"/>
          <w:szCs w:val="24"/>
          <w:lang w:val="en-GB"/>
        </w:rPr>
        <w:t xml:space="preserve">and </w:t>
      </w:r>
      <w:r w:rsidRPr="0028108F">
        <w:rPr>
          <w:rFonts w:ascii="Arial" w:hAnsi="Arial" w:cs="Arial"/>
          <w:szCs w:val="24"/>
          <w:lang w:val="en-GB"/>
        </w:rPr>
        <w:t>Finland).</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9C7DFD">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is </w:t>
      </w:r>
      <w:r w:rsidR="007C05D9">
        <w:rPr>
          <w:rFonts w:ascii="Arial" w:hAnsi="Arial" w:cs="Arial" w:hint="eastAsia"/>
          <w:szCs w:val="24"/>
          <w:lang w:val="en-GB"/>
        </w:rPr>
        <w:t>pertinent to note</w:t>
      </w:r>
      <w:r w:rsidRPr="0028108F">
        <w:rPr>
          <w:rFonts w:ascii="Arial" w:hAnsi="Arial" w:cs="Arial"/>
          <w:szCs w:val="24"/>
          <w:lang w:val="en-GB"/>
        </w:rPr>
        <w:t xml:space="preserve"> that the involvement of the judiciary is very significant in determining issues related to gender recognition in some jurisdictions, notwithstanding whether such issues are already included in the statutory law.  As shown in the previous </w:t>
      </w:r>
      <w:r w:rsidR="00D130C9">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there have been occasional legal challenges on the </w:t>
      </w:r>
      <w:r w:rsidR="00784AF1" w:rsidRPr="0028108F">
        <w:rPr>
          <w:rFonts w:ascii="Arial" w:hAnsi="Arial" w:cs="Arial"/>
          <w:szCs w:val="24"/>
          <w:lang w:val="en-GB"/>
        </w:rPr>
        <w:t>UK GRA</w:t>
      </w:r>
      <w:r w:rsidRPr="0028108F">
        <w:rPr>
          <w:rFonts w:ascii="Arial" w:hAnsi="Arial" w:cs="Arial"/>
          <w:szCs w:val="24"/>
          <w:lang w:val="en-GB"/>
        </w:rPr>
        <w:t xml:space="preserve"> brought on the basis of violation of human rights.  Similar situations </w:t>
      </w:r>
      <w:r w:rsidR="00774EB5" w:rsidRPr="0028108F">
        <w:rPr>
          <w:rFonts w:ascii="Arial" w:hAnsi="Arial" w:cs="Arial"/>
          <w:szCs w:val="24"/>
          <w:lang w:val="en-GB"/>
        </w:rPr>
        <w:t xml:space="preserve">have </w:t>
      </w:r>
      <w:r w:rsidRPr="0028108F">
        <w:rPr>
          <w:rFonts w:ascii="Arial" w:hAnsi="Arial" w:cs="Arial"/>
          <w:szCs w:val="24"/>
          <w:lang w:val="en-GB"/>
        </w:rPr>
        <w:t>also arisen in some other jurisdictions, where eligibility of the gender recognition law might be clarified, extended or altered pursuant to court decisions (</w:t>
      </w:r>
      <w:r w:rsidR="00D6311F" w:rsidRPr="0028108F">
        <w:rPr>
          <w:rFonts w:ascii="Arial" w:hAnsi="Arial" w:cs="Arial"/>
          <w:szCs w:val="24"/>
          <w:lang w:val="en-GB"/>
        </w:rPr>
        <w:t>eg</w:t>
      </w:r>
      <w:r w:rsidRPr="0028108F">
        <w:rPr>
          <w:rFonts w:ascii="Arial" w:hAnsi="Arial" w:cs="Arial"/>
          <w:szCs w:val="24"/>
          <w:lang w:val="en-GB"/>
        </w:rPr>
        <w:t>, Germany’s court decision to extend the scope of applicants for gender recognition to stateless persons and refugees, the Italian Supreme Court’s decision in July 2015 ruling that medical intervention was not necessary for gender recognition, the Swedish Administrative Court of Appeal’s ruling in June 2012 that a forced sterilisation requirement intrudes on an applicant’s physical integrity, Alberta’s court ruling in April 2014 that the surgical proof requirement was inconsistent with the Canadian Charter of Rights and Freedoms, etc).  In some jurisdictions without any legislation dealing with gender recognition matters, the court would take the role of determining the requirements for allowing gender recognition or change of gender marker on transgender persons’ identification documents (typical examples are India, Austria, Luxembourg and Serbia).</w:t>
      </w:r>
      <w:r w:rsidR="00D508AD" w:rsidRPr="0028108F">
        <w:rPr>
          <w:rStyle w:val="FootnoteReference"/>
          <w:rFonts w:ascii="Arial" w:hAnsi="Arial" w:cs="Arial"/>
          <w:szCs w:val="24"/>
          <w:lang w:val="en-GB"/>
        </w:rPr>
        <w:footnoteReference w:id="248"/>
      </w:r>
      <w:r w:rsidRPr="0028108F">
        <w:rPr>
          <w:rFonts w:ascii="Arial" w:hAnsi="Arial" w:cs="Arial"/>
          <w:szCs w:val="24"/>
          <w:lang w:val="en-GB"/>
        </w:rPr>
        <w:t xml:space="preserve">  Further, in various jurisdictions a specific court has been mandated by the gender recognition law as the authority to determine applications (typical examples are Japan, New Zealand, Ireland, Poland, Switzerland and California (</w:t>
      </w:r>
      <w:r w:rsidR="00512AC0" w:rsidRPr="0028108F">
        <w:rPr>
          <w:rFonts w:ascii="Arial" w:hAnsi="Arial" w:cs="Arial"/>
          <w:szCs w:val="24"/>
          <w:lang w:val="en-GB"/>
        </w:rPr>
        <w:t>US</w:t>
      </w:r>
      <w:r w:rsidRPr="0028108F">
        <w:rPr>
          <w:rFonts w:ascii="Arial" w:hAnsi="Arial" w:cs="Arial"/>
          <w:szCs w:val="24"/>
          <w:lang w:val="en-GB"/>
        </w:rPr>
        <w:t>)), or a court ruling on certain matters such as the approval of sex change has been made a prerequisite before an application can be made to the relevant authority (see Romania, Alaska (</w:t>
      </w:r>
      <w:r w:rsidR="00512AC0" w:rsidRPr="0028108F">
        <w:rPr>
          <w:rFonts w:ascii="Arial" w:hAnsi="Arial" w:cs="Arial"/>
          <w:szCs w:val="24"/>
          <w:lang w:val="en-GB"/>
        </w:rPr>
        <w:t>US</w:t>
      </w:r>
      <w:r w:rsidRPr="0028108F">
        <w:rPr>
          <w:rFonts w:ascii="Arial" w:hAnsi="Arial" w:cs="Arial"/>
          <w:szCs w:val="24"/>
          <w:lang w:val="en-GB"/>
        </w:rPr>
        <w:t>), Arizona (</w:t>
      </w:r>
      <w:r w:rsidR="00512AC0" w:rsidRPr="0028108F">
        <w:rPr>
          <w:rFonts w:ascii="Arial" w:hAnsi="Arial" w:cs="Arial"/>
          <w:szCs w:val="24"/>
          <w:lang w:val="en-GB"/>
        </w:rPr>
        <w:t>US</w:t>
      </w:r>
      <w:r w:rsidRPr="0028108F">
        <w:rPr>
          <w:rFonts w:ascii="Arial" w:hAnsi="Arial" w:cs="Arial"/>
          <w:szCs w:val="24"/>
          <w:lang w:val="en-GB"/>
        </w:rPr>
        <w:t>) and Indiana (</w:t>
      </w:r>
      <w:r w:rsidR="00512AC0" w:rsidRPr="0028108F">
        <w:rPr>
          <w:rFonts w:ascii="Arial" w:hAnsi="Arial" w:cs="Arial"/>
          <w:szCs w:val="24"/>
          <w:lang w:val="en-GB"/>
        </w:rPr>
        <w:t>US</w:t>
      </w:r>
      <w:r w:rsidRPr="0028108F">
        <w:rPr>
          <w:rFonts w:ascii="Arial" w:hAnsi="Arial" w:cs="Arial"/>
          <w:szCs w:val="24"/>
          <w:lang w:val="en-GB"/>
        </w:rPr>
        <w:t xml:space="preserve">)).  Various influential judicial decisions are summarised in </w:t>
      </w:r>
      <w:r w:rsidRPr="008813DE">
        <w:rPr>
          <w:rFonts w:ascii="Arial" w:hAnsi="Arial" w:cs="Arial"/>
          <w:szCs w:val="24"/>
          <w:lang w:val="en-GB"/>
        </w:rPr>
        <w:t>Annex B</w:t>
      </w:r>
      <w:r w:rsidRPr="0028108F">
        <w:rPr>
          <w:rFonts w:ascii="Arial" w:hAnsi="Arial" w:cs="Arial"/>
          <w:szCs w:val="24"/>
          <w:lang w:val="en-GB"/>
        </w:rPr>
        <w:t xml:space="preserve"> of this paper.</w:t>
      </w:r>
    </w:p>
    <w:p w:rsidR="003D52D7" w:rsidRPr="0028108F" w:rsidRDefault="003D52D7" w:rsidP="003D52D7">
      <w:pPr>
        <w:pStyle w:val="ListParagraph"/>
        <w:tabs>
          <w:tab w:val="left" w:pos="1418"/>
        </w:tabs>
        <w:adjustRightInd w:val="0"/>
        <w:ind w:leftChars="0" w:left="840"/>
        <w:jc w:val="both"/>
        <w:rPr>
          <w:rFonts w:ascii="Arial" w:hAnsi="Arial" w:cs="Arial"/>
          <w:szCs w:val="24"/>
          <w:lang w:val="en-GB"/>
        </w:rPr>
      </w:pPr>
    </w:p>
    <w:p w:rsidR="003D52D7" w:rsidRPr="00C57CE1" w:rsidRDefault="003D52D7" w:rsidP="009C7DFD">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lastRenderedPageBreak/>
        <w:t xml:space="preserve">Given the rapid developments in this area, the information contained in this </w:t>
      </w:r>
      <w:r w:rsidR="006675C3" w:rsidRPr="0028108F">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only represents the laws as known to the IWG up to </w:t>
      </w:r>
      <w:r w:rsidR="000151FC">
        <w:rPr>
          <w:rFonts w:ascii="Arial" w:hAnsi="Arial" w:cs="Arial"/>
          <w:szCs w:val="24"/>
          <w:lang w:val="en-GB"/>
        </w:rPr>
        <w:t>May 2017</w:t>
      </w:r>
      <w:r w:rsidRPr="00181CF2">
        <w:rPr>
          <w:rFonts w:ascii="Arial" w:hAnsi="Arial" w:cs="Arial"/>
          <w:szCs w:val="24"/>
          <w:lang w:val="en-GB"/>
        </w:rPr>
        <w:t xml:space="preserve"> and it is not intended to offer a comprehensive re</w:t>
      </w:r>
      <w:r w:rsidRPr="00C57CE1">
        <w:rPr>
          <w:rFonts w:ascii="Arial" w:hAnsi="Arial" w:cs="Arial"/>
          <w:szCs w:val="24"/>
          <w:lang w:val="en-GB"/>
        </w:rPr>
        <w:t>view of the relevant overseas schemes.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sz w:val="28"/>
          <w:szCs w:val="24"/>
          <w:lang w:val="en-GB"/>
        </w:rPr>
      </w:pPr>
      <w:r w:rsidRPr="0028108F">
        <w:rPr>
          <w:rFonts w:ascii="Arial" w:hAnsi="Arial" w:cs="Arial"/>
          <w:b/>
          <w:sz w:val="28"/>
          <w:szCs w:val="24"/>
          <w:lang w:val="en-GB"/>
        </w:rPr>
        <w:t xml:space="preserve">Asia-Pacific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szCs w:val="24"/>
          <w:lang w:val="en-GB"/>
        </w:rPr>
      </w:pPr>
      <w:r w:rsidRPr="0028108F">
        <w:rPr>
          <w:rFonts w:ascii="Arial" w:hAnsi="Arial" w:cs="Arial"/>
          <w:b/>
          <w:i/>
          <w:szCs w:val="24"/>
          <w:lang w:val="en-GB"/>
        </w:rPr>
        <w:t>Overview</w:t>
      </w:r>
      <w:r w:rsidRPr="0028108F">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szCs w:val="24"/>
          <w:lang w:val="en-GB"/>
        </w:rPr>
      </w:pPr>
    </w:p>
    <w:p w:rsidR="003D52D7" w:rsidRPr="0028108F" w:rsidRDefault="002254C3"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Pr>
          <w:rFonts w:ascii="Arial" w:hAnsi="Arial" w:cs="Arial" w:hint="eastAsia"/>
          <w:szCs w:val="24"/>
          <w:lang w:val="en-GB"/>
        </w:rPr>
        <w:t>This chapter covers 16</w:t>
      </w:r>
      <w:r w:rsidR="003D52D7" w:rsidRPr="0028108F">
        <w:rPr>
          <w:rFonts w:ascii="Arial" w:hAnsi="Arial" w:cs="Arial"/>
          <w:szCs w:val="24"/>
          <w:lang w:val="en-GB"/>
        </w:rPr>
        <w:t xml:space="preserve"> jurisdictions across the Asia-Pacific region, including </w:t>
      </w:r>
      <w:r w:rsidR="004E2691">
        <w:rPr>
          <w:rFonts w:ascii="Arial" w:hAnsi="Arial" w:cs="Arial" w:hint="eastAsia"/>
          <w:szCs w:val="24"/>
          <w:lang w:val="en-GB"/>
        </w:rPr>
        <w:t xml:space="preserve">eight </w:t>
      </w:r>
      <w:r w:rsidR="003D52D7" w:rsidRPr="0028108F">
        <w:rPr>
          <w:rFonts w:ascii="Arial" w:hAnsi="Arial" w:cs="Arial"/>
          <w:szCs w:val="24"/>
          <w:lang w:val="en-GB"/>
        </w:rPr>
        <w:t xml:space="preserve">Asian countries and the </w:t>
      </w:r>
      <w:r w:rsidR="004E2691">
        <w:rPr>
          <w:rFonts w:ascii="Arial" w:hAnsi="Arial" w:cs="Arial" w:hint="eastAsia"/>
          <w:szCs w:val="24"/>
          <w:lang w:val="en-GB"/>
        </w:rPr>
        <w:t xml:space="preserve">eight </w:t>
      </w:r>
      <w:r w:rsidR="003D52D7" w:rsidRPr="0028108F">
        <w:rPr>
          <w:rFonts w:ascii="Arial" w:hAnsi="Arial" w:cs="Arial"/>
          <w:szCs w:val="24"/>
          <w:lang w:val="en-GB"/>
        </w:rPr>
        <w:t xml:space="preserve">jurisdictions of Australia (including six states and two territories). </w:t>
      </w:r>
    </w:p>
    <w:p w:rsidR="003D52D7" w:rsidRPr="0028108F" w:rsidRDefault="003D52D7" w:rsidP="003D52D7">
      <w:pPr>
        <w:tabs>
          <w:tab w:val="left" w:pos="1418"/>
        </w:tabs>
        <w:adjustRightInd w:val="0"/>
        <w:snapToGrid w:val="0"/>
        <w:jc w:val="both"/>
        <w:rPr>
          <w:rFonts w:ascii="Arial" w:hAnsi="Arial" w:cs="Arial"/>
          <w:szCs w:val="24"/>
          <w:lang w:val="en-GB"/>
        </w:rPr>
      </w:pPr>
      <w:r w:rsidRPr="0028108F">
        <w:rPr>
          <w:rFonts w:ascii="Arial" w:hAnsi="Arial" w:cs="Arial"/>
          <w:szCs w:val="24"/>
          <w:lang w:val="en-GB"/>
        </w:rPr>
        <w:t xml:space="preserve"> </w:t>
      </w: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Amongst these jurisdictions, three have enacted legislation to specifically address the issues of gender recognition, namely Japan, South Australia and Western Australia.  Vietnam has, in November 2015, passed new legislation pertaining to gender recognition which</w:t>
      </w:r>
      <w:r w:rsidR="00773607">
        <w:rPr>
          <w:rFonts w:ascii="Arial" w:hAnsi="Arial" w:cs="Arial" w:hint="eastAsia"/>
          <w:szCs w:val="24"/>
          <w:lang w:val="en-GB"/>
        </w:rPr>
        <w:t xml:space="preserve"> ca</w:t>
      </w:r>
      <w:r w:rsidRPr="0028108F">
        <w:rPr>
          <w:rFonts w:ascii="Arial" w:hAnsi="Arial" w:cs="Arial"/>
          <w:szCs w:val="24"/>
          <w:lang w:val="en-GB"/>
        </w:rPr>
        <w:t xml:space="preserve">me into effect in </w:t>
      </w:r>
      <w:r w:rsidR="00773607">
        <w:rPr>
          <w:rFonts w:ascii="Arial" w:hAnsi="Arial" w:cs="Arial" w:hint="eastAsia"/>
          <w:szCs w:val="24"/>
          <w:lang w:val="en-GB"/>
        </w:rPr>
        <w:t xml:space="preserve">January </w:t>
      </w:r>
      <w:r w:rsidRPr="0028108F">
        <w:rPr>
          <w:rFonts w:ascii="Arial" w:hAnsi="Arial" w:cs="Arial"/>
          <w:szCs w:val="24"/>
          <w:lang w:val="en-GB"/>
        </w:rPr>
        <w:t xml:space="preserve">2017.  The other </w:t>
      </w:r>
      <w:r w:rsidR="004E2691">
        <w:rPr>
          <w:rFonts w:ascii="Arial" w:hAnsi="Arial" w:cs="Arial" w:hint="eastAsia"/>
          <w:szCs w:val="24"/>
          <w:lang w:val="en-GB"/>
        </w:rPr>
        <w:t xml:space="preserve">12 </w:t>
      </w:r>
      <w:r w:rsidRPr="0028108F">
        <w:rPr>
          <w:rFonts w:ascii="Arial" w:hAnsi="Arial" w:cs="Arial"/>
          <w:szCs w:val="24"/>
          <w:lang w:val="en-GB"/>
        </w:rPr>
        <w:t xml:space="preserve">jurisdictions in this region (including India, Mainland China, New Zealand, Singapore, South Korea, Taiwan and, in Australia, Australian Capital Territory, Australian Northern Territory, New South Wales, Queensland, Tasmania and Victoria) deal with these issues in other ways.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BC016F"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Some of the </w:t>
      </w:r>
      <w:r w:rsidR="003D52D7" w:rsidRPr="0028108F">
        <w:rPr>
          <w:rFonts w:ascii="Arial" w:hAnsi="Arial" w:cs="Arial"/>
          <w:szCs w:val="24"/>
          <w:lang w:val="en-GB"/>
        </w:rPr>
        <w:t xml:space="preserve">recent developments of the laws affecting gender recognition in Asia-Pacific have taken place in </w:t>
      </w:r>
      <w:r w:rsidR="00773607" w:rsidRPr="0028108F">
        <w:rPr>
          <w:rFonts w:ascii="Arial" w:hAnsi="Arial" w:cs="Arial"/>
          <w:szCs w:val="24"/>
          <w:lang w:val="en-GB"/>
        </w:rPr>
        <w:t xml:space="preserve">Vietnam (in </w:t>
      </w:r>
      <w:r w:rsidR="00773607">
        <w:rPr>
          <w:rFonts w:ascii="Arial" w:hAnsi="Arial" w:cs="Arial" w:hint="eastAsia"/>
          <w:szCs w:val="24"/>
          <w:lang w:val="en-GB"/>
        </w:rPr>
        <w:t>January 2017</w:t>
      </w:r>
      <w:r w:rsidR="00773607" w:rsidRPr="0028108F">
        <w:rPr>
          <w:rFonts w:ascii="Arial" w:hAnsi="Arial" w:cs="Arial"/>
          <w:szCs w:val="24"/>
          <w:lang w:val="en-GB"/>
        </w:rPr>
        <w:t>)</w:t>
      </w:r>
      <w:r w:rsidR="00773607">
        <w:rPr>
          <w:rFonts w:ascii="Arial" w:hAnsi="Arial" w:cs="Arial" w:hint="eastAsia"/>
          <w:szCs w:val="24"/>
          <w:lang w:val="en-GB"/>
        </w:rPr>
        <w:t xml:space="preserve">, </w:t>
      </w:r>
      <w:r w:rsidRPr="0028108F">
        <w:rPr>
          <w:rFonts w:ascii="Arial" w:hAnsi="Arial" w:cs="Arial"/>
          <w:szCs w:val="24"/>
          <w:lang w:val="en-GB"/>
        </w:rPr>
        <w:t xml:space="preserve">South Australia (in </w:t>
      </w:r>
      <w:r w:rsidR="00C65C78">
        <w:rPr>
          <w:rFonts w:ascii="Arial" w:hAnsi="Arial" w:cs="Arial" w:hint="eastAsia"/>
          <w:szCs w:val="24"/>
          <w:lang w:val="en-GB"/>
        </w:rPr>
        <w:t>May 2017</w:t>
      </w:r>
      <w:r w:rsidRPr="0028108F">
        <w:rPr>
          <w:rFonts w:ascii="Arial" w:hAnsi="Arial" w:cs="Arial"/>
          <w:szCs w:val="24"/>
          <w:lang w:val="en-GB"/>
        </w:rPr>
        <w:t xml:space="preserve">), </w:t>
      </w:r>
      <w:r w:rsidR="003D52D7" w:rsidRPr="0028108F">
        <w:rPr>
          <w:rFonts w:ascii="Arial" w:hAnsi="Arial" w:cs="Arial"/>
          <w:szCs w:val="24"/>
          <w:lang w:val="en-GB"/>
        </w:rPr>
        <w:t xml:space="preserve">India (in April 2014), </w:t>
      </w:r>
      <w:r w:rsidR="00FD575B" w:rsidRPr="0028108F">
        <w:rPr>
          <w:rFonts w:ascii="Arial" w:hAnsi="Arial" w:cs="Arial"/>
          <w:szCs w:val="24"/>
          <w:lang w:val="en-GB"/>
        </w:rPr>
        <w:t>and</w:t>
      </w:r>
      <w:r w:rsidR="003D52D7" w:rsidRPr="0028108F">
        <w:rPr>
          <w:rFonts w:ascii="Arial" w:hAnsi="Arial" w:cs="Arial"/>
          <w:szCs w:val="24"/>
          <w:lang w:val="en-GB"/>
        </w:rPr>
        <w:t xml:space="preserve"> Australian Capital Territory (in April 2014).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Types of measures allowing rectification of official documents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eight jurisdictions of Australia explicitly provide for gender corrections on birth certificates</w:t>
      </w:r>
      <w:r w:rsidRPr="0028108F">
        <w:rPr>
          <w:rStyle w:val="FootnoteReference"/>
          <w:rFonts w:ascii="Arial" w:hAnsi="Arial" w:cs="Arial"/>
          <w:szCs w:val="24"/>
          <w:lang w:val="en-GB"/>
        </w:rPr>
        <w:footnoteReference w:id="249"/>
      </w:r>
      <w:r w:rsidRPr="0028108F">
        <w:rPr>
          <w:rFonts w:ascii="Arial" w:hAnsi="Arial" w:cs="Arial"/>
          <w:szCs w:val="24"/>
          <w:lang w:val="en-GB"/>
        </w:rPr>
        <w:t xml:space="preserve"> in their respective Births, Deaths and Marriages Regulations or, in the case of both South Australia and Western Australia, their specific gender reassignment statutes.</w:t>
      </w:r>
      <w:r w:rsidRPr="0028108F">
        <w:rPr>
          <w:rStyle w:val="FootnoteReference"/>
          <w:rFonts w:ascii="Arial" w:hAnsi="Arial" w:cs="Arial"/>
          <w:szCs w:val="24"/>
          <w:lang w:val="en-GB"/>
        </w:rPr>
        <w:footnoteReference w:id="250"/>
      </w:r>
      <w:r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Of the eight Asian countries referred to in this </w:t>
      </w:r>
      <w:r w:rsidR="00D75422">
        <w:rPr>
          <w:rFonts w:ascii="Arial" w:hAnsi="Arial" w:cs="Arial"/>
          <w:szCs w:val="24"/>
          <w:lang w:val="en-GB"/>
        </w:rPr>
        <w:t>c</w:t>
      </w:r>
      <w:r w:rsidRPr="0028108F">
        <w:rPr>
          <w:rFonts w:ascii="Arial" w:hAnsi="Arial" w:cs="Arial"/>
          <w:szCs w:val="24"/>
          <w:lang w:val="en-GB"/>
        </w:rPr>
        <w:t xml:space="preserve">hapter, all permit gender corrections in identity cards, household registry or other official documents/registries which have a significant bearing on one’s gender marker.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Authority to determine applications</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Of the </w:t>
      </w:r>
      <w:r w:rsidR="004E2691">
        <w:rPr>
          <w:rFonts w:ascii="Arial" w:hAnsi="Arial" w:cs="Arial" w:hint="eastAsia"/>
          <w:szCs w:val="24"/>
          <w:lang w:val="en-GB"/>
        </w:rPr>
        <w:t>16</w:t>
      </w:r>
      <w:r w:rsidRPr="0028108F">
        <w:rPr>
          <w:rFonts w:ascii="Arial" w:hAnsi="Arial" w:cs="Arial"/>
          <w:szCs w:val="24"/>
          <w:lang w:val="en-GB"/>
        </w:rPr>
        <w:t xml:space="preserve"> jurisdictions in this region under study, </w:t>
      </w:r>
      <w:r w:rsidR="004E2691">
        <w:rPr>
          <w:rFonts w:ascii="Arial" w:hAnsi="Arial" w:cs="Arial" w:hint="eastAsia"/>
          <w:szCs w:val="24"/>
          <w:lang w:val="en-GB"/>
        </w:rPr>
        <w:t xml:space="preserve">four </w:t>
      </w:r>
      <w:r w:rsidRPr="0028108F">
        <w:rPr>
          <w:rFonts w:ascii="Arial" w:hAnsi="Arial" w:cs="Arial"/>
          <w:szCs w:val="24"/>
          <w:lang w:val="en-GB"/>
        </w:rPr>
        <w:t>require a court order for gender recognition,</w:t>
      </w:r>
      <w:r w:rsidRPr="0028108F">
        <w:rPr>
          <w:rStyle w:val="FootnoteReference"/>
          <w:rFonts w:ascii="Arial" w:hAnsi="Arial" w:cs="Arial"/>
          <w:szCs w:val="24"/>
          <w:lang w:val="en-GB"/>
        </w:rPr>
        <w:footnoteReference w:id="251"/>
      </w:r>
      <w:r w:rsidRPr="0028108F">
        <w:rPr>
          <w:rFonts w:ascii="Arial" w:hAnsi="Arial" w:cs="Arial"/>
          <w:szCs w:val="24"/>
          <w:lang w:val="en-GB"/>
        </w:rPr>
        <w:t xml:space="preserve"> and </w:t>
      </w:r>
      <w:r w:rsidR="004E2691">
        <w:rPr>
          <w:rFonts w:ascii="Arial" w:hAnsi="Arial" w:cs="Arial" w:hint="eastAsia"/>
          <w:szCs w:val="24"/>
          <w:lang w:val="en-GB"/>
        </w:rPr>
        <w:t>12</w:t>
      </w:r>
      <w:r w:rsidR="00AA75E1" w:rsidRPr="0028108F">
        <w:rPr>
          <w:rFonts w:ascii="Arial" w:hAnsi="Arial" w:cs="Arial"/>
          <w:szCs w:val="24"/>
          <w:lang w:val="en-GB"/>
        </w:rPr>
        <w:t xml:space="preserve"> </w:t>
      </w:r>
      <w:r w:rsidRPr="0028108F">
        <w:rPr>
          <w:rFonts w:ascii="Arial" w:hAnsi="Arial" w:cs="Arial"/>
          <w:szCs w:val="24"/>
          <w:lang w:val="en-GB"/>
        </w:rPr>
        <w:t>utilise an administrative process under which the government bureau or department handling identity records is the determining authority.</w:t>
      </w:r>
      <w:r w:rsidRPr="0028108F">
        <w:rPr>
          <w:rStyle w:val="FootnoteReference"/>
          <w:rFonts w:ascii="Arial" w:hAnsi="Arial" w:cs="Arial"/>
          <w:szCs w:val="24"/>
          <w:lang w:val="en-GB"/>
        </w:rPr>
        <w:footnoteReference w:id="252"/>
      </w:r>
      <w:r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Sex or gender reassignment surgery/procedure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BC7849"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Nine </w:t>
      </w:r>
      <w:r w:rsidR="003D52D7" w:rsidRPr="0028108F">
        <w:rPr>
          <w:rFonts w:ascii="Arial" w:hAnsi="Arial" w:cs="Arial"/>
          <w:szCs w:val="24"/>
          <w:lang w:val="en-GB"/>
        </w:rPr>
        <w:t>of the sixteen jurisdictions studied in this region require gender reassignment surgery</w:t>
      </w:r>
      <w:r w:rsidR="003D52D7" w:rsidRPr="00C57CE1">
        <w:rPr>
          <w:rFonts w:ascii="Arial" w:hAnsi="Arial" w:cs="Arial"/>
          <w:szCs w:val="24"/>
          <w:lang w:val="en-GB"/>
        </w:rPr>
        <w:t xml:space="preserve"> or genital surgeries</w:t>
      </w:r>
      <w:r w:rsidR="003D52D7" w:rsidRPr="0028108F">
        <w:rPr>
          <w:rFonts w:ascii="Arial" w:hAnsi="Arial" w:cs="Arial"/>
          <w:szCs w:val="24"/>
          <w:lang w:val="en-GB"/>
        </w:rPr>
        <w:t xml:space="preserve"> as a pre-condition to legal gender change, including the Australian Northern Territory, Japan, Mainland China, New South Wales, Queensland, Taiwan, Tasmania, Victoria and Vietnam.  In contrast, the Australian Capital Territory, </w:t>
      </w:r>
      <w:r w:rsidR="00814009" w:rsidRPr="0028108F">
        <w:rPr>
          <w:rFonts w:ascii="Arial" w:hAnsi="Arial" w:cs="Arial"/>
          <w:szCs w:val="24"/>
          <w:lang w:val="en-GB"/>
        </w:rPr>
        <w:t xml:space="preserve">South Australia, </w:t>
      </w:r>
      <w:r w:rsidR="003D52D7" w:rsidRPr="0028108F">
        <w:rPr>
          <w:rFonts w:ascii="Arial" w:hAnsi="Arial" w:cs="Arial"/>
          <w:szCs w:val="24"/>
          <w:lang w:val="en-GB"/>
        </w:rPr>
        <w:t xml:space="preserve">India, New Zealand and South Korea have removed the surgical criteria originally provided in their statutes or government policies.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5C685F">
      <w:pPr>
        <w:pStyle w:val="ListParagraph"/>
        <w:widowControl/>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Western Australia requires </w:t>
      </w:r>
      <w:r w:rsidR="006675C3" w:rsidRPr="0028108F">
        <w:rPr>
          <w:rFonts w:ascii="Arial" w:hAnsi="Arial" w:cs="Arial"/>
          <w:szCs w:val="24"/>
          <w:lang w:val="en-GB"/>
        </w:rPr>
        <w:t>“</w:t>
      </w:r>
      <w:r w:rsidRPr="0028108F">
        <w:rPr>
          <w:rFonts w:ascii="Arial" w:hAnsi="Arial" w:cs="Arial"/>
          <w:i/>
          <w:szCs w:val="24"/>
          <w:lang w:val="en-GB"/>
        </w:rPr>
        <w:t>gender reassignment procedure</w:t>
      </w:r>
      <w:r w:rsidR="006675C3" w:rsidRPr="00181CF2">
        <w:rPr>
          <w:rFonts w:ascii="Arial" w:hAnsi="Arial" w:cs="Arial"/>
          <w:szCs w:val="24"/>
          <w:lang w:val="en-GB"/>
        </w:rPr>
        <w:t>”</w:t>
      </w:r>
      <w:r w:rsidRPr="00C57CE1">
        <w:rPr>
          <w:rFonts w:ascii="Arial" w:hAnsi="Arial" w:cs="Arial"/>
          <w:szCs w:val="24"/>
          <w:lang w:val="en-GB"/>
        </w:rPr>
        <w:t xml:space="preserve"> </w:t>
      </w:r>
      <w:r w:rsidRPr="0028108F">
        <w:rPr>
          <w:rFonts w:ascii="Arial" w:hAnsi="Arial" w:cs="Arial"/>
          <w:szCs w:val="24"/>
          <w:lang w:val="en-GB"/>
        </w:rPr>
        <w:t xml:space="preserve">in its legislation, but a recent court decision has relaxed the surgical requirement for female-to-male transgender people, enabling them to apply for a recognition certificate without first undergoing a hysterectomy or a phalloplasty (see discussion below).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Singapore expressly requires completion of </w:t>
      </w:r>
      <w:r w:rsidRPr="0028108F">
        <w:rPr>
          <w:rFonts w:ascii="Arial" w:hAnsi="Arial" w:cs="Arial"/>
          <w:i/>
          <w:szCs w:val="24"/>
          <w:lang w:val="en-GB"/>
        </w:rPr>
        <w:t>“sex reassignment procedure”</w:t>
      </w:r>
      <w:r w:rsidRPr="0028108F">
        <w:rPr>
          <w:rFonts w:ascii="Arial" w:hAnsi="Arial" w:cs="Arial"/>
          <w:szCs w:val="24"/>
          <w:lang w:val="en-GB"/>
        </w:rPr>
        <w:t xml:space="preserve"> for a person to change his or her gender status on the National Registration Identity Card (</w:t>
      </w:r>
      <w:r w:rsidR="006675C3" w:rsidRPr="0028108F">
        <w:rPr>
          <w:rFonts w:ascii="Arial" w:hAnsi="Arial" w:cs="Arial"/>
          <w:szCs w:val="24"/>
          <w:lang w:val="en-GB"/>
        </w:rPr>
        <w:t>“</w:t>
      </w:r>
      <w:r w:rsidRPr="0028108F">
        <w:rPr>
          <w:rFonts w:ascii="Arial" w:hAnsi="Arial" w:cs="Arial"/>
          <w:i/>
          <w:szCs w:val="24"/>
          <w:lang w:val="en-GB"/>
        </w:rPr>
        <w:t>NRIC</w:t>
      </w:r>
      <w:r w:rsidR="006675C3" w:rsidRPr="00181CF2">
        <w:rPr>
          <w:rFonts w:ascii="Arial" w:hAnsi="Arial" w:cs="Arial"/>
          <w:szCs w:val="24"/>
          <w:lang w:val="en-GB"/>
        </w:rPr>
        <w:t>”</w:t>
      </w:r>
      <w:r w:rsidRPr="00C57CE1">
        <w:rPr>
          <w:rFonts w:ascii="Arial" w:hAnsi="Arial" w:cs="Arial"/>
          <w:szCs w:val="24"/>
          <w:lang w:val="en-GB"/>
        </w:rPr>
        <w:t xml:space="preserve">), but </w:t>
      </w:r>
      <w:r w:rsidR="006675C3" w:rsidRPr="0028108F">
        <w:rPr>
          <w:rFonts w:ascii="Arial" w:hAnsi="Arial" w:cs="Arial"/>
          <w:szCs w:val="24"/>
          <w:lang w:val="en-GB"/>
        </w:rPr>
        <w:t>“</w:t>
      </w:r>
      <w:r w:rsidR="006675C3" w:rsidRPr="0028108F">
        <w:rPr>
          <w:rFonts w:ascii="Arial" w:hAnsi="Arial" w:cs="Arial"/>
          <w:i/>
          <w:szCs w:val="24"/>
          <w:lang w:val="en-GB"/>
        </w:rPr>
        <w:t>sex reassignment procedure</w:t>
      </w:r>
      <w:r w:rsidR="006675C3" w:rsidRPr="00181CF2">
        <w:rPr>
          <w:rFonts w:ascii="Arial" w:hAnsi="Arial" w:cs="Arial"/>
          <w:szCs w:val="24"/>
          <w:lang w:val="en-GB"/>
        </w:rPr>
        <w:t xml:space="preserve">” </w:t>
      </w:r>
      <w:r w:rsidRPr="00C57CE1">
        <w:rPr>
          <w:rFonts w:ascii="Arial" w:hAnsi="Arial" w:cs="Arial"/>
          <w:szCs w:val="24"/>
          <w:lang w:val="en-GB"/>
        </w:rPr>
        <w:t xml:space="preserve">is not defined in the law.  This may render unclear the extent of the surgery and/or other medical treatments required in order for a person to be recognised as having undergone </w:t>
      </w:r>
      <w:r w:rsidR="006675C3" w:rsidRPr="0028108F">
        <w:rPr>
          <w:rFonts w:ascii="Arial" w:hAnsi="Arial" w:cs="Arial"/>
          <w:szCs w:val="24"/>
          <w:lang w:val="en-GB"/>
        </w:rPr>
        <w:t>“</w:t>
      </w:r>
      <w:r w:rsidR="006675C3" w:rsidRPr="0028108F">
        <w:rPr>
          <w:rFonts w:ascii="Arial" w:hAnsi="Arial" w:cs="Arial"/>
          <w:i/>
          <w:szCs w:val="24"/>
          <w:lang w:val="en-GB"/>
        </w:rPr>
        <w:t>sex reassignment procedure</w:t>
      </w:r>
      <w:r w:rsidR="006675C3" w:rsidRPr="0028108F">
        <w:rPr>
          <w:rFonts w:ascii="Arial" w:hAnsi="Arial" w:cs="Arial"/>
          <w:szCs w:val="24"/>
          <w:lang w:val="en-GB"/>
        </w:rPr>
        <w:t>”</w:t>
      </w:r>
      <w:r w:rsidRPr="0028108F">
        <w:rPr>
          <w:rFonts w:ascii="Arial" w:hAnsi="Arial" w:cs="Arial"/>
          <w:szCs w:val="24"/>
          <w:lang w:val="en-GB"/>
        </w:rPr>
        <w:t xml:space="preserve"> for the purposes of the law.</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709"/>
        </w:tabs>
        <w:adjustRightInd w:val="0"/>
        <w:snapToGrid w:val="0"/>
        <w:jc w:val="both"/>
        <w:rPr>
          <w:rFonts w:ascii="Arial" w:hAnsi="Arial" w:cs="Arial"/>
          <w:szCs w:val="24"/>
          <w:lang w:val="en-GB"/>
        </w:rPr>
      </w:pPr>
      <w:r w:rsidRPr="0028108F">
        <w:rPr>
          <w:rFonts w:ascii="Arial" w:hAnsi="Arial" w:cs="Arial"/>
          <w:i/>
          <w:szCs w:val="24"/>
          <w:lang w:val="en-GB"/>
        </w:rPr>
        <w:t>Medical diagnosis, hormonal treatment and “</w:t>
      </w:r>
      <w:r w:rsidR="00043FD0" w:rsidRPr="0028108F">
        <w:rPr>
          <w:rFonts w:ascii="Arial" w:hAnsi="Arial" w:cs="Arial"/>
          <w:i/>
          <w:szCs w:val="24"/>
          <w:lang w:val="en-GB"/>
        </w:rPr>
        <w:t>r</w:t>
      </w:r>
      <w:r w:rsidRPr="0028108F">
        <w:rPr>
          <w:rFonts w:ascii="Arial" w:hAnsi="Arial" w:cs="Arial"/>
          <w:i/>
          <w:szCs w:val="24"/>
          <w:lang w:val="en-GB"/>
        </w:rPr>
        <w:t xml:space="preserve">eal </w:t>
      </w:r>
      <w:r w:rsidR="00043FD0" w:rsidRPr="0028108F">
        <w:rPr>
          <w:rFonts w:ascii="Arial" w:hAnsi="Arial" w:cs="Arial"/>
          <w:i/>
          <w:szCs w:val="24"/>
          <w:lang w:val="en-GB"/>
        </w:rPr>
        <w:t>l</w:t>
      </w:r>
      <w:r w:rsidRPr="0028108F">
        <w:rPr>
          <w:rFonts w:ascii="Arial" w:hAnsi="Arial" w:cs="Arial"/>
          <w:i/>
          <w:szCs w:val="24"/>
          <w:lang w:val="en-GB"/>
        </w:rPr>
        <w:t xml:space="preserve">ife </w:t>
      </w:r>
      <w:r w:rsidR="00043FD0" w:rsidRPr="0028108F">
        <w:rPr>
          <w:rFonts w:ascii="Arial" w:hAnsi="Arial" w:cs="Arial"/>
          <w:i/>
          <w:szCs w:val="24"/>
          <w:lang w:val="en-GB"/>
        </w:rPr>
        <w:t>t</w:t>
      </w:r>
      <w:r w:rsidRPr="0028108F">
        <w:rPr>
          <w:rFonts w:ascii="Arial" w:hAnsi="Arial" w:cs="Arial"/>
          <w:i/>
          <w:szCs w:val="24"/>
          <w:lang w:val="en-GB"/>
        </w:rPr>
        <w:t>est”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AA75E1"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 </w:t>
      </w:r>
      <w:r w:rsidR="003D52D7" w:rsidRPr="0028108F">
        <w:rPr>
          <w:rFonts w:ascii="Arial" w:hAnsi="Arial" w:cs="Arial"/>
          <w:szCs w:val="24"/>
          <w:lang w:val="en-GB"/>
        </w:rPr>
        <w:t xml:space="preserve">requirement of a medical diagnosis </w:t>
      </w:r>
      <w:r w:rsidRPr="0028108F">
        <w:rPr>
          <w:rFonts w:ascii="Arial" w:hAnsi="Arial" w:cs="Arial"/>
          <w:szCs w:val="24"/>
          <w:lang w:val="en-GB"/>
        </w:rPr>
        <w:t xml:space="preserve">for gender recognition </w:t>
      </w:r>
      <w:r w:rsidR="003D52D7" w:rsidRPr="0028108F">
        <w:rPr>
          <w:rFonts w:ascii="Arial" w:hAnsi="Arial" w:cs="Arial"/>
          <w:szCs w:val="24"/>
          <w:lang w:val="en-GB"/>
        </w:rPr>
        <w:t>exists in India</w:t>
      </w:r>
      <w:r w:rsidRPr="0028108F">
        <w:rPr>
          <w:rFonts w:ascii="Arial" w:hAnsi="Arial" w:cs="Arial"/>
          <w:szCs w:val="24"/>
          <w:lang w:val="en-GB"/>
        </w:rPr>
        <w:t xml:space="preserve"> (requiring </w:t>
      </w:r>
      <w:r w:rsidRPr="0028108F">
        <w:rPr>
          <w:rFonts w:ascii="Arial" w:hAnsi="Arial" w:cs="Arial"/>
          <w:i/>
          <w:szCs w:val="24"/>
          <w:lang w:val="en-GB"/>
        </w:rPr>
        <w:t>“psychological test”</w:t>
      </w:r>
      <w:r w:rsidRPr="0028108F">
        <w:rPr>
          <w:rFonts w:ascii="Arial" w:hAnsi="Arial" w:cs="Arial"/>
          <w:szCs w:val="24"/>
          <w:lang w:val="en-GB"/>
        </w:rPr>
        <w:t xml:space="preserve"> for identifying a transgender person as a </w:t>
      </w:r>
      <w:r w:rsidRPr="0028108F">
        <w:rPr>
          <w:rFonts w:ascii="Arial" w:hAnsi="Arial" w:cs="Arial"/>
          <w:i/>
          <w:szCs w:val="24"/>
          <w:lang w:val="en-GB"/>
        </w:rPr>
        <w:t>“third gender”</w:t>
      </w:r>
      <w:r w:rsidRPr="0028108F">
        <w:rPr>
          <w:rFonts w:ascii="Arial" w:hAnsi="Arial" w:cs="Arial"/>
          <w:szCs w:val="24"/>
          <w:lang w:val="en-GB"/>
        </w:rPr>
        <w:t xml:space="preserve"> person)</w:t>
      </w:r>
      <w:r w:rsidR="003D52D7" w:rsidRPr="0028108F">
        <w:rPr>
          <w:rFonts w:ascii="Arial" w:hAnsi="Arial" w:cs="Arial"/>
          <w:szCs w:val="24"/>
          <w:lang w:val="en-GB"/>
        </w:rPr>
        <w:t>, Japan</w:t>
      </w:r>
      <w:r w:rsidRPr="0028108F">
        <w:rPr>
          <w:rFonts w:ascii="Arial" w:hAnsi="Arial" w:cs="Arial"/>
          <w:szCs w:val="24"/>
          <w:lang w:val="en-GB"/>
        </w:rPr>
        <w:t xml:space="preserve"> (diagnosis of gender identity disorder needed)</w:t>
      </w:r>
      <w:r w:rsidR="003D52D7" w:rsidRPr="0028108F">
        <w:rPr>
          <w:rFonts w:ascii="Arial" w:hAnsi="Arial" w:cs="Arial"/>
          <w:szCs w:val="24"/>
          <w:lang w:val="en-GB"/>
        </w:rPr>
        <w:t>, Mainland China</w:t>
      </w:r>
      <w:r w:rsidRPr="0028108F">
        <w:rPr>
          <w:rFonts w:ascii="Arial" w:hAnsi="Arial" w:cs="Arial"/>
          <w:szCs w:val="24"/>
          <w:lang w:val="en-GB"/>
        </w:rPr>
        <w:t xml:space="preserve"> (diagnosis of gender identity disorder and psychiatric/psychological counselling for 1 year)</w:t>
      </w:r>
      <w:r w:rsidR="003D52D7" w:rsidRPr="0028108F">
        <w:rPr>
          <w:rFonts w:ascii="Arial" w:hAnsi="Arial" w:cs="Arial"/>
          <w:szCs w:val="24"/>
          <w:lang w:val="en-GB"/>
        </w:rPr>
        <w:t>, South Korea</w:t>
      </w:r>
      <w:r w:rsidRPr="0028108F">
        <w:rPr>
          <w:rFonts w:ascii="Arial" w:hAnsi="Arial" w:cs="Arial"/>
          <w:szCs w:val="24"/>
          <w:lang w:val="en-GB"/>
        </w:rPr>
        <w:t xml:space="preserve"> (long-term psychiatric treatment required)</w:t>
      </w:r>
      <w:r w:rsidR="003D52D7" w:rsidRPr="0028108F">
        <w:rPr>
          <w:rFonts w:ascii="Arial" w:hAnsi="Arial" w:cs="Arial"/>
          <w:szCs w:val="24"/>
          <w:lang w:val="en-GB"/>
        </w:rPr>
        <w:t xml:space="preserve"> and Taiwan</w:t>
      </w:r>
      <w:r w:rsidRPr="0028108F">
        <w:rPr>
          <w:rFonts w:ascii="Arial" w:hAnsi="Arial" w:cs="Arial"/>
          <w:szCs w:val="24"/>
          <w:lang w:val="en-GB"/>
        </w:rPr>
        <w:t xml:space="preserve"> (diagnosis of gender identity disorder or gender dysphoria).  O</w:t>
      </w:r>
      <w:r w:rsidR="003D52D7" w:rsidRPr="0028108F">
        <w:rPr>
          <w:rFonts w:ascii="Arial" w:hAnsi="Arial" w:cs="Arial"/>
          <w:szCs w:val="24"/>
          <w:lang w:val="en-GB"/>
        </w:rPr>
        <w:t xml:space="preserve">ther Asia-Pacific jurisdictions </w:t>
      </w:r>
      <w:r w:rsidRPr="0028108F">
        <w:rPr>
          <w:rFonts w:ascii="Arial" w:hAnsi="Arial" w:cs="Arial"/>
          <w:szCs w:val="24"/>
          <w:lang w:val="en-GB"/>
        </w:rPr>
        <w:t xml:space="preserve">are either </w:t>
      </w:r>
      <w:r w:rsidRPr="0028108F">
        <w:rPr>
          <w:rFonts w:ascii="Arial" w:hAnsi="Arial" w:cs="Arial"/>
          <w:szCs w:val="24"/>
          <w:lang w:val="en-GB"/>
        </w:rPr>
        <w:lastRenderedPageBreak/>
        <w:t>silent or unclear as to whether a medical diagnosis requirement is imposed</w:t>
      </w:r>
      <w:r w:rsidR="003D52D7" w:rsidRPr="0028108F">
        <w:rPr>
          <w:rFonts w:ascii="Arial" w:hAnsi="Arial" w:cs="Arial"/>
          <w:szCs w:val="24"/>
          <w:lang w:val="en-GB"/>
        </w:rPr>
        <w:t xml:space="preserve">.  </w:t>
      </w:r>
    </w:p>
    <w:p w:rsidR="003D52D7" w:rsidRPr="0028108F" w:rsidRDefault="003D52D7" w:rsidP="003D52D7">
      <w:pPr>
        <w:tabs>
          <w:tab w:val="left" w:pos="709"/>
        </w:tabs>
        <w:adjustRightInd w:val="0"/>
        <w:snapToGrid w:val="0"/>
        <w:jc w:val="both"/>
        <w:rPr>
          <w:rFonts w:ascii="Arial" w:hAnsi="Arial" w:cs="Arial"/>
          <w:szCs w:val="24"/>
          <w:lang w:val="en-GB"/>
        </w:rPr>
      </w:pPr>
    </w:p>
    <w:p w:rsidR="00D40B9F"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Hormonal treatment requirements were </w:t>
      </w:r>
      <w:r w:rsidR="00A3142A" w:rsidRPr="0028108F">
        <w:rPr>
          <w:rFonts w:ascii="Arial" w:hAnsi="Arial" w:cs="Arial"/>
          <w:szCs w:val="24"/>
          <w:lang w:val="en-GB"/>
        </w:rPr>
        <w:t xml:space="preserve">expressly not required </w:t>
      </w:r>
      <w:r w:rsidRPr="0028108F">
        <w:rPr>
          <w:rFonts w:ascii="Arial" w:hAnsi="Arial" w:cs="Arial"/>
          <w:szCs w:val="24"/>
          <w:lang w:val="en-GB"/>
        </w:rPr>
        <w:t>in India</w:t>
      </w:r>
      <w:r w:rsidR="00AA75E1" w:rsidRPr="0028108F">
        <w:rPr>
          <w:rFonts w:ascii="Arial" w:hAnsi="Arial" w:cs="Arial"/>
          <w:szCs w:val="24"/>
          <w:lang w:val="en-GB"/>
        </w:rPr>
        <w:t>.</w:t>
      </w:r>
      <w:r w:rsidR="00D40B9F" w:rsidRPr="0028108F">
        <w:rPr>
          <w:rFonts w:ascii="Arial" w:hAnsi="Arial" w:cs="Arial"/>
          <w:szCs w:val="24"/>
          <w:lang w:val="en-GB"/>
        </w:rPr>
        <w:t xml:space="preserve">  No jurisdictions in the Asia-Pacific region have express requirement for hormonal treatment.</w:t>
      </w:r>
    </w:p>
    <w:p w:rsidR="00D40B9F" w:rsidRPr="0028108F" w:rsidRDefault="00D40B9F" w:rsidP="0028108F">
      <w:pPr>
        <w:tabs>
          <w:tab w:val="left" w:pos="709"/>
        </w:tabs>
        <w:adjustRightInd w:val="0"/>
        <w:snapToGrid w:val="0"/>
        <w:jc w:val="both"/>
        <w:rPr>
          <w:rFonts w:ascii="Arial" w:hAnsi="Arial" w:cs="Arial"/>
          <w:szCs w:val="24"/>
          <w:lang w:val="en-GB"/>
        </w:rPr>
      </w:pPr>
    </w:p>
    <w:p w:rsidR="003D52D7" w:rsidRPr="0028108F" w:rsidRDefault="003D52D7" w:rsidP="00D40B9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C57CE1">
        <w:rPr>
          <w:rFonts w:ascii="Arial" w:hAnsi="Arial" w:cs="Arial"/>
          <w:szCs w:val="24"/>
          <w:lang w:val="en-GB"/>
        </w:rPr>
        <w:t xml:space="preserve"> New Zealand requires, for change of sex entry on the birth certificate, that the applicant to indicate an intention to maintain his or her gender identity as a person of </w:t>
      </w:r>
      <w:r w:rsidRPr="0028108F">
        <w:rPr>
          <w:rFonts w:ascii="Arial" w:hAnsi="Arial" w:cs="Arial"/>
          <w:szCs w:val="24"/>
          <w:lang w:val="en-GB"/>
        </w:rPr>
        <w:t xml:space="preserve">the nominated sex.  Other jurisdictions in the Asia-Pacific region are either silent or unclear about </w:t>
      </w:r>
      <w:r w:rsidR="00AA75E1" w:rsidRPr="0028108F">
        <w:rPr>
          <w:rFonts w:ascii="Arial" w:hAnsi="Arial" w:cs="Arial"/>
          <w:szCs w:val="24"/>
          <w:lang w:val="en-GB"/>
        </w:rPr>
        <w:t>this requirement</w:t>
      </w:r>
      <w:r w:rsidR="00D40B9F" w:rsidRPr="0028108F">
        <w:rPr>
          <w:rFonts w:ascii="Arial" w:hAnsi="Arial" w:cs="Arial"/>
          <w:szCs w:val="24"/>
          <w:lang w:val="en-GB"/>
        </w:rPr>
        <w:t xml:space="preserve"> or </w:t>
      </w:r>
      <w:r w:rsidRPr="0028108F">
        <w:rPr>
          <w:rFonts w:ascii="Arial" w:hAnsi="Arial" w:cs="Arial"/>
          <w:szCs w:val="24"/>
          <w:lang w:val="en-GB"/>
        </w:rPr>
        <w:t xml:space="preserve">other physical or psychiatric requirements for gender recognition </w:t>
      </w:r>
      <w:r w:rsidR="00D6311F" w:rsidRPr="0028108F">
        <w:rPr>
          <w:rFonts w:ascii="Arial" w:hAnsi="Arial" w:cs="Arial"/>
          <w:szCs w:val="24"/>
          <w:lang w:val="en-GB"/>
        </w:rPr>
        <w:t>ie</w:t>
      </w:r>
      <w:r w:rsidRPr="0028108F">
        <w:rPr>
          <w:rFonts w:ascii="Arial" w:hAnsi="Arial" w:cs="Arial"/>
          <w:szCs w:val="24"/>
          <w:lang w:val="en-GB"/>
        </w:rPr>
        <w:t xml:space="preserve">, the </w:t>
      </w:r>
      <w:r w:rsidRPr="0028108F">
        <w:rPr>
          <w:rFonts w:ascii="Arial" w:hAnsi="Arial" w:cs="Arial"/>
          <w:i/>
          <w:szCs w:val="24"/>
          <w:lang w:val="en-GB"/>
        </w:rPr>
        <w:t>“</w:t>
      </w:r>
      <w:r w:rsidR="00043FD0" w:rsidRPr="0028108F">
        <w:rPr>
          <w:rFonts w:ascii="Arial" w:hAnsi="Arial" w:cs="Arial"/>
          <w:i/>
          <w:szCs w:val="24"/>
          <w:lang w:val="en-GB"/>
        </w:rPr>
        <w:t>real l</w:t>
      </w:r>
      <w:r w:rsidRPr="0028108F">
        <w:rPr>
          <w:rFonts w:ascii="Arial" w:hAnsi="Arial" w:cs="Arial"/>
          <w:i/>
          <w:szCs w:val="24"/>
          <w:lang w:val="en-GB"/>
        </w:rPr>
        <w:t xml:space="preserve">ife </w:t>
      </w:r>
      <w:r w:rsidR="00043FD0" w:rsidRPr="0028108F">
        <w:rPr>
          <w:rFonts w:ascii="Arial" w:hAnsi="Arial" w:cs="Arial"/>
          <w:i/>
          <w:szCs w:val="24"/>
          <w:lang w:val="en-GB"/>
        </w:rPr>
        <w:t>t</w:t>
      </w:r>
      <w:r w:rsidRPr="0028108F">
        <w:rPr>
          <w:rFonts w:ascii="Arial" w:hAnsi="Arial" w:cs="Arial"/>
          <w:i/>
          <w:szCs w:val="24"/>
          <w:lang w:val="en-GB"/>
        </w:rPr>
        <w:t>est”</w:t>
      </w:r>
      <w:r w:rsidRPr="0028108F">
        <w:rPr>
          <w:rFonts w:ascii="Arial" w:hAnsi="Arial" w:cs="Arial"/>
          <w:szCs w:val="24"/>
          <w:lang w:val="en-GB"/>
        </w:rPr>
        <w:t>, intention to live in the opposite gender and physical adaptation, etc</w:t>
      </w:r>
      <w:r w:rsidR="00BE259B" w:rsidRPr="0028108F">
        <w:rPr>
          <w:rFonts w:ascii="Arial" w:hAnsi="Arial" w:cs="Arial"/>
          <w:szCs w:val="24"/>
          <w:lang w:val="en-GB"/>
        </w:rPr>
        <w:t>.</w:t>
      </w:r>
      <w:r w:rsidRPr="0028108F">
        <w:rPr>
          <w:rFonts w:ascii="Arial" w:hAnsi="Arial" w:cs="Arial"/>
          <w:szCs w:val="24"/>
          <w:lang w:val="en-GB"/>
        </w:rPr>
        <w:t xml:space="preserve"> </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Requirements relating to pre-existing marriage</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szCs w:val="24"/>
          <w:lang w:val="en-GB"/>
        </w:rPr>
      </w:pPr>
      <w:r w:rsidRPr="0028108F">
        <w:rPr>
          <w:rFonts w:ascii="Arial" w:hAnsi="Arial" w:cs="Arial"/>
          <w:szCs w:val="24"/>
          <w:lang w:val="en-GB"/>
        </w:rPr>
        <w:t xml:space="preserve">Since August 2013, New Zealand has discarded the requirement that an applicant should be unmarried.  </w:t>
      </w:r>
      <w:r w:rsidR="00D40B9F" w:rsidRPr="0028108F">
        <w:rPr>
          <w:rFonts w:ascii="Arial" w:hAnsi="Arial" w:cs="Arial"/>
          <w:szCs w:val="24"/>
          <w:lang w:val="en-GB"/>
        </w:rPr>
        <w:t xml:space="preserve">South Australia also removed a similar requirement </w:t>
      </w:r>
      <w:r w:rsidR="00C65C78">
        <w:rPr>
          <w:rFonts w:ascii="Arial" w:hAnsi="Arial" w:cs="Arial" w:hint="eastAsia"/>
          <w:szCs w:val="24"/>
          <w:lang w:val="en-GB"/>
        </w:rPr>
        <w:t>previously in its law relating to gender recognition</w:t>
      </w:r>
      <w:r w:rsidR="00D40B9F" w:rsidRPr="00181CF2">
        <w:rPr>
          <w:rFonts w:ascii="Arial" w:hAnsi="Arial" w:cs="Arial"/>
          <w:szCs w:val="24"/>
          <w:lang w:val="en-GB"/>
        </w:rPr>
        <w:t xml:space="preserve">.  </w:t>
      </w:r>
      <w:r w:rsidR="00D40B9F" w:rsidRPr="00C57CE1">
        <w:rPr>
          <w:rFonts w:ascii="Arial" w:hAnsi="Arial" w:cs="Arial"/>
          <w:szCs w:val="24"/>
          <w:lang w:val="en-GB"/>
        </w:rPr>
        <w:t>On the other hand, s</w:t>
      </w:r>
      <w:r w:rsidRPr="0028108F">
        <w:rPr>
          <w:rFonts w:ascii="Arial" w:hAnsi="Arial" w:cs="Arial"/>
          <w:szCs w:val="24"/>
          <w:lang w:val="en-GB"/>
        </w:rPr>
        <w:t xml:space="preserve">uch a </w:t>
      </w:r>
      <w:r w:rsidR="00D40B9F" w:rsidRPr="0028108F">
        <w:rPr>
          <w:rFonts w:ascii="Arial" w:hAnsi="Arial" w:cs="Arial"/>
          <w:szCs w:val="24"/>
          <w:lang w:val="en-GB"/>
        </w:rPr>
        <w:t>marital status exclusion</w:t>
      </w:r>
      <w:r w:rsidRPr="0028108F">
        <w:rPr>
          <w:rFonts w:ascii="Arial" w:hAnsi="Arial" w:cs="Arial"/>
          <w:szCs w:val="24"/>
          <w:lang w:val="en-GB"/>
        </w:rPr>
        <w:t xml:space="preserve"> is prescribed in the laws of the Australian Northern Territory, Japan, Mainland China, New South Wales, Queensland, South Korea, Tasmania, Victoria, Western Australia</w:t>
      </w:r>
      <w:r w:rsidR="00D40B9F" w:rsidRPr="0028108F">
        <w:rPr>
          <w:rFonts w:ascii="Arial" w:hAnsi="Arial" w:cs="Arial"/>
          <w:szCs w:val="24"/>
          <w:lang w:val="en-GB"/>
        </w:rPr>
        <w:t>. The requirement</w:t>
      </w:r>
      <w:r w:rsidRPr="0028108F">
        <w:rPr>
          <w:rFonts w:ascii="Arial" w:hAnsi="Arial" w:cs="Arial"/>
          <w:szCs w:val="24"/>
          <w:lang w:val="en-GB"/>
        </w:rPr>
        <w:t xml:space="preserve"> is absent in the laws of India, Taiwan, Singapore and Vietnam.</w:t>
      </w:r>
      <w:r w:rsidRPr="00181CF2">
        <w:rPr>
          <w:rStyle w:val="FootnoteReference"/>
          <w:rFonts w:ascii="Arial" w:hAnsi="Arial" w:cs="Arial"/>
          <w:szCs w:val="24"/>
          <w:lang w:val="en-GB"/>
        </w:rPr>
        <w:footnoteReference w:id="253"/>
      </w:r>
      <w:r w:rsidRPr="00181CF2">
        <w:rPr>
          <w:rFonts w:ascii="Arial" w:hAnsi="Arial" w:cs="Arial"/>
          <w:szCs w:val="24"/>
          <w:lang w:val="en-GB"/>
        </w:rPr>
        <w:t xml:space="preserve"> </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Minimum age requirements</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szCs w:val="24"/>
          <w:lang w:val="en-GB"/>
        </w:rPr>
      </w:pPr>
      <w:r w:rsidRPr="0028108F">
        <w:rPr>
          <w:rFonts w:ascii="Arial" w:hAnsi="Arial" w:cs="Arial"/>
          <w:szCs w:val="24"/>
          <w:lang w:val="en-GB"/>
        </w:rPr>
        <w:t xml:space="preserve">The Australian Capital Territory, Australian Northern Territory, New South Wales, New Zealand, Queensland, Singapore, </w:t>
      </w:r>
      <w:r w:rsidR="000035DA" w:rsidRPr="0028108F">
        <w:rPr>
          <w:rFonts w:ascii="Arial" w:hAnsi="Arial" w:cs="Arial"/>
          <w:szCs w:val="24"/>
          <w:lang w:val="en-GB"/>
        </w:rPr>
        <w:t xml:space="preserve">South Australia, </w:t>
      </w:r>
      <w:r w:rsidRPr="0028108F">
        <w:rPr>
          <w:rFonts w:ascii="Arial" w:hAnsi="Arial" w:cs="Arial"/>
          <w:szCs w:val="24"/>
          <w:lang w:val="en-GB"/>
        </w:rPr>
        <w:t>Victoria and Western Australia, allow children to make the application to change the gender marker.</w:t>
      </w:r>
      <w:r w:rsidR="009D4F43">
        <w:rPr>
          <w:rFonts w:ascii="Arial" w:hAnsi="Arial" w:cs="Arial" w:hint="eastAsia"/>
          <w:szCs w:val="24"/>
          <w:lang w:val="en-GB"/>
        </w:rPr>
        <w:t xml:space="preserve">  In Mainland China, it</w:t>
      </w:r>
      <w:r w:rsidR="00763534">
        <w:rPr>
          <w:rFonts w:ascii="Arial" w:hAnsi="Arial" w:cs="Arial"/>
          <w:szCs w:val="24"/>
          <w:lang w:val="en-GB"/>
        </w:rPr>
        <w:t xml:space="preserve"> appears</w:t>
      </w:r>
      <w:r w:rsidR="009D4F43">
        <w:rPr>
          <w:rFonts w:ascii="Arial" w:hAnsi="Arial" w:cs="Arial" w:hint="eastAsia"/>
          <w:szCs w:val="24"/>
          <w:lang w:val="en-GB"/>
        </w:rPr>
        <w:t xml:space="preserve"> that the Shanxi Province allows minors to apply for a gender change in the registry.  However, it is unclear how this reconciles with the requirement that only persons over 21 years </w:t>
      </w:r>
      <w:r w:rsidR="00763534">
        <w:rPr>
          <w:rFonts w:ascii="Arial" w:hAnsi="Arial" w:cs="Arial"/>
          <w:szCs w:val="24"/>
          <w:lang w:val="en-GB"/>
        </w:rPr>
        <w:t>of age</w:t>
      </w:r>
      <w:r w:rsidR="009D4F43">
        <w:rPr>
          <w:rFonts w:ascii="Arial" w:hAnsi="Arial" w:cs="Arial" w:hint="eastAsia"/>
          <w:szCs w:val="24"/>
          <w:lang w:val="en-GB"/>
        </w:rPr>
        <w:t xml:space="preserve"> can apply to undergo sex reassignment surgery and only those having undergone such surgery can apply for gender change in their </w:t>
      </w:r>
      <w:r w:rsidR="009D4F43">
        <w:rPr>
          <w:rFonts w:ascii="Arial" w:hAnsi="Arial" w:cs="Arial" w:hint="eastAsia"/>
          <w:i/>
          <w:szCs w:val="24"/>
          <w:lang w:val="en-GB"/>
        </w:rPr>
        <w:t>Hukou</w:t>
      </w:r>
      <w:r w:rsidR="009D4F43">
        <w:rPr>
          <w:rFonts w:ascii="Arial" w:hAnsi="Arial" w:cs="Arial" w:hint="eastAsia"/>
          <w:szCs w:val="24"/>
          <w:lang w:val="en-GB"/>
        </w:rPr>
        <w:t>.</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Foreign gender recognition or foreign gender reassignment surgery</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appears that most gender recognition schemes in countries across the Asia-Pacific region which have been studied are </w:t>
      </w:r>
      <w:r w:rsidR="007C05D9">
        <w:rPr>
          <w:rFonts w:ascii="Arial" w:hAnsi="Arial" w:cs="Arial" w:hint="eastAsia"/>
          <w:szCs w:val="24"/>
          <w:lang w:val="en-GB"/>
        </w:rPr>
        <w:t>either not entirely clear</w:t>
      </w:r>
      <w:r w:rsidRPr="0028108F">
        <w:rPr>
          <w:rFonts w:ascii="Arial" w:hAnsi="Arial" w:cs="Arial"/>
          <w:szCs w:val="24"/>
          <w:lang w:val="en-GB"/>
        </w:rPr>
        <w:t xml:space="preserve"> or silent on whether foreign gender recognition or </w:t>
      </w:r>
      <w:r w:rsidR="00C92B10" w:rsidRPr="0028108F">
        <w:rPr>
          <w:rFonts w:ascii="Arial" w:hAnsi="Arial" w:cs="Arial"/>
          <w:szCs w:val="24"/>
          <w:lang w:val="en-GB"/>
        </w:rPr>
        <w:t>gender reassignment surgery</w:t>
      </w:r>
      <w:r w:rsidRPr="0028108F">
        <w:rPr>
          <w:rFonts w:ascii="Arial" w:hAnsi="Arial" w:cs="Arial"/>
          <w:szCs w:val="24"/>
          <w:lang w:val="en-GB"/>
        </w:rPr>
        <w:t xml:space="preserve"> performed in foreign countries should be recognised.  Only Western Australia and the Henan province in Mainland China have provisions or regulations relating to </w:t>
      </w:r>
      <w:r w:rsidR="00C92B10" w:rsidRPr="0028108F">
        <w:rPr>
          <w:rFonts w:ascii="Arial" w:hAnsi="Arial" w:cs="Arial"/>
          <w:szCs w:val="24"/>
          <w:lang w:val="en-GB"/>
        </w:rPr>
        <w:t>gender reassignment surgery</w:t>
      </w:r>
      <w:r w:rsidRPr="0028108F">
        <w:rPr>
          <w:rFonts w:ascii="Arial" w:hAnsi="Arial" w:cs="Arial"/>
          <w:szCs w:val="24"/>
          <w:lang w:val="en-GB"/>
        </w:rPr>
        <w:t xml:space="preserve"> carried out overseas.  </w:t>
      </w:r>
      <w:r w:rsidR="00D40B9F" w:rsidRPr="0028108F">
        <w:rPr>
          <w:rFonts w:ascii="Arial" w:hAnsi="Arial" w:cs="Arial"/>
          <w:szCs w:val="24"/>
          <w:lang w:val="en-GB"/>
        </w:rPr>
        <w:t>South Australia may accept as evidence for an application a certificate or notification relating to the recognition of sex or gender identity issued under the law of another jurisdiction</w:t>
      </w:r>
      <w:r w:rsidR="0044435A">
        <w:rPr>
          <w:rFonts w:ascii="Arial" w:hAnsi="Arial" w:cs="Arial" w:hint="eastAsia"/>
          <w:szCs w:val="24"/>
          <w:lang w:val="en-GB"/>
        </w:rPr>
        <w:t xml:space="preserve">.  </w:t>
      </w:r>
      <w:r w:rsidRPr="00C57CE1">
        <w:rPr>
          <w:rFonts w:ascii="Arial" w:hAnsi="Arial" w:cs="Arial"/>
          <w:szCs w:val="24"/>
          <w:lang w:val="en-GB"/>
        </w:rPr>
        <w:t>Western Australia apparently recognise</w:t>
      </w:r>
      <w:r w:rsidR="0044435A">
        <w:rPr>
          <w:rFonts w:ascii="Arial" w:hAnsi="Arial" w:cs="Arial" w:hint="eastAsia"/>
          <w:szCs w:val="24"/>
          <w:lang w:val="en-GB"/>
        </w:rPr>
        <w:t>s</w:t>
      </w:r>
      <w:r w:rsidRPr="00C57CE1">
        <w:rPr>
          <w:rFonts w:ascii="Arial" w:hAnsi="Arial" w:cs="Arial"/>
          <w:szCs w:val="24"/>
          <w:lang w:val="en-GB"/>
        </w:rPr>
        <w:t xml:space="preserve"> reas</w:t>
      </w:r>
      <w:r w:rsidRPr="0028108F">
        <w:rPr>
          <w:rFonts w:ascii="Arial" w:hAnsi="Arial" w:cs="Arial"/>
          <w:szCs w:val="24"/>
          <w:lang w:val="en-GB"/>
        </w:rPr>
        <w:t xml:space="preserve">signment procedures undergone outside the State by people having their </w:t>
      </w:r>
      <w:r w:rsidRPr="0028108F">
        <w:rPr>
          <w:rFonts w:ascii="Arial" w:hAnsi="Arial" w:cs="Arial"/>
          <w:szCs w:val="24"/>
          <w:lang w:val="en-GB"/>
        </w:rPr>
        <w:lastRenderedPageBreak/>
        <w:t xml:space="preserve">birth registered in that State (or being a resident for not less than </w:t>
      </w:r>
      <w:r w:rsidR="004E2691">
        <w:rPr>
          <w:rFonts w:ascii="Arial" w:hAnsi="Arial" w:cs="Arial" w:hint="eastAsia"/>
          <w:szCs w:val="24"/>
          <w:lang w:val="en-GB"/>
        </w:rPr>
        <w:t xml:space="preserve">12 </w:t>
      </w:r>
      <w:r w:rsidRPr="0028108F">
        <w:rPr>
          <w:rFonts w:ascii="Arial" w:hAnsi="Arial" w:cs="Arial"/>
          <w:szCs w:val="24"/>
          <w:lang w:val="en-GB"/>
        </w:rPr>
        <w:t xml:space="preserve">months in Western Australia).  Henan province in Mainland China allows change of sex entry in a citizen’s </w:t>
      </w:r>
      <w:r w:rsidRPr="0028108F">
        <w:rPr>
          <w:rFonts w:ascii="Arial" w:hAnsi="Arial" w:cs="Arial"/>
          <w:i/>
          <w:szCs w:val="24"/>
          <w:lang w:val="en-GB"/>
        </w:rPr>
        <w:t>hukou</w:t>
      </w:r>
      <w:r w:rsidRPr="0028108F">
        <w:rPr>
          <w:rFonts w:ascii="Arial" w:hAnsi="Arial" w:cs="Arial"/>
          <w:szCs w:val="24"/>
          <w:lang w:val="en-GB"/>
        </w:rPr>
        <w:t xml:space="preserve"> (Household Registration) if </w:t>
      </w:r>
      <w:r w:rsidR="00C92B10" w:rsidRPr="0028108F">
        <w:rPr>
          <w:rFonts w:ascii="Arial" w:hAnsi="Arial" w:cs="Arial"/>
          <w:szCs w:val="24"/>
          <w:lang w:val="en-GB"/>
        </w:rPr>
        <w:t>the gender reassignment surgery</w:t>
      </w:r>
      <w:r w:rsidRPr="0028108F">
        <w:rPr>
          <w:rFonts w:ascii="Arial" w:hAnsi="Arial" w:cs="Arial"/>
          <w:szCs w:val="24"/>
          <w:lang w:val="en-GB"/>
        </w:rPr>
        <w:t xml:space="preserve"> undergone in other countries is verified by hospitals designated by the Provisional Hygiene Administrative Department.  However, it remains unclear as to whether or not other provinces in Mainland China adopt a similar approach.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pStyle w:val="ListParagraph"/>
        <w:snapToGrid w:val="0"/>
        <w:rPr>
          <w:rFonts w:ascii="Arial" w:hAnsi="Arial" w:cs="Arial"/>
          <w:b/>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Style w:val="EndnoteReference"/>
          <w:rFonts w:ascii="Arial" w:hAnsi="Arial" w:cs="Arial"/>
          <w:b/>
          <w:szCs w:val="24"/>
          <w:lang w:val="en-GB"/>
        </w:rPr>
      </w:pPr>
      <w:r w:rsidRPr="0028108F">
        <w:rPr>
          <w:rFonts w:ascii="Arial" w:hAnsi="Arial" w:cs="Arial"/>
          <w:szCs w:val="24"/>
          <w:lang w:val="en-GB"/>
        </w:rPr>
        <w:t xml:space="preserve">Japan and Queensland have expressly stated in their gender recognition laws that the gender recognition granted renders the person to be a person of the recognised gender for all legal purposes.  </w:t>
      </w:r>
      <w:r w:rsidR="00517E47" w:rsidRPr="0028108F">
        <w:rPr>
          <w:rFonts w:ascii="Arial" w:hAnsi="Arial" w:cs="Arial"/>
          <w:szCs w:val="24"/>
          <w:lang w:val="en-GB"/>
        </w:rPr>
        <w:t>South Australia articulates that a successful applicant</w:t>
      </w:r>
      <w:r w:rsidR="00D75422">
        <w:rPr>
          <w:rFonts w:ascii="Arial" w:hAnsi="Arial" w:cs="Arial"/>
          <w:szCs w:val="24"/>
          <w:lang w:val="en-GB"/>
        </w:rPr>
        <w:t>,</w:t>
      </w:r>
      <w:r w:rsidR="00517E47" w:rsidRPr="0028108F">
        <w:rPr>
          <w:rFonts w:ascii="Arial" w:hAnsi="Arial" w:cs="Arial"/>
          <w:szCs w:val="24"/>
          <w:lang w:val="en-GB"/>
        </w:rPr>
        <w:t xml:space="preserve"> </w:t>
      </w:r>
      <w:r w:rsidR="00D6311F" w:rsidRPr="0028108F">
        <w:rPr>
          <w:rFonts w:ascii="Arial" w:hAnsi="Arial" w:cs="Arial"/>
          <w:szCs w:val="24"/>
          <w:lang w:val="en-GB"/>
        </w:rPr>
        <w:t>ie</w:t>
      </w:r>
      <w:r w:rsidR="006B78C8">
        <w:rPr>
          <w:rFonts w:ascii="Arial" w:hAnsi="Arial" w:cs="Arial" w:hint="eastAsia"/>
          <w:szCs w:val="24"/>
          <w:lang w:val="en-GB"/>
        </w:rPr>
        <w:t>,</w:t>
      </w:r>
      <w:r w:rsidR="00517E47" w:rsidRPr="0028108F">
        <w:rPr>
          <w:rFonts w:ascii="Arial" w:hAnsi="Arial" w:cs="Arial"/>
          <w:szCs w:val="24"/>
          <w:lang w:val="en-GB"/>
        </w:rPr>
        <w:t xml:space="preserve"> who has his/her sex or gender identity in the Register changed or has been issued an “</w:t>
      </w:r>
      <w:r w:rsidR="00517E47" w:rsidRPr="00B25672">
        <w:rPr>
          <w:rFonts w:ascii="Arial" w:hAnsi="Arial" w:cs="Arial"/>
          <w:i/>
          <w:szCs w:val="24"/>
          <w:lang w:val="en-GB"/>
        </w:rPr>
        <w:t>identity acknowledgment certificate</w:t>
      </w:r>
      <w:r w:rsidR="00517E47" w:rsidRPr="0028108F">
        <w:rPr>
          <w:rFonts w:ascii="Arial" w:hAnsi="Arial" w:cs="Arial"/>
          <w:szCs w:val="24"/>
          <w:lang w:val="en-GB"/>
        </w:rPr>
        <w:t>”</w:t>
      </w:r>
      <w:r w:rsidR="00D75422">
        <w:rPr>
          <w:rFonts w:ascii="Arial" w:hAnsi="Arial" w:cs="Arial"/>
          <w:szCs w:val="24"/>
          <w:lang w:val="en-GB"/>
        </w:rPr>
        <w:t>,</w:t>
      </w:r>
      <w:r w:rsidR="00517E47" w:rsidRPr="0028108F">
        <w:rPr>
          <w:rFonts w:ascii="Arial" w:hAnsi="Arial" w:cs="Arial"/>
          <w:szCs w:val="24"/>
          <w:lang w:val="en-GB"/>
        </w:rPr>
        <w:t xml:space="preserve"> will be</w:t>
      </w:r>
      <w:r w:rsidR="00517E47" w:rsidRPr="0028108F">
        <w:rPr>
          <w:rFonts w:ascii="Arial" w:hAnsi="Arial" w:cs="Arial"/>
          <w:i/>
          <w:szCs w:val="24"/>
          <w:lang w:val="en-GB"/>
        </w:rPr>
        <w:t xml:space="preserve"> </w:t>
      </w:r>
      <w:r w:rsidR="00517E47" w:rsidRPr="00181CF2">
        <w:rPr>
          <w:rFonts w:ascii="Arial" w:hAnsi="Arial" w:cs="Arial"/>
          <w:i/>
          <w:szCs w:val="24"/>
          <w:lang w:val="en-GB"/>
        </w:rPr>
        <w:t>“</w:t>
      </w:r>
      <w:r w:rsidR="00517E47" w:rsidRPr="0028108F">
        <w:rPr>
          <w:rFonts w:ascii="Arial" w:hAnsi="Arial" w:cs="Arial"/>
          <w:i/>
          <w:szCs w:val="24"/>
          <w:lang w:val="en-GB"/>
        </w:rPr>
        <w:t>taken to have satisfied a requirement under another Act or law that the person provide details of their sex if the person provides details of their sex or gender identity as changed.</w:t>
      </w:r>
      <w:r w:rsidR="00517E47" w:rsidRPr="00181CF2">
        <w:rPr>
          <w:rFonts w:ascii="Arial" w:hAnsi="Arial" w:cs="Arial"/>
          <w:szCs w:val="24"/>
          <w:lang w:val="en-GB"/>
        </w:rPr>
        <w:t xml:space="preserve">”  </w:t>
      </w:r>
      <w:r w:rsidRPr="00C57CE1">
        <w:rPr>
          <w:rFonts w:ascii="Arial" w:hAnsi="Arial" w:cs="Arial"/>
          <w:szCs w:val="24"/>
          <w:lang w:val="en-GB"/>
        </w:rPr>
        <w:t>For other jurisdictions, the scope of the recognition (</w:t>
      </w:r>
      <w:r w:rsidR="00D6311F" w:rsidRPr="0028108F">
        <w:rPr>
          <w:rFonts w:ascii="Arial" w:hAnsi="Arial" w:cs="Arial"/>
          <w:szCs w:val="24"/>
          <w:lang w:val="en-GB"/>
        </w:rPr>
        <w:t>ie</w:t>
      </w:r>
      <w:r w:rsidRPr="0028108F">
        <w:rPr>
          <w:rFonts w:ascii="Arial" w:hAnsi="Arial" w:cs="Arial"/>
          <w:szCs w:val="24"/>
          <w:lang w:val="en-GB"/>
        </w:rPr>
        <w:t>, whether it applies for all legal purposes or something less than that) may depend on the type of official documents which can be rectified (</w:t>
      </w:r>
      <w:r w:rsidR="00D6311F" w:rsidRPr="0028108F">
        <w:rPr>
          <w:rFonts w:ascii="Arial" w:hAnsi="Arial" w:cs="Arial"/>
          <w:szCs w:val="24"/>
          <w:lang w:val="en-GB"/>
        </w:rPr>
        <w:t>ie</w:t>
      </w:r>
      <w:r w:rsidRPr="0028108F">
        <w:rPr>
          <w:rFonts w:ascii="Arial" w:hAnsi="Arial" w:cs="Arial"/>
          <w:szCs w:val="24"/>
          <w:lang w:val="en-GB"/>
        </w:rPr>
        <w:t xml:space="preserve">, whether a birth certificate and/or </w:t>
      </w:r>
      <w:r w:rsidR="00C92B10" w:rsidRPr="0028108F">
        <w:rPr>
          <w:rFonts w:ascii="Arial" w:hAnsi="Arial" w:cs="Arial"/>
          <w:szCs w:val="24"/>
          <w:lang w:val="en-GB"/>
        </w:rPr>
        <w:t>identity</w:t>
      </w:r>
      <w:r w:rsidRPr="0028108F">
        <w:rPr>
          <w:rFonts w:ascii="Arial" w:hAnsi="Arial" w:cs="Arial"/>
          <w:szCs w:val="24"/>
          <w:lang w:val="en-GB"/>
        </w:rPr>
        <w:t xml:space="preserve"> card, etc), and the extent of the rectification (</w:t>
      </w:r>
      <w:r w:rsidR="00D6311F" w:rsidRPr="0028108F">
        <w:rPr>
          <w:rFonts w:ascii="Arial" w:hAnsi="Arial" w:cs="Arial"/>
          <w:szCs w:val="24"/>
          <w:lang w:val="en-GB"/>
        </w:rPr>
        <w:t>ie</w:t>
      </w:r>
      <w:r w:rsidRPr="0028108F">
        <w:rPr>
          <w:rFonts w:ascii="Arial" w:hAnsi="Arial" w:cs="Arial"/>
          <w:szCs w:val="24"/>
          <w:lang w:val="en-GB"/>
        </w:rPr>
        <w:t>, issuing a full replacement or modified-only card).</w:t>
      </w:r>
      <w:r w:rsidRPr="00181CF2">
        <w:rPr>
          <w:rStyle w:val="FootnoteReference"/>
          <w:rFonts w:ascii="Arial" w:hAnsi="Arial" w:cs="Arial"/>
          <w:szCs w:val="24"/>
          <w:lang w:val="en-GB"/>
        </w:rPr>
        <w:footnoteReference w:id="254"/>
      </w:r>
    </w:p>
    <w:p w:rsidR="003D52D7" w:rsidRPr="00C57CE1"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Examples of Asia-Pacific jurisdictions which have enacted specific gender recognition legislation</w:t>
      </w:r>
    </w:p>
    <w:p w:rsidR="003D52D7" w:rsidRPr="0028108F" w:rsidRDefault="003D52D7" w:rsidP="003D52D7">
      <w:pPr>
        <w:adjustRightInd w:val="0"/>
        <w:snapToGrid w:val="0"/>
        <w:jc w:val="both"/>
        <w:rPr>
          <w:rFonts w:ascii="Arial" w:hAnsi="Arial" w:cs="Arial"/>
          <w:i/>
          <w:szCs w:val="24"/>
          <w:u w:val="single"/>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 xml:space="preserve">Japan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Legislative model for gender recognition</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Japan has </w:t>
      </w:r>
      <w:r w:rsidR="007C05D9">
        <w:rPr>
          <w:rFonts w:ascii="Arial" w:hAnsi="Arial" w:cs="Arial" w:hint="eastAsia"/>
          <w:szCs w:val="24"/>
          <w:lang w:val="en-GB"/>
        </w:rPr>
        <w:t xml:space="preserve">put in place </w:t>
      </w:r>
      <w:r w:rsidRPr="0028108F">
        <w:rPr>
          <w:rFonts w:ascii="Arial" w:hAnsi="Arial" w:cs="Arial"/>
          <w:szCs w:val="24"/>
          <w:lang w:val="en-GB"/>
        </w:rPr>
        <w:t xml:space="preserve">legislation to grant full legal recognition to post-operative transsexual persons in their chosen gender since July 2004, when its Law No 111, entitled </w:t>
      </w:r>
      <w:r w:rsidR="007E329F">
        <w:rPr>
          <w:rFonts w:ascii="Arial" w:hAnsi="Arial" w:cs="Arial" w:hint="eastAsia"/>
          <w:szCs w:val="24"/>
          <w:lang w:val="en-GB"/>
        </w:rPr>
        <w:t xml:space="preserve">the </w:t>
      </w:r>
      <w:r w:rsidRPr="0028108F">
        <w:rPr>
          <w:rFonts w:ascii="Arial" w:hAnsi="Arial" w:cs="Arial"/>
          <w:szCs w:val="24"/>
          <w:lang w:val="en-GB"/>
        </w:rPr>
        <w:t>Act on Special Cases in Handling Gender for People with Gender Identity Disorder</w:t>
      </w:r>
      <w:r w:rsidRPr="0028108F">
        <w:rPr>
          <w:rFonts w:ascii="Arial" w:hAnsi="Arial" w:cs="Arial"/>
          <w:i/>
          <w:szCs w:val="24"/>
          <w:lang w:val="en-GB"/>
        </w:rPr>
        <w:t>,</w:t>
      </w:r>
      <w:r w:rsidRPr="0028108F">
        <w:rPr>
          <w:rFonts w:ascii="Arial" w:hAnsi="Arial" w:cs="Arial"/>
          <w:szCs w:val="24"/>
          <w:lang w:val="en-GB"/>
        </w:rPr>
        <w:t xml:space="preserve"> came into effect (</w:t>
      </w:r>
      <w:r w:rsidR="007E329F">
        <w:rPr>
          <w:rFonts w:ascii="Arial" w:hAnsi="Arial" w:cs="Arial"/>
          <w:szCs w:val="24"/>
          <w:lang w:val="en-GB"/>
        </w:rPr>
        <w:t>“</w:t>
      </w:r>
      <w:r w:rsidR="007E329F">
        <w:rPr>
          <w:rFonts w:ascii="Arial" w:hAnsi="Arial" w:cs="Arial" w:hint="eastAsia"/>
          <w:i/>
          <w:szCs w:val="24"/>
          <w:lang w:val="en-GB"/>
        </w:rPr>
        <w:t xml:space="preserve">Japanese </w:t>
      </w:r>
      <w:r w:rsidR="007E329F" w:rsidRPr="008813DE">
        <w:rPr>
          <w:rFonts w:ascii="Arial" w:hAnsi="Arial" w:cs="Arial"/>
          <w:i/>
          <w:szCs w:val="24"/>
          <w:lang w:val="en-GB"/>
        </w:rPr>
        <w:t>GID</w:t>
      </w:r>
      <w:r w:rsidRPr="008813DE">
        <w:rPr>
          <w:rFonts w:ascii="Arial" w:hAnsi="Arial" w:cs="Arial"/>
          <w:i/>
          <w:szCs w:val="24"/>
          <w:lang w:val="en-GB"/>
        </w:rPr>
        <w:t xml:space="preserve"> Act</w:t>
      </w:r>
      <w:r w:rsidR="007E329F">
        <w:rPr>
          <w:rFonts w:ascii="Arial" w:hAnsi="Arial" w:cs="Arial"/>
          <w:szCs w:val="24"/>
          <w:lang w:val="en-GB"/>
        </w:rPr>
        <w:t>”</w:t>
      </w:r>
      <w:r w:rsidRPr="0028108F">
        <w:rPr>
          <w:rFonts w:ascii="Arial" w:hAnsi="Arial" w:cs="Arial"/>
          <w:szCs w:val="24"/>
          <w:lang w:val="en-GB"/>
        </w:rPr>
        <w:t>).</w:t>
      </w:r>
      <w:r w:rsidRPr="00181CF2">
        <w:rPr>
          <w:rStyle w:val="FootnoteReference"/>
          <w:rFonts w:ascii="Arial" w:hAnsi="Arial" w:cs="Arial"/>
          <w:szCs w:val="24"/>
          <w:lang w:val="en-GB"/>
        </w:rPr>
        <w:footnoteReference w:id="255"/>
      </w:r>
      <w:r w:rsidRPr="00181CF2">
        <w:rPr>
          <w:rFonts w:ascii="Arial" w:hAnsi="Arial" w:cs="Arial"/>
          <w:szCs w:val="24"/>
          <w:lang w:val="en-GB"/>
        </w:rPr>
        <w:t xml:space="preserve">  Considered “</w:t>
      </w:r>
      <w:r w:rsidRPr="00C57CE1">
        <w:rPr>
          <w:rFonts w:ascii="Arial" w:hAnsi="Arial" w:cs="Arial"/>
          <w:i/>
          <w:szCs w:val="24"/>
          <w:lang w:val="en-GB"/>
        </w:rPr>
        <w:t>the first for Asia in gra</w:t>
      </w:r>
      <w:r w:rsidRPr="0028108F">
        <w:rPr>
          <w:rFonts w:ascii="Arial" w:hAnsi="Arial" w:cs="Arial"/>
          <w:i/>
          <w:szCs w:val="24"/>
          <w:lang w:val="en-GB"/>
        </w:rPr>
        <w:t>nting full recognition to the chosen gender of post-operative transsexual persons</w:t>
      </w:r>
      <w:r w:rsidRPr="0028108F">
        <w:rPr>
          <w:rFonts w:ascii="Arial" w:hAnsi="Arial" w:cs="Arial"/>
          <w:szCs w:val="24"/>
          <w:lang w:val="en-GB"/>
        </w:rPr>
        <w:t>”,</w:t>
      </w:r>
      <w:r w:rsidRPr="00181CF2">
        <w:rPr>
          <w:rStyle w:val="FootnoteReference"/>
          <w:rFonts w:ascii="Arial" w:hAnsi="Arial" w:cs="Arial"/>
          <w:szCs w:val="24"/>
          <w:lang w:val="en-GB"/>
        </w:rPr>
        <w:footnoteReference w:id="256"/>
      </w:r>
      <w:r w:rsidRPr="00181CF2">
        <w:rPr>
          <w:rFonts w:ascii="Arial" w:hAnsi="Arial" w:cs="Arial"/>
          <w:szCs w:val="24"/>
          <w:lang w:val="en-GB"/>
        </w:rPr>
        <w:t xml:space="preserve"> an objective of the </w:t>
      </w:r>
      <w:r w:rsidR="007E329F">
        <w:rPr>
          <w:rFonts w:ascii="Arial" w:hAnsi="Arial" w:cs="Arial" w:hint="eastAsia"/>
          <w:szCs w:val="24"/>
          <w:lang w:val="en-GB"/>
        </w:rPr>
        <w:t xml:space="preserve">Japanese GID </w:t>
      </w:r>
      <w:r w:rsidRPr="0028108F">
        <w:rPr>
          <w:rFonts w:ascii="Arial" w:hAnsi="Arial" w:cs="Arial"/>
          <w:szCs w:val="24"/>
          <w:lang w:val="en-GB"/>
        </w:rPr>
        <w:t xml:space="preserve">Act was to increase social awareness of transgender issues, </w:t>
      </w:r>
      <w:r w:rsidRPr="0028108F">
        <w:rPr>
          <w:rFonts w:ascii="Arial" w:hAnsi="Arial" w:cs="Arial"/>
          <w:szCs w:val="24"/>
          <w:lang w:val="en-GB"/>
        </w:rPr>
        <w:lastRenderedPageBreak/>
        <w:t xml:space="preserve">helping people who were </w:t>
      </w:r>
      <w:r w:rsidRPr="0028108F">
        <w:rPr>
          <w:rFonts w:ascii="Arial" w:hAnsi="Arial" w:cs="Arial"/>
          <w:i/>
          <w:szCs w:val="24"/>
          <w:lang w:val="en-GB"/>
        </w:rPr>
        <w:t>“psychologically or socially in trouble, such as receiving discrimination in employment opportunities.”</w:t>
      </w:r>
      <w:r w:rsidRPr="00181CF2">
        <w:rPr>
          <w:rStyle w:val="FootnoteReference"/>
          <w:rFonts w:ascii="Arial" w:hAnsi="Arial" w:cs="Arial"/>
          <w:szCs w:val="24"/>
          <w:lang w:val="en-GB"/>
        </w:rPr>
        <w:footnoteReference w:id="257"/>
      </w:r>
      <w:r w:rsidRPr="00181CF2">
        <w:rPr>
          <w:rFonts w:ascii="Arial" w:hAnsi="Arial" w:cs="Arial"/>
          <w:szCs w:val="24"/>
          <w:lang w:val="en-GB"/>
        </w:rPr>
        <w:t xml:space="preserve">  </w:t>
      </w:r>
    </w:p>
    <w:p w:rsidR="003D52D7" w:rsidRPr="00C57CE1"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Judicial authority to process applications</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5C685F">
      <w:pPr>
        <w:pStyle w:val="ListParagraph"/>
        <w:widowControl/>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Under the </w:t>
      </w:r>
      <w:r w:rsidR="007E329F">
        <w:rPr>
          <w:rFonts w:ascii="Arial" w:hAnsi="Arial" w:cs="Arial" w:hint="eastAsia"/>
          <w:szCs w:val="24"/>
          <w:lang w:val="en-GB"/>
        </w:rPr>
        <w:t>Japanese GID</w:t>
      </w:r>
      <w:r w:rsidRPr="0028108F">
        <w:rPr>
          <w:rFonts w:ascii="Arial" w:hAnsi="Arial" w:cs="Arial"/>
          <w:szCs w:val="24"/>
          <w:lang w:val="en-GB"/>
        </w:rPr>
        <w:t xml:space="preserve"> Act, the Family Courts are authorised to handle applications for change of gender (Article 3(1)).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Requirements relating to age</w:t>
      </w:r>
      <w:r w:rsidR="007409BD" w:rsidRPr="0028108F">
        <w:rPr>
          <w:rFonts w:ascii="Arial" w:hAnsi="Arial" w:cs="Arial"/>
          <w:i/>
          <w:szCs w:val="24"/>
          <w:lang w:val="en-GB"/>
        </w:rPr>
        <w:t xml:space="preserve"> and</w:t>
      </w:r>
      <w:r w:rsidRPr="0028108F">
        <w:rPr>
          <w:rFonts w:ascii="Arial" w:hAnsi="Arial" w:cs="Arial"/>
          <w:i/>
          <w:szCs w:val="24"/>
          <w:lang w:val="en-GB"/>
        </w:rPr>
        <w:t xml:space="preserve"> marriage</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applicant must be at least 20 years of age (Article 3(1)(i)) and unmarried (Article 3(1)(ii)).  </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i/>
          <w:szCs w:val="24"/>
          <w:lang w:val="en-GB"/>
        </w:rPr>
      </w:pPr>
      <w:r w:rsidRPr="0028108F">
        <w:rPr>
          <w:rFonts w:ascii="Arial" w:hAnsi="Arial" w:cs="Arial"/>
          <w:szCs w:val="24"/>
          <w:lang w:val="en-GB"/>
        </w:rPr>
        <w:t xml:space="preserve">A previous requirement that </w:t>
      </w:r>
      <w:r w:rsidRPr="0028108F">
        <w:rPr>
          <w:rFonts w:ascii="Arial" w:hAnsi="Arial" w:cs="Arial"/>
          <w:i/>
          <w:szCs w:val="24"/>
          <w:lang w:val="en-GB"/>
        </w:rPr>
        <w:t>“the person has no child at present”</w:t>
      </w:r>
      <w:r w:rsidRPr="0028108F">
        <w:rPr>
          <w:rFonts w:ascii="Arial" w:hAnsi="Arial" w:cs="Arial"/>
          <w:szCs w:val="24"/>
          <w:lang w:val="en-GB"/>
        </w:rPr>
        <w:t xml:space="preserve"> was relaxed to </w:t>
      </w:r>
      <w:r w:rsidRPr="0028108F">
        <w:rPr>
          <w:rFonts w:ascii="Arial" w:hAnsi="Arial" w:cs="Arial"/>
          <w:i/>
          <w:szCs w:val="24"/>
          <w:lang w:val="en-GB"/>
        </w:rPr>
        <w:t xml:space="preserve">“the person has no minor child at present” </w:t>
      </w:r>
      <w:r w:rsidRPr="0028108F">
        <w:rPr>
          <w:rFonts w:ascii="Arial" w:hAnsi="Arial" w:cs="Arial"/>
          <w:szCs w:val="24"/>
          <w:lang w:val="en-GB"/>
        </w:rPr>
        <w:t xml:space="preserve">on 18 June 2008, when the </w:t>
      </w:r>
      <w:r w:rsidRPr="0028108F">
        <w:rPr>
          <w:rFonts w:ascii="Arial" w:hAnsi="Arial" w:cs="Arial"/>
          <w:i/>
          <w:szCs w:val="24"/>
          <w:lang w:val="en-GB"/>
        </w:rPr>
        <w:t>Law No. 70 on Partial Amendments to the Law No. 111</w:t>
      </w:r>
      <w:r w:rsidRPr="0028108F">
        <w:rPr>
          <w:rFonts w:ascii="Arial" w:hAnsi="Arial" w:cs="Arial"/>
          <w:szCs w:val="24"/>
          <w:lang w:val="en-GB"/>
        </w:rPr>
        <w:t xml:space="preserve"> was adopted.</w:t>
      </w:r>
      <w:r w:rsidRPr="00181CF2">
        <w:rPr>
          <w:rStyle w:val="FootnoteReference"/>
          <w:rFonts w:ascii="Arial" w:hAnsi="Arial" w:cs="Arial"/>
          <w:szCs w:val="24"/>
          <w:lang w:val="en-GB"/>
        </w:rPr>
        <w:footnoteReference w:id="258"/>
      </w:r>
      <w:r w:rsidRPr="00181CF2">
        <w:rPr>
          <w:rFonts w:ascii="Arial" w:hAnsi="Arial" w:cs="Arial"/>
          <w:szCs w:val="24"/>
          <w:lang w:val="en-GB"/>
        </w:rPr>
        <w:t xml:space="preserve">  The revised requirement was inserted as Article 3(1)(iii).  A minor child means a child aged 19 years or younger under the Japanese </w:t>
      </w:r>
      <w:r w:rsidRPr="00C57CE1">
        <w:rPr>
          <w:rFonts w:ascii="Arial" w:hAnsi="Arial" w:cs="Arial"/>
          <w:szCs w:val="24"/>
          <w:lang w:val="en-GB"/>
        </w:rPr>
        <w:t>law.</w:t>
      </w:r>
      <w:r w:rsidRPr="00181CF2">
        <w:rPr>
          <w:rStyle w:val="FootnoteReference"/>
          <w:rFonts w:ascii="Arial" w:hAnsi="Arial" w:cs="Arial"/>
          <w:szCs w:val="24"/>
          <w:lang w:val="en-GB"/>
        </w:rPr>
        <w:footnoteReference w:id="259"/>
      </w:r>
      <w:r w:rsidRPr="00181CF2">
        <w:rPr>
          <w:rFonts w:ascii="Arial" w:hAnsi="Arial" w:cs="Arial"/>
          <w:szCs w:val="24"/>
          <w:lang w:val="en-GB"/>
        </w:rPr>
        <w:t xml:space="preserve">  The underlying purpose of having this requirement was to avoid disturbances in parent-child relationships and to protect the welfare of the child so that the child could live in a stable and economically-sound environment.</w:t>
      </w:r>
      <w:r w:rsidRPr="00181CF2">
        <w:rPr>
          <w:rStyle w:val="FootnoteReference"/>
          <w:rFonts w:ascii="Arial" w:hAnsi="Arial" w:cs="Arial"/>
          <w:szCs w:val="24"/>
          <w:lang w:val="en-GB"/>
        </w:rPr>
        <w:footnoteReference w:id="260"/>
      </w:r>
      <w:r w:rsidRPr="00181CF2">
        <w:rPr>
          <w:rFonts w:ascii="Arial" w:hAnsi="Arial" w:cs="Arial"/>
          <w:szCs w:val="24"/>
          <w:lang w:val="en-GB"/>
        </w:rPr>
        <w:t xml:space="preserve"> </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Medical diagnosis, treatment and surgical requirements</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Only a person with gender identity disorder is eligible to make an application under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Pr="0028108F">
        <w:rPr>
          <w:rFonts w:ascii="Arial" w:hAnsi="Arial" w:cs="Arial"/>
          <w:szCs w:val="24"/>
          <w:lang w:val="en-GB"/>
        </w:rPr>
        <w:t xml:space="preserve"> (Article 3(1)).</w:t>
      </w:r>
      <w:r w:rsidRPr="00181CF2">
        <w:rPr>
          <w:rStyle w:val="FootnoteReference"/>
          <w:rFonts w:ascii="Arial" w:hAnsi="Arial" w:cs="Arial"/>
          <w:lang w:val="en-GB"/>
        </w:rPr>
        <w:footnoteReference w:id="261"/>
      </w:r>
      <w:r w:rsidRPr="00181CF2">
        <w:rPr>
          <w:rFonts w:ascii="Arial" w:hAnsi="Arial" w:cs="Arial"/>
          <w:szCs w:val="24"/>
          <w:lang w:val="en-GB"/>
        </w:rPr>
        <w:t xml:space="preserve">  Article 2 defines </w:t>
      </w:r>
      <w:r w:rsidRPr="00C57CE1">
        <w:rPr>
          <w:rFonts w:ascii="Arial" w:hAnsi="Arial" w:cs="Arial"/>
          <w:i/>
          <w:szCs w:val="24"/>
          <w:lang w:val="en-GB"/>
        </w:rPr>
        <w:lastRenderedPageBreak/>
        <w:t>“Gender Identity Disorder”</w:t>
      </w:r>
      <w:r w:rsidRPr="0028108F">
        <w:rPr>
          <w:rFonts w:ascii="Arial" w:hAnsi="Arial" w:cs="Arial"/>
          <w:szCs w:val="24"/>
          <w:lang w:val="en-GB"/>
        </w:rPr>
        <w:t xml:space="preserve"> as:</w:t>
      </w:r>
    </w:p>
    <w:p w:rsidR="003D52D7" w:rsidRPr="0028108F" w:rsidRDefault="003D52D7" w:rsidP="003D52D7">
      <w:pPr>
        <w:tabs>
          <w:tab w:val="left" w:pos="709"/>
        </w:tabs>
        <w:adjustRightInd w:val="0"/>
        <w:snapToGrid w:val="0"/>
        <w:ind w:leftChars="413" w:left="991"/>
        <w:jc w:val="both"/>
        <w:rPr>
          <w:rFonts w:ascii="Arial" w:hAnsi="Arial" w:cs="Arial"/>
          <w:szCs w:val="24"/>
          <w:lang w:val="en-GB"/>
        </w:rPr>
      </w:pPr>
    </w:p>
    <w:p w:rsidR="003D52D7" w:rsidRPr="0028108F" w:rsidRDefault="003D52D7" w:rsidP="003D52D7">
      <w:pPr>
        <w:tabs>
          <w:tab w:val="left" w:pos="709"/>
        </w:tabs>
        <w:adjustRightInd w:val="0"/>
        <w:snapToGrid w:val="0"/>
        <w:ind w:leftChars="295" w:left="708" w:rightChars="153" w:right="367" w:firstLineChars="1" w:firstLine="2"/>
        <w:jc w:val="both"/>
        <w:rPr>
          <w:rFonts w:ascii="Arial" w:hAnsi="Arial" w:cs="Arial"/>
          <w:i/>
          <w:szCs w:val="24"/>
          <w:lang w:val="en-GB"/>
        </w:rPr>
      </w:pPr>
      <w:r w:rsidRPr="0028108F">
        <w:rPr>
          <w:rFonts w:ascii="Arial" w:hAnsi="Arial" w:cs="Arial"/>
          <w:i/>
          <w:szCs w:val="24"/>
          <w:lang w:val="en-GB"/>
        </w:rPr>
        <w:t>“a person, despite his/her biological sex being clear, who continually maintains a psychological identity with an alternative gender (hereinafter, “alternative gender”), who holds the intention to physically and socially conform to an alternative gender, and who has been medically diagnosed in such respects by two or more physicians generally recognized as holding competent knowledge and experience necessary for the task.”</w:t>
      </w:r>
    </w:p>
    <w:p w:rsidR="003D52D7" w:rsidRPr="0028108F" w:rsidRDefault="003D52D7" w:rsidP="003D52D7">
      <w:pPr>
        <w:tabs>
          <w:tab w:val="left" w:pos="709"/>
        </w:tabs>
        <w:adjustRightInd w:val="0"/>
        <w:snapToGrid w:val="0"/>
        <w:ind w:leftChars="413" w:left="991"/>
        <w:jc w:val="both"/>
        <w:rPr>
          <w:rFonts w:ascii="Arial" w:hAnsi="Arial" w:cs="Arial"/>
          <w:b/>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applicant must submit medical certificates from two or more physicians indicating the diagnosis of </w:t>
      </w:r>
      <w:r w:rsidR="00334997" w:rsidRPr="0028108F">
        <w:rPr>
          <w:rFonts w:ascii="Arial" w:hAnsi="Arial" w:cs="Arial"/>
          <w:szCs w:val="24"/>
          <w:lang w:val="en-GB"/>
        </w:rPr>
        <w:t>gender identity disorder</w:t>
      </w:r>
      <w:r w:rsidRPr="0028108F">
        <w:rPr>
          <w:rFonts w:ascii="Arial" w:hAnsi="Arial" w:cs="Arial"/>
          <w:szCs w:val="24"/>
          <w:lang w:val="en-GB"/>
        </w:rPr>
        <w:t xml:space="preserve">, the progress or results of any medical treatments and other matters as may be provided for by the Ordinance of the Ministry of Health, Labour and Welfare (Article 3(2)).  There is, however, no express requirement for hormonal treatment under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Pr="0028108F">
        <w:rPr>
          <w:rFonts w:ascii="Arial" w:hAnsi="Arial" w:cs="Arial"/>
          <w:szCs w:val="24"/>
          <w:lang w:val="en-GB"/>
        </w:rPr>
        <w:t>.</w:t>
      </w:r>
    </w:p>
    <w:p w:rsidR="003D52D7" w:rsidRPr="0028108F" w:rsidRDefault="003D52D7" w:rsidP="003D52D7">
      <w:pPr>
        <w:tabs>
          <w:tab w:val="left" w:pos="465"/>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000000"/>
          <w:kern w:val="0"/>
          <w:szCs w:val="24"/>
          <w:lang w:val="en-GB"/>
        </w:rPr>
      </w:pPr>
      <w:r w:rsidRPr="0028108F">
        <w:rPr>
          <w:rFonts w:ascii="Arial" w:hAnsi="Arial" w:cs="Arial"/>
          <w:color w:val="000000"/>
          <w:kern w:val="0"/>
          <w:szCs w:val="24"/>
          <w:lang w:val="en-GB"/>
        </w:rPr>
        <w:t>It is stipulated that, for the application to succeed, the applicant must:</w:t>
      </w:r>
    </w:p>
    <w:p w:rsidR="003D52D7" w:rsidRPr="0028108F" w:rsidRDefault="003D52D7" w:rsidP="003D52D7">
      <w:pPr>
        <w:tabs>
          <w:tab w:val="left" w:pos="709"/>
        </w:tabs>
        <w:adjustRightInd w:val="0"/>
        <w:snapToGrid w:val="0"/>
        <w:jc w:val="both"/>
        <w:rPr>
          <w:rFonts w:ascii="Arial" w:hAnsi="Arial" w:cs="Arial"/>
          <w:color w:val="000000"/>
          <w:kern w:val="0"/>
          <w:szCs w:val="24"/>
          <w:lang w:val="en-GB"/>
        </w:rPr>
      </w:pPr>
    </w:p>
    <w:p w:rsidR="003D52D7" w:rsidRPr="0028108F" w:rsidRDefault="003D52D7" w:rsidP="003D52D7">
      <w:pPr>
        <w:numPr>
          <w:ilvl w:val="0"/>
          <w:numId w:val="15"/>
        </w:numPr>
        <w:tabs>
          <w:tab w:val="left" w:pos="1418"/>
        </w:tabs>
        <w:adjustRightInd w:val="0"/>
        <w:snapToGrid w:val="0"/>
        <w:ind w:leftChars="295" w:left="1416" w:hangingChars="295" w:hanging="708"/>
        <w:jc w:val="both"/>
        <w:rPr>
          <w:rFonts w:ascii="Arial" w:hAnsi="Arial" w:cs="Arial"/>
          <w:color w:val="000000"/>
          <w:kern w:val="0"/>
          <w:szCs w:val="24"/>
          <w:lang w:val="en-GB"/>
        </w:rPr>
      </w:pPr>
      <w:r w:rsidRPr="0028108F">
        <w:rPr>
          <w:rFonts w:ascii="Arial" w:hAnsi="Arial" w:cs="Arial"/>
          <w:color w:val="000000"/>
          <w:kern w:val="0"/>
          <w:szCs w:val="24"/>
          <w:lang w:val="en-GB"/>
        </w:rPr>
        <w:t xml:space="preserve">have no gonads or have permanently lost gonadal function (Article 3(1)(iv)); and </w:t>
      </w:r>
    </w:p>
    <w:p w:rsidR="003D52D7" w:rsidRPr="0028108F" w:rsidRDefault="003D52D7" w:rsidP="003D52D7">
      <w:pPr>
        <w:tabs>
          <w:tab w:val="left" w:pos="1418"/>
        </w:tabs>
        <w:adjustRightInd w:val="0"/>
        <w:snapToGrid w:val="0"/>
        <w:ind w:leftChars="295" w:left="1416" w:hangingChars="295" w:hanging="708"/>
        <w:jc w:val="both"/>
        <w:rPr>
          <w:rFonts w:ascii="Arial" w:hAnsi="Arial" w:cs="Arial"/>
          <w:color w:val="000000"/>
          <w:kern w:val="0"/>
          <w:szCs w:val="24"/>
          <w:lang w:val="en-GB"/>
        </w:rPr>
      </w:pPr>
    </w:p>
    <w:p w:rsidR="003D52D7" w:rsidRPr="0028108F" w:rsidRDefault="003D52D7" w:rsidP="003D52D7">
      <w:pPr>
        <w:numPr>
          <w:ilvl w:val="0"/>
          <w:numId w:val="15"/>
        </w:numPr>
        <w:tabs>
          <w:tab w:val="left" w:pos="1418"/>
        </w:tabs>
        <w:adjustRightInd w:val="0"/>
        <w:snapToGrid w:val="0"/>
        <w:ind w:leftChars="295" w:left="1416" w:hangingChars="295" w:hanging="708"/>
        <w:jc w:val="both"/>
        <w:rPr>
          <w:rFonts w:ascii="Arial" w:hAnsi="Arial" w:cs="Arial"/>
          <w:color w:val="000000"/>
          <w:kern w:val="0"/>
          <w:szCs w:val="24"/>
          <w:lang w:val="en-GB"/>
        </w:rPr>
      </w:pPr>
      <w:r w:rsidRPr="0028108F">
        <w:rPr>
          <w:rFonts w:ascii="Arial" w:hAnsi="Arial" w:cs="Arial"/>
          <w:color w:val="000000"/>
          <w:kern w:val="0"/>
          <w:szCs w:val="24"/>
          <w:lang w:val="en-GB"/>
        </w:rPr>
        <w:t xml:space="preserve">have a part of the body which assumes the external genital features of the opposite sex (Article 3(1)(v)).  </w:t>
      </w:r>
    </w:p>
    <w:p w:rsidR="003D52D7" w:rsidRPr="0028108F" w:rsidRDefault="003D52D7" w:rsidP="003D52D7">
      <w:pPr>
        <w:tabs>
          <w:tab w:val="left" w:pos="709"/>
        </w:tabs>
        <w:adjustRightInd w:val="0"/>
        <w:snapToGrid w:val="0"/>
        <w:jc w:val="both"/>
        <w:rPr>
          <w:rFonts w:ascii="Arial" w:hAnsi="Arial" w:cs="Arial"/>
          <w:color w:val="000000"/>
          <w:kern w:val="0"/>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000000"/>
          <w:kern w:val="0"/>
          <w:szCs w:val="24"/>
          <w:lang w:val="en-GB"/>
        </w:rPr>
      </w:pPr>
      <w:r w:rsidRPr="0028108F">
        <w:rPr>
          <w:rFonts w:ascii="Arial" w:hAnsi="Arial" w:cs="Arial"/>
          <w:color w:val="000000"/>
          <w:kern w:val="0"/>
          <w:szCs w:val="24"/>
          <w:lang w:val="en-GB"/>
        </w:rPr>
        <w:t>Such wording would effectively require the applicant to undergo genital surgery and be sterile.</w:t>
      </w:r>
      <w:r w:rsidRPr="00181CF2">
        <w:rPr>
          <w:rStyle w:val="FootnoteReference"/>
          <w:rFonts w:ascii="Arial" w:hAnsi="Arial" w:cs="Arial"/>
          <w:color w:val="000000"/>
          <w:kern w:val="0"/>
          <w:szCs w:val="24"/>
          <w:lang w:val="en-GB"/>
        </w:rPr>
        <w:footnoteReference w:id="262"/>
      </w:r>
    </w:p>
    <w:p w:rsidR="003D52D7" w:rsidRPr="00C57CE1" w:rsidRDefault="003D52D7" w:rsidP="003D52D7">
      <w:pPr>
        <w:tabs>
          <w:tab w:val="left" w:pos="465"/>
        </w:tabs>
        <w:adjustRightInd w:val="0"/>
        <w:snapToGrid w:val="0"/>
        <w:jc w:val="both"/>
        <w:rPr>
          <w:rFonts w:ascii="Arial" w:hAnsi="Arial" w:cs="Arial"/>
          <w:szCs w:val="24"/>
          <w:lang w:val="en-GB"/>
        </w:rPr>
      </w:pPr>
    </w:p>
    <w:p w:rsidR="003D52D7" w:rsidRPr="0028108F" w:rsidRDefault="003D52D7" w:rsidP="003D52D7">
      <w:pPr>
        <w:tabs>
          <w:tab w:val="left" w:pos="465"/>
        </w:tabs>
        <w:adjustRightInd w:val="0"/>
        <w:snapToGrid w:val="0"/>
        <w:jc w:val="both"/>
        <w:rPr>
          <w:rFonts w:ascii="Arial" w:hAnsi="Arial" w:cs="Arial"/>
          <w:i/>
          <w:szCs w:val="24"/>
          <w:lang w:val="en-GB"/>
        </w:rPr>
      </w:pPr>
      <w:r w:rsidRPr="0028108F">
        <w:rPr>
          <w:rFonts w:ascii="Arial" w:hAnsi="Arial" w:cs="Arial"/>
          <w:i/>
          <w:szCs w:val="24"/>
          <w:lang w:val="en-GB"/>
        </w:rPr>
        <w:t>No express “</w:t>
      </w:r>
      <w:r w:rsidR="00043FD0" w:rsidRPr="0028108F">
        <w:rPr>
          <w:rFonts w:ascii="Arial" w:hAnsi="Arial" w:cs="Arial"/>
          <w:i/>
          <w:szCs w:val="24"/>
          <w:lang w:val="en-GB"/>
        </w:rPr>
        <w:t>real life test</w:t>
      </w:r>
      <w:r w:rsidRPr="0028108F">
        <w:rPr>
          <w:rFonts w:ascii="Arial" w:hAnsi="Arial" w:cs="Arial"/>
          <w:i/>
          <w:szCs w:val="24"/>
          <w:lang w:val="en-GB"/>
        </w:rPr>
        <w:t>” requirements</w:t>
      </w:r>
    </w:p>
    <w:p w:rsidR="003D52D7" w:rsidRPr="0028108F" w:rsidRDefault="003D52D7" w:rsidP="003D52D7">
      <w:pPr>
        <w:tabs>
          <w:tab w:val="left" w:pos="465"/>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There are no express requirements for a </w:t>
      </w:r>
      <w:r w:rsidR="00043FD0" w:rsidRPr="0028108F">
        <w:rPr>
          <w:rFonts w:ascii="Arial" w:hAnsi="Arial" w:cs="Arial"/>
          <w:color w:val="000000"/>
          <w:kern w:val="0"/>
          <w:szCs w:val="24"/>
          <w:lang w:val="en-GB"/>
        </w:rPr>
        <w:t>real life test</w:t>
      </w:r>
      <w:r w:rsidRPr="0028108F">
        <w:rPr>
          <w:rFonts w:ascii="Arial" w:hAnsi="Arial" w:cs="Arial"/>
          <w:szCs w:val="24"/>
          <w:lang w:val="en-GB"/>
        </w:rPr>
        <w:t xml:space="preserve"> or stated intention to live in the opposite gender under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Pr="0028108F">
        <w:rPr>
          <w:rFonts w:ascii="Arial" w:hAnsi="Arial" w:cs="Arial"/>
          <w:szCs w:val="24"/>
          <w:lang w:val="en-GB"/>
        </w:rPr>
        <w:t xml:space="preserve">. </w:t>
      </w:r>
    </w:p>
    <w:p w:rsidR="003D52D7" w:rsidRPr="0028108F" w:rsidRDefault="003D52D7" w:rsidP="003D52D7">
      <w:pPr>
        <w:tabs>
          <w:tab w:val="left" w:pos="465"/>
        </w:tabs>
        <w:adjustRightInd w:val="0"/>
        <w:snapToGrid w:val="0"/>
        <w:jc w:val="both"/>
        <w:rPr>
          <w:rFonts w:ascii="Arial" w:hAnsi="Arial" w:cs="Arial"/>
          <w:szCs w:val="24"/>
          <w:lang w:val="en-GB"/>
        </w:rPr>
      </w:pPr>
    </w:p>
    <w:p w:rsidR="003D52D7" w:rsidRPr="0028108F" w:rsidRDefault="003D52D7" w:rsidP="003D52D7">
      <w:pPr>
        <w:tabs>
          <w:tab w:val="left" w:pos="465"/>
        </w:tabs>
        <w:adjustRightInd w:val="0"/>
        <w:snapToGrid w:val="0"/>
        <w:jc w:val="both"/>
        <w:rPr>
          <w:rFonts w:ascii="Arial" w:hAnsi="Arial" w:cs="Arial"/>
          <w:i/>
          <w:szCs w:val="24"/>
          <w:lang w:val="en-GB"/>
        </w:rPr>
      </w:pPr>
      <w:r w:rsidRPr="0028108F">
        <w:rPr>
          <w:rFonts w:ascii="Arial" w:hAnsi="Arial" w:cs="Arial"/>
          <w:i/>
          <w:szCs w:val="24"/>
          <w:lang w:val="en-GB"/>
        </w:rPr>
        <w:t>No express residency or citizenship requirements, or recognition of foreign gender change</w:t>
      </w:r>
    </w:p>
    <w:p w:rsidR="003D52D7" w:rsidRPr="0028108F" w:rsidRDefault="003D52D7" w:rsidP="003D52D7">
      <w:pPr>
        <w:tabs>
          <w:tab w:val="left" w:pos="465"/>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Requirements relating to residency or citizenship are not stipulated in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Pr="0028108F">
        <w:rPr>
          <w:rFonts w:ascii="Arial" w:hAnsi="Arial" w:cs="Arial"/>
          <w:szCs w:val="24"/>
          <w:lang w:val="en-GB"/>
        </w:rPr>
        <w:t>.  There is also no express provision for recognition of foreign gender change.</w:t>
      </w:r>
    </w:p>
    <w:p w:rsidR="003D52D7" w:rsidRPr="0028108F" w:rsidRDefault="003D52D7" w:rsidP="003D52D7">
      <w:pPr>
        <w:tabs>
          <w:tab w:val="left" w:pos="709"/>
        </w:tabs>
        <w:adjustRightInd w:val="0"/>
        <w:snapToGrid w:val="0"/>
        <w:jc w:val="both"/>
        <w:rPr>
          <w:rFonts w:ascii="Arial" w:hAnsi="Arial" w:cs="Arial"/>
          <w:color w:val="000000"/>
          <w:kern w:val="0"/>
          <w:szCs w:val="24"/>
          <w:lang w:val="en-GB"/>
        </w:rPr>
      </w:pPr>
    </w:p>
    <w:p w:rsidR="003D52D7" w:rsidRPr="0028108F" w:rsidRDefault="003D52D7" w:rsidP="003D52D7">
      <w:pPr>
        <w:tabs>
          <w:tab w:val="left" w:pos="709"/>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Scope of the gender recognition</w:t>
      </w:r>
    </w:p>
    <w:p w:rsidR="003D52D7" w:rsidRPr="0028108F" w:rsidRDefault="003D52D7" w:rsidP="003D52D7">
      <w:pPr>
        <w:tabs>
          <w:tab w:val="left" w:pos="709"/>
        </w:tabs>
        <w:adjustRightInd w:val="0"/>
        <w:snapToGrid w:val="0"/>
        <w:jc w:val="both"/>
        <w:rPr>
          <w:rFonts w:ascii="Arial" w:hAnsi="Arial" w:cs="Arial"/>
          <w:color w:val="000000"/>
          <w:kern w:val="0"/>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 successful applicant’s legal change of gender will be registered </w:t>
      </w:r>
      <w:r w:rsidRPr="0028108F">
        <w:rPr>
          <w:rFonts w:ascii="Arial" w:hAnsi="Arial" w:cs="Arial"/>
          <w:szCs w:val="24"/>
          <w:lang w:val="en-GB"/>
        </w:rPr>
        <w:lastRenderedPageBreak/>
        <w:t>on the “</w:t>
      </w:r>
      <w:r w:rsidRPr="0028108F">
        <w:rPr>
          <w:rFonts w:ascii="Arial" w:hAnsi="Arial" w:cs="Arial"/>
          <w:i/>
          <w:szCs w:val="24"/>
          <w:lang w:val="en-GB"/>
        </w:rPr>
        <w:t>Koseki</w:t>
      </w:r>
      <w:r w:rsidRPr="0028108F">
        <w:rPr>
          <w:rFonts w:ascii="Arial" w:hAnsi="Arial" w:cs="Arial"/>
          <w:szCs w:val="24"/>
          <w:lang w:val="en-GB"/>
        </w:rPr>
        <w:t>”, which is the Japanese system of family registration, whereupon births, deaths, marriages and divorces of Japanese nationals are recorded and held in town offices.</w:t>
      </w:r>
      <w:r w:rsidRPr="00181CF2">
        <w:rPr>
          <w:rStyle w:val="FootnoteReference"/>
          <w:rFonts w:ascii="Arial" w:hAnsi="Arial" w:cs="Arial"/>
          <w:szCs w:val="24"/>
          <w:lang w:val="en-GB"/>
        </w:rPr>
        <w:footnoteReference w:id="263"/>
      </w:r>
      <w:r w:rsidRPr="00181CF2">
        <w:rPr>
          <w:rFonts w:ascii="Arial" w:hAnsi="Arial" w:cs="Arial"/>
          <w:szCs w:val="24"/>
          <w:lang w:val="en-GB"/>
        </w:rPr>
        <w:t xml:space="preserve">  </w:t>
      </w:r>
      <w:r w:rsidRPr="00C57CE1">
        <w:rPr>
          <w:rFonts w:ascii="Arial" w:hAnsi="Arial" w:cs="Arial"/>
          <w:i/>
          <w:szCs w:val="24"/>
          <w:lang w:val="en-GB"/>
        </w:rPr>
        <w:t>Koseki</w:t>
      </w:r>
      <w:r w:rsidRPr="0028108F">
        <w:rPr>
          <w:rFonts w:ascii="Arial" w:hAnsi="Arial" w:cs="Arial"/>
          <w:szCs w:val="24"/>
          <w:lang w:val="en-GB"/>
        </w:rPr>
        <w:t xml:space="preserve"> is the conclusive family record in law in Japan, qualifying as “</w:t>
      </w:r>
      <w:r w:rsidRPr="0028108F">
        <w:rPr>
          <w:rFonts w:ascii="Arial" w:hAnsi="Arial" w:cs="Arial"/>
          <w:i/>
          <w:szCs w:val="24"/>
          <w:lang w:val="en-GB"/>
        </w:rPr>
        <w:t>a root document for other legal identity cards</w:t>
      </w:r>
      <w:r w:rsidRPr="0028108F">
        <w:rPr>
          <w:rFonts w:ascii="Arial" w:hAnsi="Arial" w:cs="Arial"/>
          <w:szCs w:val="24"/>
          <w:lang w:val="en-GB"/>
        </w:rPr>
        <w:t>”.</w:t>
      </w:r>
      <w:r w:rsidRPr="00181CF2">
        <w:rPr>
          <w:rStyle w:val="FootnoteReference"/>
          <w:rFonts w:ascii="Arial" w:hAnsi="Arial" w:cs="Arial"/>
          <w:szCs w:val="24"/>
          <w:lang w:val="en-GB"/>
        </w:rPr>
        <w:footnoteReference w:id="264"/>
      </w:r>
      <w:r w:rsidRPr="00181CF2">
        <w:rPr>
          <w:rFonts w:ascii="Arial" w:hAnsi="Arial" w:cs="Arial"/>
          <w:szCs w:val="24"/>
          <w:lang w:val="en-GB"/>
        </w:rPr>
        <w:t xml:space="preserve">  The gender marker on the </w:t>
      </w:r>
      <w:r w:rsidRPr="00C57CE1">
        <w:rPr>
          <w:rFonts w:ascii="Arial" w:hAnsi="Arial" w:cs="Arial"/>
          <w:i/>
          <w:szCs w:val="24"/>
          <w:lang w:val="en-GB"/>
        </w:rPr>
        <w:t>Koseki</w:t>
      </w:r>
      <w:r w:rsidRPr="0028108F">
        <w:rPr>
          <w:rFonts w:ascii="Arial" w:hAnsi="Arial" w:cs="Arial"/>
          <w:szCs w:val="24"/>
          <w:lang w:val="en-GB"/>
        </w:rPr>
        <w:t xml:space="preserve"> “</w:t>
      </w:r>
      <w:r w:rsidRPr="0028108F">
        <w:rPr>
          <w:rFonts w:ascii="Arial" w:hAnsi="Arial" w:cs="Arial"/>
          <w:i/>
          <w:szCs w:val="24"/>
          <w:lang w:val="en-GB"/>
        </w:rPr>
        <w:t>is reflected in most of the important legal documents including pension books and applications for national health insurance and unemployment insurance</w:t>
      </w:r>
      <w:r w:rsidR="0024460A">
        <w:rPr>
          <w:rFonts w:ascii="Arial" w:hAnsi="Arial" w:cs="Arial" w:hint="eastAsia"/>
          <w:i/>
          <w:szCs w:val="24"/>
          <w:lang w:val="en-GB"/>
        </w:rPr>
        <w:t>.</w:t>
      </w:r>
      <w:r w:rsidRPr="0028108F">
        <w:rPr>
          <w:rFonts w:ascii="Arial" w:hAnsi="Arial" w:cs="Arial"/>
          <w:szCs w:val="24"/>
          <w:lang w:val="en-GB"/>
        </w:rPr>
        <w:t>”</w:t>
      </w:r>
      <w:r w:rsidRPr="00181CF2">
        <w:rPr>
          <w:rStyle w:val="FootnoteReference"/>
          <w:rFonts w:ascii="Arial" w:hAnsi="Arial" w:cs="Arial"/>
          <w:szCs w:val="24"/>
          <w:lang w:val="en-GB"/>
        </w:rPr>
        <w:footnoteReference w:id="265"/>
      </w:r>
    </w:p>
    <w:p w:rsidR="003D52D7" w:rsidRPr="00C57CE1" w:rsidRDefault="003D52D7" w:rsidP="008813DE">
      <w:pPr>
        <w:adjustRightInd w:val="0"/>
        <w:snapToGrid w:val="0"/>
        <w:ind w:leftChars="413" w:left="991"/>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From the language of Article 4,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007E329F" w:rsidRPr="0028108F" w:rsidDel="007E329F">
        <w:rPr>
          <w:rFonts w:ascii="Arial" w:hAnsi="Arial" w:cs="Arial"/>
          <w:szCs w:val="24"/>
          <w:lang w:val="en-GB"/>
        </w:rPr>
        <w:t xml:space="preserve"> </w:t>
      </w:r>
      <w:r w:rsidRPr="0028108F">
        <w:rPr>
          <w:rFonts w:ascii="Arial" w:hAnsi="Arial" w:cs="Arial"/>
          <w:szCs w:val="24"/>
          <w:lang w:val="en-GB"/>
        </w:rPr>
        <w:t>appears to cover all areas of law affected by gender.  The Article provides that, from the point at which an applicant fulfils the conditions set out in the Act and the Family Court has recognised his or her legal change in gender, he or she is considered to be legally his or her new sex with respect to the application of the Civil Code</w:t>
      </w:r>
      <w:r w:rsidRPr="00181CF2">
        <w:rPr>
          <w:rStyle w:val="FootnoteReference"/>
          <w:rFonts w:ascii="Arial" w:hAnsi="Arial" w:cs="Arial"/>
          <w:szCs w:val="24"/>
          <w:lang w:val="en-GB"/>
        </w:rPr>
        <w:footnoteReference w:id="266"/>
      </w:r>
      <w:r w:rsidRPr="00181CF2">
        <w:rPr>
          <w:rFonts w:ascii="Arial" w:hAnsi="Arial" w:cs="Arial"/>
          <w:szCs w:val="24"/>
          <w:lang w:val="en-GB"/>
        </w:rPr>
        <w:t xml:space="preserve"> and all other laws and regulations (Article 4(1)).  The personal status and/or any rights and obligations arising prior to the recognition </w:t>
      </w:r>
      <w:r w:rsidRPr="00C57CE1">
        <w:rPr>
          <w:rFonts w:ascii="Arial" w:hAnsi="Arial" w:cs="Arial"/>
          <w:szCs w:val="24"/>
          <w:lang w:val="en-GB"/>
        </w:rPr>
        <w:t>of change in gender shall not be affected, save as may be specifically provided otherwise in the laws (Article 4(2)).</w:t>
      </w:r>
    </w:p>
    <w:p w:rsidR="003D52D7" w:rsidRPr="0028108F" w:rsidRDefault="003D52D7" w:rsidP="003D52D7">
      <w:pPr>
        <w:adjustRightInd w:val="0"/>
        <w:snapToGrid w:val="0"/>
        <w:ind w:leftChars="413" w:left="991"/>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Nonetheless, recent cases in Japan indicate that the position may still need to be clarified.  In early 2013, a female-to-male transsexual person, who had successfully applied for recognition of the chosen gender under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Pr="0028108F">
        <w:rPr>
          <w:rFonts w:ascii="Arial" w:hAnsi="Arial" w:cs="Arial"/>
          <w:szCs w:val="24"/>
          <w:lang w:val="en-GB"/>
        </w:rPr>
        <w:t xml:space="preserve"> and had changed his gender marker on the </w:t>
      </w:r>
      <w:r w:rsidRPr="0028108F">
        <w:rPr>
          <w:rFonts w:ascii="Arial" w:hAnsi="Arial" w:cs="Arial"/>
          <w:i/>
          <w:szCs w:val="24"/>
          <w:lang w:val="en-GB"/>
        </w:rPr>
        <w:t>Koseki</w:t>
      </w:r>
      <w:r w:rsidRPr="0028108F">
        <w:rPr>
          <w:rFonts w:ascii="Arial" w:hAnsi="Arial" w:cs="Arial"/>
          <w:szCs w:val="24"/>
          <w:lang w:val="en-GB"/>
        </w:rPr>
        <w:t xml:space="preserve">, legally married a woman and tried to register as the father of the son born to the couple through artificial insemination with sperm of a third party.  However, the officer refused to register him as a father for the reason that he was considered </w:t>
      </w:r>
      <w:r w:rsidRPr="0028108F">
        <w:rPr>
          <w:rFonts w:ascii="Arial" w:hAnsi="Arial" w:cs="Arial"/>
          <w:i/>
          <w:szCs w:val="24"/>
          <w:lang w:val="en-GB"/>
        </w:rPr>
        <w:t>“biologically female”</w:t>
      </w:r>
      <w:r w:rsidRPr="0028108F">
        <w:rPr>
          <w:rFonts w:ascii="Arial" w:hAnsi="Arial" w:cs="Arial"/>
          <w:szCs w:val="24"/>
          <w:lang w:val="en-GB"/>
        </w:rPr>
        <w:t xml:space="preserve"> and consequently the child was treated as an illegitimate child.  The transsexual man filed appeals several times but to no avail until reaching the Supreme Court, which reversed the previous rulings and recognised his legal status as the father of the child.  (However, the transsexual man had also filed another similar suit in respect of another son which was denied by the Osaka Family Court and is currently pending a ruling from the Osaka High Court.</w:t>
      </w:r>
      <w:r w:rsidRPr="00181CF2">
        <w:rPr>
          <w:rStyle w:val="FootnoteReference"/>
          <w:rFonts w:ascii="Arial" w:hAnsi="Arial" w:cs="Arial"/>
          <w:szCs w:val="24"/>
          <w:lang w:val="en-GB"/>
        </w:rPr>
        <w:footnoteReference w:id="267"/>
      </w:r>
      <w:r w:rsidRPr="00181CF2">
        <w:rPr>
          <w:rFonts w:ascii="Arial" w:hAnsi="Arial" w:cs="Arial"/>
          <w:szCs w:val="24"/>
          <w:lang w:val="en-GB"/>
        </w:rPr>
        <w:t xml:space="preserve">) </w:t>
      </w:r>
    </w:p>
    <w:p w:rsidR="003D52D7" w:rsidRPr="00C57CE1" w:rsidRDefault="003D52D7" w:rsidP="003D52D7">
      <w:pPr>
        <w:tabs>
          <w:tab w:val="left" w:pos="709"/>
        </w:tabs>
        <w:adjustRightInd w:val="0"/>
        <w:snapToGrid w:val="0"/>
        <w:jc w:val="both"/>
        <w:rPr>
          <w:rFonts w:ascii="Arial" w:hAnsi="Arial" w:cs="Arial"/>
          <w:b/>
          <w:i/>
          <w:color w:val="000000"/>
          <w:kern w:val="0"/>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By the end of 2013, there were 4,353 individuals who had changed their legal gender since the </w:t>
      </w:r>
      <w:r w:rsidR="007E329F">
        <w:rPr>
          <w:rFonts w:ascii="Arial" w:hAnsi="Arial" w:cs="Arial" w:hint="eastAsia"/>
          <w:szCs w:val="24"/>
          <w:lang w:val="en-GB"/>
        </w:rPr>
        <w:t>Japanese GID</w:t>
      </w:r>
      <w:r w:rsidR="007E329F" w:rsidRPr="0028108F">
        <w:rPr>
          <w:rFonts w:ascii="Arial" w:hAnsi="Arial" w:cs="Arial"/>
          <w:szCs w:val="24"/>
          <w:lang w:val="en-GB"/>
        </w:rPr>
        <w:t xml:space="preserve"> Act</w:t>
      </w:r>
      <w:r w:rsidRPr="0028108F">
        <w:rPr>
          <w:rFonts w:ascii="Arial" w:hAnsi="Arial" w:cs="Arial"/>
          <w:szCs w:val="24"/>
          <w:lang w:val="en-GB"/>
        </w:rPr>
        <w:t xml:space="preserve"> came into operation in 2004, and the number of applications has been increasing gradually each year.</w:t>
      </w:r>
      <w:r w:rsidRPr="00181CF2">
        <w:rPr>
          <w:rStyle w:val="FootnoteReference"/>
          <w:rFonts w:ascii="Arial" w:hAnsi="Arial" w:cs="Arial"/>
          <w:szCs w:val="24"/>
          <w:lang w:val="en-GB"/>
        </w:rPr>
        <w:footnoteReference w:id="268"/>
      </w:r>
      <w:r w:rsidRPr="00181CF2">
        <w:rPr>
          <w:rFonts w:ascii="Arial" w:hAnsi="Arial" w:cs="Arial"/>
          <w:szCs w:val="24"/>
          <w:lang w:val="en-GB"/>
        </w:rPr>
        <w:t xml:space="preserve">  It has been observed, however, that this a relatively small number compared to the estimated number of 7,000 to 10,000 people with </w:t>
      </w:r>
      <w:r w:rsidR="00334997" w:rsidRPr="0028108F">
        <w:rPr>
          <w:rFonts w:ascii="Arial" w:hAnsi="Arial" w:cs="Arial"/>
          <w:szCs w:val="24"/>
          <w:lang w:val="en-GB"/>
        </w:rPr>
        <w:t xml:space="preserve">gender </w:t>
      </w:r>
      <w:r w:rsidR="00334997" w:rsidRPr="0028108F">
        <w:rPr>
          <w:rFonts w:ascii="Arial" w:hAnsi="Arial" w:cs="Arial"/>
          <w:szCs w:val="24"/>
          <w:lang w:val="en-GB"/>
        </w:rPr>
        <w:lastRenderedPageBreak/>
        <w:t>identity disorder</w:t>
      </w:r>
      <w:r w:rsidRPr="0028108F">
        <w:rPr>
          <w:rFonts w:ascii="Arial" w:hAnsi="Arial" w:cs="Arial"/>
          <w:szCs w:val="24"/>
          <w:lang w:val="en-GB"/>
        </w:rPr>
        <w:t xml:space="preserve"> in Japan.</w:t>
      </w:r>
      <w:r w:rsidRPr="00181CF2">
        <w:rPr>
          <w:rStyle w:val="FootnoteReference"/>
          <w:rFonts w:ascii="Arial" w:hAnsi="Arial" w:cs="Arial"/>
          <w:szCs w:val="24"/>
          <w:lang w:val="en-GB"/>
        </w:rPr>
        <w:footnoteReference w:id="269"/>
      </w:r>
      <w:r w:rsidRPr="00181CF2">
        <w:rPr>
          <w:rFonts w:ascii="Arial" w:hAnsi="Arial" w:cs="Arial"/>
          <w:szCs w:val="24"/>
          <w:lang w:val="en-GB"/>
        </w:rPr>
        <w:t xml:space="preserve">  This might be partly attributable to the lack of medical institutions that provide sex reassignment surgery in Japan, and the fact that </w:t>
      </w:r>
      <w:r w:rsidRPr="00C57CE1">
        <w:rPr>
          <w:rFonts w:ascii="Arial" w:hAnsi="Arial" w:cs="Arial"/>
          <w:i/>
          <w:szCs w:val="24"/>
          <w:lang w:val="en-GB"/>
        </w:rPr>
        <w:t xml:space="preserve">“treatment of </w:t>
      </w:r>
      <w:r w:rsidR="00334997" w:rsidRPr="0028108F">
        <w:rPr>
          <w:rFonts w:ascii="Arial" w:hAnsi="Arial" w:cs="Arial"/>
          <w:i/>
          <w:szCs w:val="24"/>
          <w:lang w:val="en-GB"/>
        </w:rPr>
        <w:t>gender identity disorder</w:t>
      </w:r>
      <w:r w:rsidRPr="0028108F">
        <w:rPr>
          <w:rFonts w:ascii="Arial" w:hAnsi="Arial" w:cs="Arial"/>
          <w:i/>
          <w:szCs w:val="24"/>
          <w:lang w:val="en-GB"/>
        </w:rPr>
        <w:t>, including sex reassignment surgery, is not covered by public health insurance”</w:t>
      </w:r>
      <w:r w:rsidRPr="0028108F">
        <w:rPr>
          <w:rFonts w:ascii="Arial" w:hAnsi="Arial" w:cs="Arial"/>
          <w:szCs w:val="24"/>
          <w:lang w:val="en-GB"/>
        </w:rPr>
        <w:t>.</w:t>
      </w:r>
      <w:r w:rsidRPr="00181CF2">
        <w:rPr>
          <w:rStyle w:val="FootnoteReference"/>
          <w:rFonts w:ascii="Arial" w:hAnsi="Arial" w:cs="Arial"/>
          <w:szCs w:val="24"/>
          <w:lang w:val="en-GB"/>
        </w:rPr>
        <w:footnoteReference w:id="270"/>
      </w:r>
    </w:p>
    <w:p w:rsidR="003D52D7" w:rsidRPr="00C57CE1"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 xml:space="preserve">South Australia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Specific legislation on gender recognition</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South Australia was the first Australian State to provide for legal recognition of reassigned sexual identity in the Sexual Reassignment Act 1988.</w:t>
      </w:r>
      <w:r w:rsidR="006B330F" w:rsidRPr="0028108F">
        <w:rPr>
          <w:rFonts w:ascii="Arial" w:hAnsi="Arial" w:cs="Arial"/>
          <w:szCs w:val="24"/>
          <w:lang w:val="en-GB"/>
        </w:rPr>
        <w:t xml:space="preserve">  In </w:t>
      </w:r>
      <w:r w:rsidR="00556F03">
        <w:rPr>
          <w:rFonts w:ascii="Arial" w:hAnsi="Arial" w:cs="Arial" w:hint="eastAsia"/>
          <w:szCs w:val="24"/>
          <w:lang w:val="en-GB"/>
        </w:rPr>
        <w:t>May 2017</w:t>
      </w:r>
      <w:r w:rsidR="006B330F" w:rsidRPr="0028108F">
        <w:rPr>
          <w:rFonts w:ascii="Arial" w:hAnsi="Arial" w:cs="Arial"/>
          <w:szCs w:val="24"/>
          <w:lang w:val="en-GB"/>
        </w:rPr>
        <w:t xml:space="preserve">, the Births, Deaths and Marriages Registration Act </w:t>
      </w:r>
      <w:r w:rsidR="00556F03" w:rsidRPr="0028108F">
        <w:rPr>
          <w:rFonts w:ascii="Arial" w:hAnsi="Arial" w:cs="Arial"/>
          <w:szCs w:val="24"/>
          <w:lang w:val="en-GB"/>
        </w:rPr>
        <w:t>201</w:t>
      </w:r>
      <w:r w:rsidR="00556F03">
        <w:rPr>
          <w:rFonts w:ascii="Arial" w:hAnsi="Arial" w:cs="Arial" w:hint="eastAsia"/>
          <w:szCs w:val="24"/>
          <w:lang w:val="en-GB"/>
        </w:rPr>
        <w:t>7</w:t>
      </w:r>
      <w:r w:rsidR="00556F03" w:rsidRPr="00181CF2">
        <w:rPr>
          <w:rFonts w:ascii="Arial" w:hAnsi="Arial" w:cs="Arial"/>
          <w:szCs w:val="24"/>
          <w:lang w:val="en-GB"/>
        </w:rPr>
        <w:t xml:space="preserve"> </w:t>
      </w:r>
      <w:r w:rsidR="006B330F" w:rsidRPr="00181CF2">
        <w:rPr>
          <w:rFonts w:ascii="Arial" w:hAnsi="Arial" w:cs="Arial"/>
          <w:szCs w:val="24"/>
          <w:lang w:val="en-GB"/>
        </w:rPr>
        <w:t>(“</w:t>
      </w:r>
      <w:r w:rsidR="006B330F" w:rsidRPr="008813DE">
        <w:rPr>
          <w:rFonts w:ascii="Arial" w:hAnsi="Arial" w:cs="Arial"/>
          <w:i/>
          <w:szCs w:val="24"/>
          <w:lang w:val="en-GB"/>
        </w:rPr>
        <w:t>GI Act</w:t>
      </w:r>
      <w:r w:rsidR="006B330F" w:rsidRPr="00181CF2">
        <w:rPr>
          <w:rFonts w:ascii="Arial" w:hAnsi="Arial" w:cs="Arial"/>
          <w:szCs w:val="24"/>
          <w:lang w:val="en-GB"/>
        </w:rPr>
        <w:t>”)</w:t>
      </w:r>
      <w:r w:rsidR="00556F03">
        <w:rPr>
          <w:rFonts w:ascii="Arial" w:hAnsi="Arial" w:cs="Arial" w:hint="eastAsia"/>
          <w:szCs w:val="24"/>
          <w:lang w:val="en-GB"/>
        </w:rPr>
        <w:t xml:space="preserve"> took effect, governing the gender recognition procedures in South Australia</w:t>
      </w:r>
      <w:r w:rsidR="006B330F" w:rsidRPr="00C57CE1">
        <w:rPr>
          <w:rFonts w:ascii="Arial" w:hAnsi="Arial" w:cs="Arial"/>
          <w:szCs w:val="24"/>
          <w:lang w:val="en-GB"/>
        </w:rPr>
        <w:t>.</w:t>
      </w:r>
      <w:r w:rsidRPr="0028108F">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Authority to process applications</w:t>
      </w:r>
    </w:p>
    <w:p w:rsidR="003D52D7" w:rsidRPr="0028108F" w:rsidRDefault="003D52D7" w:rsidP="003D52D7">
      <w:pPr>
        <w:adjustRightInd w:val="0"/>
        <w:snapToGrid w:val="0"/>
        <w:jc w:val="both"/>
        <w:rPr>
          <w:rFonts w:ascii="Arial" w:hAnsi="Arial" w:cs="Arial"/>
          <w:szCs w:val="24"/>
          <w:lang w:val="en-GB"/>
        </w:rPr>
      </w:pPr>
    </w:p>
    <w:p w:rsidR="003D52D7" w:rsidRPr="0028108F" w:rsidRDefault="006B330F"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w:t>
      </w:r>
      <w:r w:rsidR="003D52D7" w:rsidRPr="0028108F">
        <w:rPr>
          <w:rFonts w:ascii="Arial" w:hAnsi="Arial" w:cs="Arial"/>
          <w:szCs w:val="24"/>
          <w:lang w:val="en-GB"/>
        </w:rPr>
        <w:t xml:space="preserve">he authority determining </w:t>
      </w:r>
      <w:r w:rsidRPr="0028108F">
        <w:rPr>
          <w:rFonts w:ascii="Arial" w:hAnsi="Arial" w:cs="Arial"/>
          <w:szCs w:val="24"/>
          <w:lang w:val="en-GB"/>
        </w:rPr>
        <w:t xml:space="preserve">an </w:t>
      </w:r>
      <w:r w:rsidR="003D52D7" w:rsidRPr="0028108F">
        <w:rPr>
          <w:rFonts w:ascii="Arial" w:hAnsi="Arial" w:cs="Arial"/>
          <w:szCs w:val="24"/>
          <w:lang w:val="en-GB"/>
        </w:rPr>
        <w:t>application</w:t>
      </w:r>
      <w:r w:rsidRPr="0028108F">
        <w:rPr>
          <w:rFonts w:ascii="Arial" w:hAnsi="Arial" w:cs="Arial"/>
          <w:szCs w:val="24"/>
          <w:lang w:val="en-GB"/>
        </w:rPr>
        <w:t xml:space="preserve"> for change of sex or gender identity under the GI Act is the Registrar for Births, Deaths and Marriages</w:t>
      </w:r>
      <w:r w:rsidR="003D52D7" w:rsidRPr="0028108F">
        <w:rPr>
          <w:rFonts w:ascii="Arial" w:hAnsi="Arial" w:cs="Arial"/>
          <w:szCs w:val="24"/>
          <w:lang w:val="en-GB"/>
        </w:rPr>
        <w:t xml:space="preserve"> (</w:t>
      </w:r>
      <w:r w:rsidRPr="0028108F">
        <w:rPr>
          <w:rFonts w:ascii="Arial" w:hAnsi="Arial" w:cs="Arial"/>
          <w:szCs w:val="24"/>
          <w:lang w:val="en-GB"/>
        </w:rPr>
        <w:t>GI Act</w:t>
      </w:r>
      <w:r w:rsidR="003D52D7" w:rsidRPr="0028108F">
        <w:rPr>
          <w:rFonts w:ascii="Arial" w:hAnsi="Arial" w:cs="Arial"/>
          <w:szCs w:val="24"/>
          <w:lang w:val="en-GB"/>
        </w:rPr>
        <w:t xml:space="preserve">, </w:t>
      </w:r>
      <w:r w:rsidRPr="0028108F">
        <w:rPr>
          <w:rFonts w:ascii="Arial" w:hAnsi="Arial" w:cs="Arial"/>
          <w:szCs w:val="24"/>
          <w:lang w:val="en-GB"/>
        </w:rPr>
        <w:t>s29I</w:t>
      </w:r>
      <w:r w:rsidR="003D52D7" w:rsidRPr="0028108F">
        <w:rPr>
          <w:rFonts w:ascii="Arial" w:hAnsi="Arial" w:cs="Arial"/>
          <w:szCs w:val="24"/>
          <w:lang w:val="en-GB"/>
        </w:rPr>
        <w:t>).</w:t>
      </w:r>
    </w:p>
    <w:p w:rsidR="00C445BE" w:rsidRPr="0028108F" w:rsidRDefault="00C445BE" w:rsidP="00C445BE">
      <w:pPr>
        <w:tabs>
          <w:tab w:val="left" w:pos="1418"/>
        </w:tabs>
        <w:adjustRightInd w:val="0"/>
        <w:snapToGrid w:val="0"/>
        <w:jc w:val="both"/>
        <w:rPr>
          <w:rFonts w:ascii="Arial" w:hAnsi="Arial" w:cs="Arial"/>
          <w:i/>
          <w:szCs w:val="24"/>
          <w:lang w:val="en-GB"/>
        </w:rPr>
      </w:pPr>
    </w:p>
    <w:p w:rsidR="00C445BE" w:rsidRPr="0028108F" w:rsidRDefault="00C445BE" w:rsidP="00C445BE">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Requirements relating to age</w:t>
      </w:r>
      <w:r w:rsidR="007409BD" w:rsidRPr="0028108F">
        <w:rPr>
          <w:rFonts w:ascii="Arial" w:hAnsi="Arial" w:cs="Arial"/>
          <w:i/>
          <w:szCs w:val="24"/>
          <w:lang w:val="en-GB"/>
        </w:rPr>
        <w:t xml:space="preserve"> and marriage</w:t>
      </w:r>
    </w:p>
    <w:p w:rsidR="00C445BE" w:rsidRPr="0028108F" w:rsidRDefault="00C445BE" w:rsidP="00C445BE">
      <w:pPr>
        <w:tabs>
          <w:tab w:val="left" w:pos="1418"/>
        </w:tabs>
        <w:adjustRightInd w:val="0"/>
        <w:snapToGrid w:val="0"/>
        <w:jc w:val="both"/>
        <w:rPr>
          <w:rFonts w:ascii="Arial" w:hAnsi="Arial" w:cs="Arial"/>
          <w:szCs w:val="24"/>
          <w:lang w:val="en-GB"/>
        </w:rPr>
      </w:pPr>
    </w:p>
    <w:p w:rsidR="00C445BE" w:rsidRPr="0028108F" w:rsidRDefault="00C445BE" w:rsidP="00C445BE">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applicant can be a person of or above the age of 18 years (GI Act, </w:t>
      </w:r>
      <w:r w:rsidR="007409BD" w:rsidRPr="0028108F">
        <w:rPr>
          <w:rFonts w:ascii="Arial" w:hAnsi="Arial" w:cs="Arial"/>
          <w:szCs w:val="24"/>
          <w:lang w:val="en-GB"/>
        </w:rPr>
        <w:t>s29J(1)</w:t>
      </w:r>
      <w:r w:rsidRPr="0028108F">
        <w:rPr>
          <w:rFonts w:ascii="Arial" w:hAnsi="Arial" w:cs="Arial"/>
          <w:szCs w:val="24"/>
          <w:lang w:val="en-GB"/>
        </w:rPr>
        <w:t>)</w:t>
      </w:r>
      <w:r w:rsidR="007409BD" w:rsidRPr="0028108F">
        <w:rPr>
          <w:rFonts w:ascii="Arial" w:hAnsi="Arial" w:cs="Arial"/>
          <w:szCs w:val="24"/>
          <w:lang w:val="en-GB"/>
        </w:rPr>
        <w:t xml:space="preserve"> or a child under the age of 18 years who may make an application by himself/herself or through a parent or guardian and with the Court’s approval</w:t>
      </w:r>
      <w:r w:rsidRPr="0028108F">
        <w:rPr>
          <w:rFonts w:ascii="Arial" w:hAnsi="Arial" w:cs="Arial"/>
          <w:szCs w:val="24"/>
          <w:lang w:val="en-GB"/>
        </w:rPr>
        <w:t xml:space="preserve">.  </w:t>
      </w:r>
    </w:p>
    <w:p w:rsidR="00C445BE" w:rsidRPr="0028108F" w:rsidRDefault="00C445BE" w:rsidP="00C445BE">
      <w:pPr>
        <w:autoSpaceDE w:val="0"/>
        <w:autoSpaceDN w:val="0"/>
        <w:adjustRightInd w:val="0"/>
        <w:snapToGrid w:val="0"/>
        <w:jc w:val="both"/>
        <w:rPr>
          <w:rFonts w:ascii="Arial" w:hAnsi="Arial" w:cs="Arial"/>
          <w:szCs w:val="24"/>
          <w:lang w:val="en-GB"/>
        </w:rPr>
      </w:pPr>
    </w:p>
    <w:p w:rsidR="00C445BE" w:rsidRPr="00181CF2" w:rsidRDefault="00D15A2E"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is </w:t>
      </w:r>
      <w:r w:rsidR="00513877" w:rsidRPr="0028108F">
        <w:rPr>
          <w:rFonts w:ascii="Arial" w:hAnsi="Arial" w:cs="Arial"/>
          <w:szCs w:val="24"/>
          <w:lang w:val="en-GB"/>
        </w:rPr>
        <w:t>expressly</w:t>
      </w:r>
      <w:r w:rsidRPr="0028108F">
        <w:rPr>
          <w:rFonts w:ascii="Arial" w:hAnsi="Arial" w:cs="Arial"/>
          <w:szCs w:val="24"/>
          <w:lang w:val="en-GB"/>
        </w:rPr>
        <w:t xml:space="preserve"> provided that an application may be made even if the person is married (</w:t>
      </w:r>
      <w:r w:rsidRPr="00181CF2">
        <w:rPr>
          <w:rFonts w:ascii="Arial" w:hAnsi="Arial" w:cs="Arial"/>
          <w:szCs w:val="24"/>
          <w:lang w:val="en-GB"/>
        </w:rPr>
        <w:t xml:space="preserve">GI Act, </w:t>
      </w:r>
      <w:r w:rsidRPr="0028108F">
        <w:rPr>
          <w:rFonts w:ascii="Arial" w:hAnsi="Arial" w:cs="Arial"/>
          <w:szCs w:val="24"/>
          <w:lang w:val="en-GB"/>
        </w:rPr>
        <w:t>s29I(3)).</w:t>
      </w:r>
    </w:p>
    <w:p w:rsidR="00D15A2E" w:rsidRPr="0028108F" w:rsidRDefault="00D15A2E" w:rsidP="0028108F">
      <w:pPr>
        <w:pStyle w:val="ListParagraph"/>
        <w:rPr>
          <w:rFonts w:ascii="Arial" w:hAnsi="Arial" w:cs="Arial"/>
          <w:szCs w:val="24"/>
          <w:lang w:val="en-GB"/>
        </w:rPr>
      </w:pPr>
    </w:p>
    <w:p w:rsidR="00E707B2" w:rsidRPr="00181CF2" w:rsidRDefault="00E707B2" w:rsidP="00C445BE">
      <w:pPr>
        <w:tabs>
          <w:tab w:val="left" w:pos="709"/>
        </w:tabs>
        <w:adjustRightInd w:val="0"/>
        <w:snapToGrid w:val="0"/>
        <w:jc w:val="both"/>
        <w:rPr>
          <w:rFonts w:ascii="Arial" w:hAnsi="Arial" w:cs="Arial"/>
          <w:i/>
          <w:szCs w:val="24"/>
          <w:lang w:val="en-GB"/>
        </w:rPr>
      </w:pPr>
      <w:r w:rsidRPr="00181CF2">
        <w:rPr>
          <w:rFonts w:ascii="Arial" w:hAnsi="Arial" w:cs="Arial"/>
          <w:i/>
          <w:szCs w:val="24"/>
          <w:lang w:val="en-GB"/>
        </w:rPr>
        <w:t>Requirements relating to residency or citizenship</w:t>
      </w:r>
    </w:p>
    <w:p w:rsidR="00E707B2" w:rsidRPr="00C57CE1" w:rsidRDefault="00E707B2" w:rsidP="00C445BE">
      <w:pPr>
        <w:tabs>
          <w:tab w:val="left" w:pos="709"/>
        </w:tabs>
        <w:adjustRightInd w:val="0"/>
        <w:snapToGrid w:val="0"/>
        <w:jc w:val="both"/>
        <w:rPr>
          <w:rFonts w:ascii="Arial" w:hAnsi="Arial" w:cs="Arial"/>
          <w:i/>
          <w:szCs w:val="24"/>
          <w:lang w:val="en-GB"/>
        </w:rPr>
      </w:pPr>
    </w:p>
    <w:p w:rsidR="00E707B2" w:rsidRPr="0028108F" w:rsidRDefault="00E707B2"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applicant may be a person whose birth is registered in South Australia (GI Act, s29I(1)) or a person who was born in Australia but has been resident in </w:t>
      </w:r>
      <w:r w:rsidRPr="00181CF2">
        <w:rPr>
          <w:rFonts w:ascii="Arial" w:hAnsi="Arial" w:cs="Arial"/>
          <w:szCs w:val="24"/>
          <w:lang w:val="en-GB"/>
        </w:rPr>
        <w:t>South Australia</w:t>
      </w:r>
      <w:r w:rsidRPr="0028108F">
        <w:rPr>
          <w:rFonts w:ascii="Arial" w:hAnsi="Arial" w:cs="Arial"/>
          <w:szCs w:val="24"/>
          <w:lang w:val="en-GB"/>
        </w:rPr>
        <w:t xml:space="preserve"> for at least 12 consecutive months immediately </w:t>
      </w:r>
      <w:r w:rsidRPr="0028108F">
        <w:rPr>
          <w:rFonts w:ascii="Arial" w:hAnsi="Arial" w:cs="Arial"/>
          <w:szCs w:val="24"/>
          <w:lang w:val="en-GB"/>
        </w:rPr>
        <w:lastRenderedPageBreak/>
        <w:t>before the date of the application</w:t>
      </w:r>
      <w:r w:rsidRPr="00181CF2">
        <w:rPr>
          <w:rFonts w:ascii="Arial" w:hAnsi="Arial" w:cs="Arial"/>
          <w:szCs w:val="24"/>
          <w:lang w:val="en-GB"/>
        </w:rPr>
        <w:t xml:space="preserve"> </w:t>
      </w:r>
      <w:r w:rsidRPr="00C57CE1">
        <w:rPr>
          <w:rFonts w:ascii="Arial" w:hAnsi="Arial" w:cs="Arial"/>
          <w:szCs w:val="24"/>
          <w:lang w:val="en-GB"/>
        </w:rPr>
        <w:t>(GI Act, s29O).</w:t>
      </w:r>
      <w:r w:rsidRPr="0028108F">
        <w:rPr>
          <w:rFonts w:ascii="Arial" w:hAnsi="Arial" w:cs="Arial"/>
          <w:szCs w:val="24"/>
          <w:lang w:val="en-GB"/>
        </w:rPr>
        <w:t xml:space="preserve">  For a successful applicant of the latter type who does not have a birth registry in South Australia, a certificate that acknowledges his/her changed sex or gender identity will be issued to him/her (GI Act, s29O, s29Q)</w:t>
      </w:r>
      <w:r w:rsidR="00D75422">
        <w:rPr>
          <w:rFonts w:ascii="Arial" w:hAnsi="Arial" w:cs="Arial"/>
          <w:szCs w:val="24"/>
          <w:lang w:val="en-GB"/>
        </w:rPr>
        <w:t>.</w:t>
      </w:r>
    </w:p>
    <w:p w:rsidR="00E707B2" w:rsidRPr="00181CF2" w:rsidRDefault="00E707B2" w:rsidP="00C445BE">
      <w:pPr>
        <w:tabs>
          <w:tab w:val="left" w:pos="709"/>
        </w:tabs>
        <w:adjustRightInd w:val="0"/>
        <w:snapToGrid w:val="0"/>
        <w:jc w:val="both"/>
        <w:rPr>
          <w:rFonts w:ascii="Arial" w:hAnsi="Arial" w:cs="Arial"/>
          <w:i/>
          <w:szCs w:val="24"/>
          <w:lang w:val="en-GB"/>
        </w:rPr>
      </w:pPr>
    </w:p>
    <w:p w:rsidR="00C445BE" w:rsidRPr="0028108F" w:rsidRDefault="00E707B2" w:rsidP="00C445BE">
      <w:pPr>
        <w:tabs>
          <w:tab w:val="left" w:pos="709"/>
        </w:tabs>
        <w:adjustRightInd w:val="0"/>
        <w:snapToGrid w:val="0"/>
        <w:jc w:val="both"/>
        <w:rPr>
          <w:rFonts w:ascii="Arial" w:hAnsi="Arial" w:cs="Arial"/>
          <w:i/>
          <w:szCs w:val="24"/>
          <w:lang w:val="en-GB"/>
        </w:rPr>
      </w:pPr>
      <w:r w:rsidRPr="00C57CE1">
        <w:rPr>
          <w:rFonts w:ascii="Arial" w:hAnsi="Arial" w:cs="Arial"/>
          <w:i/>
          <w:szCs w:val="24"/>
          <w:lang w:val="en-GB"/>
        </w:rPr>
        <w:t>Requirement of “sufficient amount of appropriate clinical treatment” carried out anywhere</w:t>
      </w:r>
    </w:p>
    <w:p w:rsidR="00C445BE" w:rsidRPr="0028108F" w:rsidRDefault="00C445BE" w:rsidP="00C445BE">
      <w:pPr>
        <w:tabs>
          <w:tab w:val="left" w:pos="709"/>
        </w:tabs>
        <w:adjustRightInd w:val="0"/>
        <w:snapToGrid w:val="0"/>
        <w:jc w:val="both"/>
        <w:rPr>
          <w:rFonts w:ascii="Arial" w:hAnsi="Arial" w:cs="Arial"/>
          <w:szCs w:val="24"/>
          <w:lang w:val="en-GB"/>
        </w:rPr>
      </w:pPr>
    </w:p>
    <w:p w:rsidR="00010F88" w:rsidRPr="00181CF2" w:rsidRDefault="00010F88"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For an application to succeed, the applicant must show to the satisfaction of the Registrar that </w:t>
      </w:r>
      <w:r w:rsidRPr="00181CF2">
        <w:rPr>
          <w:rFonts w:ascii="Arial" w:hAnsi="Arial" w:cs="Arial"/>
          <w:szCs w:val="24"/>
          <w:lang w:val="en-GB"/>
        </w:rPr>
        <w:t>he/she</w:t>
      </w:r>
      <w:r w:rsidRPr="0028108F">
        <w:rPr>
          <w:rFonts w:ascii="Arial" w:hAnsi="Arial" w:cs="Arial"/>
          <w:szCs w:val="24"/>
          <w:lang w:val="en-GB"/>
        </w:rPr>
        <w:t xml:space="preserve"> has undertaken a sufficient amount of appropriate clinical treatment in relation to </w:t>
      </w:r>
      <w:r w:rsidRPr="00181CF2">
        <w:rPr>
          <w:rFonts w:ascii="Arial" w:hAnsi="Arial" w:cs="Arial"/>
          <w:szCs w:val="24"/>
          <w:lang w:val="en-GB"/>
        </w:rPr>
        <w:t>his/her</w:t>
      </w:r>
      <w:r w:rsidRPr="0028108F">
        <w:rPr>
          <w:rFonts w:ascii="Arial" w:hAnsi="Arial" w:cs="Arial"/>
          <w:szCs w:val="24"/>
          <w:lang w:val="en-GB"/>
        </w:rPr>
        <w:t xml:space="preserve"> sex or gender identity</w:t>
      </w:r>
      <w:r w:rsidRPr="00181CF2">
        <w:rPr>
          <w:rFonts w:ascii="Arial" w:hAnsi="Arial" w:cs="Arial"/>
          <w:szCs w:val="24"/>
          <w:lang w:val="en-GB"/>
        </w:rPr>
        <w:t xml:space="preserve"> (GI Act, s29</w:t>
      </w:r>
      <w:r w:rsidR="00556F03">
        <w:rPr>
          <w:rFonts w:ascii="Arial" w:hAnsi="Arial" w:cs="Arial" w:hint="eastAsia"/>
          <w:szCs w:val="24"/>
          <w:lang w:val="en-GB"/>
        </w:rPr>
        <w:t>K</w:t>
      </w:r>
      <w:r w:rsidRPr="00181CF2">
        <w:rPr>
          <w:rFonts w:ascii="Arial" w:hAnsi="Arial" w:cs="Arial"/>
          <w:szCs w:val="24"/>
          <w:lang w:val="en-GB"/>
        </w:rPr>
        <w:t xml:space="preserve">).  </w:t>
      </w:r>
      <w:r w:rsidRPr="0028108F">
        <w:rPr>
          <w:rFonts w:ascii="Arial" w:hAnsi="Arial" w:cs="Arial"/>
          <w:szCs w:val="24"/>
          <w:lang w:val="en-GB"/>
        </w:rPr>
        <w:t>“Clinical treatment” has been defined to include clinical treatment that need not involve invasive medical treatment (and may include or be constituted by counselling)</w:t>
      </w:r>
      <w:r w:rsidRPr="00181CF2">
        <w:rPr>
          <w:rFonts w:ascii="Arial" w:hAnsi="Arial" w:cs="Arial"/>
          <w:szCs w:val="24"/>
          <w:lang w:val="en-GB"/>
        </w:rPr>
        <w:t xml:space="preserve"> (GI Act, </w:t>
      </w:r>
      <w:r w:rsidRPr="0028108F">
        <w:rPr>
          <w:rFonts w:ascii="Arial" w:hAnsi="Arial" w:cs="Arial"/>
          <w:szCs w:val="24"/>
          <w:lang w:val="en-GB"/>
        </w:rPr>
        <w:t>s29H(1)</w:t>
      </w:r>
      <w:r w:rsidRPr="00181CF2">
        <w:rPr>
          <w:rFonts w:ascii="Arial" w:hAnsi="Arial" w:cs="Arial"/>
          <w:szCs w:val="24"/>
          <w:lang w:val="en-GB"/>
        </w:rPr>
        <w:t>)</w:t>
      </w:r>
      <w:r w:rsidRPr="0028108F">
        <w:rPr>
          <w:rFonts w:ascii="Arial" w:hAnsi="Arial" w:cs="Arial"/>
          <w:szCs w:val="24"/>
          <w:lang w:val="en-GB"/>
        </w:rPr>
        <w:t xml:space="preserve">.  </w:t>
      </w:r>
      <w:r w:rsidRPr="00181CF2">
        <w:rPr>
          <w:rFonts w:ascii="Arial" w:hAnsi="Arial" w:cs="Arial"/>
          <w:szCs w:val="24"/>
          <w:lang w:val="en-GB"/>
        </w:rPr>
        <w:t>It is also provided that c</w:t>
      </w:r>
      <w:r w:rsidRPr="0028108F">
        <w:rPr>
          <w:rFonts w:ascii="Arial" w:hAnsi="Arial" w:cs="Arial"/>
          <w:szCs w:val="24"/>
          <w:lang w:val="en-GB"/>
        </w:rPr>
        <w:t>linical treatment constituted by counselling only cannot be regarded as a sufficient amount of appropriate clinical treatment unless the period of the counselling is equal to or greater than the prescribed period (</w:t>
      </w:r>
      <w:r w:rsidRPr="00181CF2">
        <w:rPr>
          <w:rFonts w:ascii="Arial" w:hAnsi="Arial" w:cs="Arial"/>
          <w:szCs w:val="24"/>
          <w:lang w:val="en-GB"/>
        </w:rPr>
        <w:t xml:space="preserve">GI Act, </w:t>
      </w:r>
      <w:r w:rsidRPr="0028108F">
        <w:rPr>
          <w:rFonts w:ascii="Arial" w:hAnsi="Arial" w:cs="Arial"/>
          <w:szCs w:val="24"/>
          <w:lang w:val="en-GB"/>
        </w:rPr>
        <w:t>s29H(3)).</w:t>
      </w:r>
    </w:p>
    <w:p w:rsidR="00010F88" w:rsidRPr="0028108F" w:rsidRDefault="00010F88" w:rsidP="0028108F">
      <w:pPr>
        <w:pStyle w:val="ListParagraph"/>
        <w:tabs>
          <w:tab w:val="left" w:pos="1418"/>
        </w:tabs>
        <w:adjustRightInd w:val="0"/>
        <w:snapToGrid w:val="0"/>
        <w:ind w:leftChars="0" w:left="0"/>
        <w:jc w:val="both"/>
        <w:rPr>
          <w:rFonts w:ascii="Arial" w:hAnsi="Arial" w:cs="Arial"/>
          <w:szCs w:val="24"/>
          <w:lang w:val="en-GB"/>
        </w:rPr>
      </w:pPr>
    </w:p>
    <w:p w:rsidR="00010F88" w:rsidRPr="0028108F" w:rsidRDefault="00010F88"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materials required to support an application are (</w:t>
      </w:r>
      <w:r w:rsidRPr="00181CF2">
        <w:rPr>
          <w:rFonts w:ascii="Arial" w:hAnsi="Arial" w:cs="Arial"/>
          <w:szCs w:val="24"/>
          <w:lang w:val="en-GB"/>
        </w:rPr>
        <w:t xml:space="preserve">GI Act, </w:t>
      </w:r>
      <w:r w:rsidRPr="0028108F">
        <w:rPr>
          <w:rFonts w:ascii="Arial" w:hAnsi="Arial" w:cs="Arial"/>
          <w:szCs w:val="24"/>
          <w:lang w:val="en-GB"/>
        </w:rPr>
        <w:t>s29K):</w:t>
      </w:r>
    </w:p>
    <w:p w:rsidR="00010F88" w:rsidRPr="0028108F" w:rsidRDefault="00010F88" w:rsidP="00010F88">
      <w:pPr>
        <w:tabs>
          <w:tab w:val="left" w:pos="743"/>
        </w:tabs>
        <w:autoSpaceDE w:val="0"/>
        <w:autoSpaceDN w:val="0"/>
        <w:adjustRightInd w:val="0"/>
        <w:snapToGrid w:val="0"/>
        <w:jc w:val="both"/>
        <w:rPr>
          <w:rFonts w:ascii="Arial" w:hAnsi="Arial" w:cs="Arial"/>
          <w:szCs w:val="24"/>
          <w:lang w:val="en-GB"/>
        </w:rPr>
      </w:pPr>
    </w:p>
    <w:p w:rsidR="00010F88" w:rsidRPr="00181CF2" w:rsidRDefault="00010F88" w:rsidP="0028108F">
      <w:pPr>
        <w:numPr>
          <w:ilvl w:val="0"/>
          <w:numId w:val="127"/>
        </w:numPr>
        <w:tabs>
          <w:tab w:val="left" w:pos="1701"/>
        </w:tabs>
        <w:autoSpaceDE w:val="0"/>
        <w:autoSpaceDN w:val="0"/>
        <w:adjustRightInd w:val="0"/>
        <w:snapToGrid w:val="0"/>
        <w:ind w:left="1701" w:hanging="850"/>
        <w:jc w:val="both"/>
        <w:rPr>
          <w:rFonts w:ascii="Arial" w:hAnsi="Arial" w:cs="Arial"/>
          <w:szCs w:val="24"/>
          <w:lang w:val="en-GB"/>
        </w:rPr>
      </w:pPr>
      <w:r w:rsidRPr="0028108F">
        <w:rPr>
          <w:rFonts w:ascii="Arial" w:hAnsi="Arial" w:cs="Arial"/>
          <w:szCs w:val="24"/>
          <w:lang w:val="en-GB"/>
        </w:rPr>
        <w:t>a statement by a medical practitioner or psychologist certifying that the person is receiving or has received appropriate clinical treatment in relation to the person</w:t>
      </w:r>
      <w:r w:rsidR="000B0569">
        <w:rPr>
          <w:rFonts w:ascii="Arial" w:hAnsi="Arial" w:cs="Arial"/>
          <w:szCs w:val="24"/>
          <w:lang w:val="en-GB"/>
        </w:rPr>
        <w:t>’</w:t>
      </w:r>
      <w:r w:rsidRPr="0028108F">
        <w:rPr>
          <w:rFonts w:ascii="Arial" w:hAnsi="Arial" w:cs="Arial"/>
          <w:szCs w:val="24"/>
          <w:lang w:val="en-GB"/>
        </w:rPr>
        <w:t>s sex or gender identity (including in the case of a person whose sex or gender identity has now become determinate); or</w:t>
      </w:r>
    </w:p>
    <w:p w:rsidR="00010F88" w:rsidRPr="000B0569" w:rsidRDefault="00010F88" w:rsidP="0028108F">
      <w:pPr>
        <w:tabs>
          <w:tab w:val="left" w:pos="1701"/>
        </w:tabs>
        <w:autoSpaceDE w:val="0"/>
        <w:autoSpaceDN w:val="0"/>
        <w:adjustRightInd w:val="0"/>
        <w:snapToGrid w:val="0"/>
        <w:ind w:left="1701"/>
        <w:jc w:val="both"/>
        <w:rPr>
          <w:rFonts w:ascii="Arial" w:hAnsi="Arial" w:cs="Arial"/>
          <w:szCs w:val="24"/>
          <w:lang w:val="en-GB"/>
        </w:rPr>
      </w:pPr>
    </w:p>
    <w:p w:rsidR="000B0569" w:rsidRDefault="00010F88" w:rsidP="0028108F">
      <w:pPr>
        <w:numPr>
          <w:ilvl w:val="0"/>
          <w:numId w:val="127"/>
        </w:numPr>
        <w:tabs>
          <w:tab w:val="left" w:pos="1701"/>
        </w:tabs>
        <w:autoSpaceDE w:val="0"/>
        <w:autoSpaceDN w:val="0"/>
        <w:adjustRightInd w:val="0"/>
        <w:snapToGrid w:val="0"/>
        <w:ind w:left="1701" w:hanging="850"/>
        <w:jc w:val="both"/>
        <w:rPr>
          <w:rFonts w:ascii="Arial" w:hAnsi="Arial" w:cs="Arial"/>
          <w:szCs w:val="24"/>
          <w:lang w:val="en-GB"/>
        </w:rPr>
      </w:pPr>
      <w:r w:rsidRPr="0028108F">
        <w:rPr>
          <w:rFonts w:ascii="Arial" w:hAnsi="Arial" w:cs="Arial"/>
          <w:szCs w:val="24"/>
          <w:lang w:val="en-GB"/>
        </w:rPr>
        <w:t>in the case of an applicant in relation to whom</w:t>
      </w:r>
    </w:p>
    <w:p w:rsidR="00010F88" w:rsidRPr="0028108F" w:rsidRDefault="00010F88" w:rsidP="008813DE">
      <w:pPr>
        <w:tabs>
          <w:tab w:val="left" w:pos="1701"/>
        </w:tabs>
        <w:autoSpaceDE w:val="0"/>
        <w:autoSpaceDN w:val="0"/>
        <w:adjustRightInd w:val="0"/>
        <w:snapToGrid w:val="0"/>
        <w:ind w:left="1701"/>
        <w:jc w:val="both"/>
        <w:rPr>
          <w:rFonts w:ascii="Arial" w:hAnsi="Arial" w:cs="Arial"/>
          <w:szCs w:val="24"/>
          <w:lang w:val="en-GB"/>
        </w:rPr>
      </w:pPr>
      <w:r w:rsidRPr="0028108F">
        <w:rPr>
          <w:rFonts w:ascii="Arial" w:hAnsi="Arial" w:cs="Arial"/>
          <w:szCs w:val="24"/>
          <w:lang w:val="en-GB"/>
        </w:rPr>
        <w:t xml:space="preserve"> </w:t>
      </w:r>
    </w:p>
    <w:p w:rsidR="000B0569" w:rsidRDefault="00010F88" w:rsidP="0028108F">
      <w:pPr>
        <w:tabs>
          <w:tab w:val="left" w:pos="1701"/>
        </w:tabs>
        <w:autoSpaceDE w:val="0"/>
        <w:autoSpaceDN w:val="0"/>
        <w:adjustRightInd w:val="0"/>
        <w:snapToGrid w:val="0"/>
        <w:ind w:leftChars="-295" w:left="2410" w:hangingChars="1299" w:hanging="3118"/>
        <w:jc w:val="both"/>
        <w:rPr>
          <w:rFonts w:ascii="Arial" w:hAnsi="Arial" w:cs="Arial"/>
          <w:szCs w:val="24"/>
          <w:lang w:val="en-GB"/>
        </w:rPr>
      </w:pPr>
      <w:r w:rsidRPr="00181CF2">
        <w:rPr>
          <w:rFonts w:ascii="Arial" w:hAnsi="Arial" w:cs="Arial"/>
          <w:szCs w:val="24"/>
          <w:lang w:val="en-GB"/>
        </w:rPr>
        <w:tab/>
      </w:r>
      <w:r w:rsidRPr="0028108F">
        <w:rPr>
          <w:rFonts w:ascii="Arial" w:hAnsi="Arial" w:cs="Arial"/>
          <w:szCs w:val="24"/>
          <w:lang w:val="en-GB"/>
        </w:rPr>
        <w:t xml:space="preserve">(I) </w:t>
      </w:r>
      <w:r w:rsidRPr="00181CF2">
        <w:rPr>
          <w:rFonts w:ascii="Arial" w:hAnsi="Arial" w:cs="Arial"/>
          <w:szCs w:val="24"/>
          <w:lang w:val="en-GB"/>
        </w:rPr>
        <w:tab/>
      </w:r>
      <w:r w:rsidRPr="0028108F">
        <w:rPr>
          <w:rFonts w:ascii="Arial" w:hAnsi="Arial" w:cs="Arial"/>
          <w:szCs w:val="24"/>
          <w:lang w:val="en-GB"/>
        </w:rPr>
        <w:t xml:space="preserve">a designated certificate relating to the recognition of sex or gender identity issued under the law of another jurisdiction and recognised by the Registrar for the purposes of the </w:t>
      </w:r>
      <w:r w:rsidRPr="00181CF2">
        <w:rPr>
          <w:rFonts w:ascii="Arial" w:hAnsi="Arial" w:cs="Arial"/>
          <w:szCs w:val="24"/>
          <w:lang w:val="en-GB"/>
        </w:rPr>
        <w:t xml:space="preserve">GI </w:t>
      </w:r>
      <w:r w:rsidRPr="0028108F">
        <w:rPr>
          <w:rFonts w:ascii="Arial" w:hAnsi="Arial" w:cs="Arial"/>
          <w:szCs w:val="24"/>
          <w:lang w:val="en-GB"/>
        </w:rPr>
        <w:t>Act</w:t>
      </w:r>
      <w:r w:rsidRPr="00181CF2">
        <w:rPr>
          <w:rFonts w:ascii="Arial" w:hAnsi="Arial" w:cs="Arial"/>
          <w:szCs w:val="24"/>
          <w:lang w:val="en-GB"/>
        </w:rPr>
        <w:t>;</w:t>
      </w:r>
      <w:r w:rsidRPr="0028108F">
        <w:rPr>
          <w:rFonts w:ascii="Arial" w:hAnsi="Arial" w:cs="Arial"/>
          <w:szCs w:val="24"/>
          <w:lang w:val="en-GB"/>
        </w:rPr>
        <w:t xml:space="preserve"> or</w:t>
      </w:r>
    </w:p>
    <w:p w:rsidR="00010F88" w:rsidRPr="0028108F" w:rsidRDefault="00010F88" w:rsidP="0028108F">
      <w:pPr>
        <w:tabs>
          <w:tab w:val="left" w:pos="1701"/>
        </w:tabs>
        <w:autoSpaceDE w:val="0"/>
        <w:autoSpaceDN w:val="0"/>
        <w:adjustRightInd w:val="0"/>
        <w:snapToGrid w:val="0"/>
        <w:ind w:leftChars="-295" w:left="2410" w:hangingChars="1299" w:hanging="3118"/>
        <w:jc w:val="both"/>
        <w:rPr>
          <w:rFonts w:ascii="Arial" w:hAnsi="Arial" w:cs="Arial"/>
          <w:szCs w:val="24"/>
          <w:lang w:val="en-GB"/>
        </w:rPr>
      </w:pPr>
      <w:r w:rsidRPr="0028108F">
        <w:rPr>
          <w:rFonts w:ascii="Arial" w:hAnsi="Arial" w:cs="Arial"/>
          <w:szCs w:val="24"/>
          <w:lang w:val="en-GB"/>
        </w:rPr>
        <w:t xml:space="preserve"> </w:t>
      </w:r>
    </w:p>
    <w:p w:rsidR="00010F88" w:rsidRPr="00181CF2" w:rsidRDefault="00010F88" w:rsidP="0028108F">
      <w:pPr>
        <w:tabs>
          <w:tab w:val="left" w:pos="1701"/>
        </w:tabs>
        <w:autoSpaceDE w:val="0"/>
        <w:autoSpaceDN w:val="0"/>
        <w:adjustRightInd w:val="0"/>
        <w:snapToGrid w:val="0"/>
        <w:ind w:leftChars="-295" w:left="2410" w:hangingChars="1299" w:hanging="3118"/>
        <w:jc w:val="both"/>
        <w:rPr>
          <w:rFonts w:ascii="Arial" w:hAnsi="Arial" w:cs="Arial"/>
          <w:szCs w:val="24"/>
          <w:lang w:val="en-GB"/>
        </w:rPr>
      </w:pPr>
      <w:r w:rsidRPr="00181CF2">
        <w:rPr>
          <w:rFonts w:ascii="Arial" w:hAnsi="Arial" w:cs="Arial"/>
          <w:szCs w:val="24"/>
          <w:lang w:val="en-GB"/>
        </w:rPr>
        <w:tab/>
      </w:r>
      <w:r w:rsidRPr="0028108F">
        <w:rPr>
          <w:rFonts w:ascii="Arial" w:hAnsi="Arial" w:cs="Arial"/>
          <w:szCs w:val="24"/>
          <w:lang w:val="en-GB"/>
        </w:rPr>
        <w:t xml:space="preserve">(II) </w:t>
      </w:r>
      <w:r w:rsidRPr="00181CF2">
        <w:rPr>
          <w:rFonts w:ascii="Arial" w:hAnsi="Arial" w:cs="Arial"/>
          <w:szCs w:val="24"/>
          <w:lang w:val="en-GB"/>
        </w:rPr>
        <w:tab/>
      </w:r>
      <w:r w:rsidRPr="0028108F">
        <w:rPr>
          <w:rFonts w:ascii="Arial" w:hAnsi="Arial" w:cs="Arial"/>
          <w:szCs w:val="24"/>
          <w:lang w:val="en-GB"/>
        </w:rPr>
        <w:t xml:space="preserve">a prescribed notification issued by another registering authority and recognised by the Registrar for the purposes of the </w:t>
      </w:r>
      <w:r w:rsidRPr="00181CF2">
        <w:rPr>
          <w:rFonts w:ascii="Arial" w:hAnsi="Arial" w:cs="Arial"/>
          <w:szCs w:val="24"/>
          <w:lang w:val="en-GB"/>
        </w:rPr>
        <w:t xml:space="preserve">GI </w:t>
      </w:r>
      <w:r w:rsidRPr="0028108F">
        <w:rPr>
          <w:rFonts w:ascii="Arial" w:hAnsi="Arial" w:cs="Arial"/>
          <w:szCs w:val="24"/>
          <w:lang w:val="en-GB"/>
        </w:rPr>
        <w:t>Act has been issued</w:t>
      </w:r>
      <w:r w:rsidRPr="00181CF2">
        <w:rPr>
          <w:rFonts w:ascii="Arial" w:hAnsi="Arial" w:cs="Arial"/>
          <w:szCs w:val="24"/>
          <w:lang w:val="en-GB"/>
        </w:rPr>
        <w:t>:</w:t>
      </w:r>
    </w:p>
    <w:p w:rsidR="00010F88" w:rsidRPr="0028108F" w:rsidRDefault="00010F88" w:rsidP="0028108F">
      <w:pPr>
        <w:tabs>
          <w:tab w:val="left" w:pos="1701"/>
        </w:tabs>
        <w:autoSpaceDE w:val="0"/>
        <w:autoSpaceDN w:val="0"/>
        <w:adjustRightInd w:val="0"/>
        <w:snapToGrid w:val="0"/>
        <w:ind w:leftChars="-295" w:left="2410" w:hangingChars="1299" w:hanging="3118"/>
        <w:jc w:val="both"/>
        <w:rPr>
          <w:rFonts w:ascii="Arial" w:hAnsi="Arial" w:cs="Arial"/>
          <w:szCs w:val="24"/>
          <w:lang w:val="en-GB"/>
        </w:rPr>
      </w:pPr>
    </w:p>
    <w:p w:rsidR="00010F88" w:rsidRPr="00181CF2" w:rsidRDefault="00010F88" w:rsidP="0028108F">
      <w:pPr>
        <w:numPr>
          <w:ilvl w:val="0"/>
          <w:numId w:val="128"/>
        </w:numPr>
        <w:tabs>
          <w:tab w:val="left" w:pos="743"/>
          <w:tab w:val="left" w:pos="2835"/>
        </w:tabs>
        <w:autoSpaceDE w:val="0"/>
        <w:autoSpaceDN w:val="0"/>
        <w:adjustRightInd w:val="0"/>
        <w:snapToGrid w:val="0"/>
        <w:ind w:left="2835" w:hanging="425"/>
        <w:jc w:val="both"/>
        <w:rPr>
          <w:rFonts w:ascii="Arial" w:hAnsi="Arial" w:cs="Arial"/>
          <w:szCs w:val="24"/>
          <w:lang w:val="en-GB"/>
        </w:rPr>
      </w:pPr>
      <w:r w:rsidRPr="0028108F">
        <w:rPr>
          <w:rFonts w:ascii="Arial" w:hAnsi="Arial" w:cs="Arial"/>
          <w:szCs w:val="24"/>
          <w:lang w:val="en-GB"/>
        </w:rPr>
        <w:t xml:space="preserve">a copy of the designated certificate or prescribed notification (as the case may be); and </w:t>
      </w:r>
    </w:p>
    <w:p w:rsidR="00010F88" w:rsidRPr="0028108F" w:rsidRDefault="00010F88" w:rsidP="0028108F">
      <w:pPr>
        <w:tabs>
          <w:tab w:val="left" w:pos="743"/>
          <w:tab w:val="left" w:pos="2835"/>
        </w:tabs>
        <w:autoSpaceDE w:val="0"/>
        <w:autoSpaceDN w:val="0"/>
        <w:adjustRightInd w:val="0"/>
        <w:snapToGrid w:val="0"/>
        <w:ind w:left="2835"/>
        <w:jc w:val="both"/>
        <w:rPr>
          <w:rFonts w:ascii="Arial" w:hAnsi="Arial" w:cs="Arial"/>
          <w:szCs w:val="24"/>
          <w:lang w:val="en-GB"/>
        </w:rPr>
      </w:pPr>
    </w:p>
    <w:p w:rsidR="00010F88" w:rsidRPr="00181CF2" w:rsidRDefault="00010F88" w:rsidP="0028108F">
      <w:pPr>
        <w:numPr>
          <w:ilvl w:val="0"/>
          <w:numId w:val="128"/>
        </w:numPr>
        <w:tabs>
          <w:tab w:val="left" w:pos="743"/>
          <w:tab w:val="left" w:pos="2835"/>
        </w:tabs>
        <w:autoSpaceDE w:val="0"/>
        <w:autoSpaceDN w:val="0"/>
        <w:adjustRightInd w:val="0"/>
        <w:snapToGrid w:val="0"/>
        <w:ind w:left="2835" w:hanging="425"/>
        <w:jc w:val="both"/>
        <w:rPr>
          <w:rFonts w:ascii="Arial" w:hAnsi="Arial" w:cs="Arial"/>
          <w:szCs w:val="24"/>
          <w:lang w:val="en-GB"/>
        </w:rPr>
      </w:pPr>
      <w:r w:rsidRPr="0028108F">
        <w:rPr>
          <w:rFonts w:ascii="Arial" w:hAnsi="Arial" w:cs="Arial"/>
          <w:szCs w:val="24"/>
          <w:lang w:val="en-GB"/>
        </w:rPr>
        <w:t xml:space="preserve">a statement— </w:t>
      </w:r>
    </w:p>
    <w:p w:rsidR="00010F88" w:rsidRPr="0028108F" w:rsidRDefault="00010F88" w:rsidP="0028108F">
      <w:pPr>
        <w:tabs>
          <w:tab w:val="left" w:pos="743"/>
          <w:tab w:val="left" w:pos="2835"/>
        </w:tabs>
        <w:autoSpaceDE w:val="0"/>
        <w:autoSpaceDN w:val="0"/>
        <w:adjustRightInd w:val="0"/>
        <w:snapToGrid w:val="0"/>
        <w:ind w:left="2835"/>
        <w:jc w:val="both"/>
        <w:rPr>
          <w:rFonts w:ascii="Arial" w:hAnsi="Arial" w:cs="Arial"/>
          <w:szCs w:val="24"/>
          <w:lang w:val="en-GB"/>
        </w:rPr>
      </w:pPr>
    </w:p>
    <w:p w:rsidR="00010F88" w:rsidRPr="00181CF2" w:rsidRDefault="00010F88" w:rsidP="007943A5">
      <w:pPr>
        <w:pStyle w:val="ListParagraph"/>
        <w:numPr>
          <w:ilvl w:val="0"/>
          <w:numId w:val="129"/>
        </w:numPr>
        <w:tabs>
          <w:tab w:val="left" w:pos="743"/>
        </w:tabs>
        <w:autoSpaceDE w:val="0"/>
        <w:autoSpaceDN w:val="0"/>
        <w:adjustRightInd w:val="0"/>
        <w:snapToGrid w:val="0"/>
        <w:ind w:leftChars="0" w:hanging="526"/>
        <w:jc w:val="both"/>
        <w:rPr>
          <w:rFonts w:ascii="Arial" w:hAnsi="Arial" w:cs="Arial"/>
          <w:szCs w:val="24"/>
          <w:lang w:val="en-GB"/>
        </w:rPr>
      </w:pPr>
      <w:r w:rsidRPr="0028108F">
        <w:rPr>
          <w:rFonts w:ascii="Arial" w:hAnsi="Arial" w:cs="Arial"/>
          <w:szCs w:val="24"/>
          <w:lang w:val="en-GB"/>
        </w:rPr>
        <w:t xml:space="preserve">of a kind described in paragraph (a); or </w:t>
      </w:r>
    </w:p>
    <w:p w:rsidR="00010F88" w:rsidRPr="0028108F" w:rsidRDefault="00010F88" w:rsidP="0028108F">
      <w:pPr>
        <w:pStyle w:val="ListParagraph"/>
        <w:tabs>
          <w:tab w:val="left" w:pos="743"/>
        </w:tabs>
        <w:autoSpaceDE w:val="0"/>
        <w:autoSpaceDN w:val="0"/>
        <w:adjustRightInd w:val="0"/>
        <w:snapToGrid w:val="0"/>
        <w:ind w:leftChars="0" w:left="3359" w:firstLine="1022"/>
        <w:jc w:val="both"/>
        <w:rPr>
          <w:rFonts w:ascii="Arial" w:hAnsi="Arial" w:cs="Arial"/>
          <w:szCs w:val="24"/>
          <w:lang w:val="en-GB"/>
        </w:rPr>
      </w:pPr>
    </w:p>
    <w:p w:rsidR="00010F88" w:rsidRPr="0028108F" w:rsidRDefault="00010F88" w:rsidP="0028108F">
      <w:pPr>
        <w:pStyle w:val="ListParagraph"/>
        <w:numPr>
          <w:ilvl w:val="0"/>
          <w:numId w:val="129"/>
        </w:numPr>
        <w:tabs>
          <w:tab w:val="left" w:pos="743"/>
        </w:tabs>
        <w:autoSpaceDE w:val="0"/>
        <w:autoSpaceDN w:val="0"/>
        <w:adjustRightInd w:val="0"/>
        <w:snapToGrid w:val="0"/>
        <w:ind w:leftChars="0"/>
        <w:jc w:val="both"/>
        <w:rPr>
          <w:rFonts w:ascii="Arial" w:hAnsi="Arial" w:cs="Arial"/>
          <w:szCs w:val="24"/>
          <w:lang w:val="en-GB"/>
        </w:rPr>
      </w:pPr>
      <w:r w:rsidRPr="0028108F">
        <w:rPr>
          <w:rFonts w:ascii="Arial" w:hAnsi="Arial" w:cs="Arial"/>
          <w:szCs w:val="24"/>
          <w:lang w:val="en-GB"/>
        </w:rPr>
        <w:t>by a medical practitioner or psychologist certifying that the person is receiving or has received appropriate clinical treatment in the jurisdiction that issued the designated certificate or prescribed notification.</w:t>
      </w:r>
    </w:p>
    <w:p w:rsidR="00C445BE" w:rsidRPr="0028108F" w:rsidRDefault="00C445BE" w:rsidP="00C445BE">
      <w:pPr>
        <w:tabs>
          <w:tab w:val="left" w:pos="465"/>
        </w:tabs>
        <w:adjustRightInd w:val="0"/>
        <w:snapToGrid w:val="0"/>
        <w:jc w:val="both"/>
        <w:rPr>
          <w:rFonts w:ascii="Arial" w:hAnsi="Arial" w:cs="Arial"/>
          <w:i/>
          <w:szCs w:val="24"/>
          <w:lang w:val="en-GB"/>
        </w:rPr>
      </w:pPr>
      <w:r w:rsidRPr="00C57CE1">
        <w:rPr>
          <w:rFonts w:ascii="Arial" w:hAnsi="Arial" w:cs="Arial"/>
          <w:i/>
          <w:szCs w:val="24"/>
          <w:lang w:val="en-GB"/>
        </w:rPr>
        <w:lastRenderedPageBreak/>
        <w:t>No express “real life test” requirements</w:t>
      </w:r>
    </w:p>
    <w:p w:rsidR="00E707B2" w:rsidRPr="0028108F" w:rsidRDefault="00E707B2" w:rsidP="00C445BE">
      <w:pPr>
        <w:tabs>
          <w:tab w:val="left" w:pos="465"/>
        </w:tabs>
        <w:adjustRightInd w:val="0"/>
        <w:snapToGrid w:val="0"/>
        <w:jc w:val="both"/>
        <w:rPr>
          <w:rFonts w:ascii="Arial" w:hAnsi="Arial" w:cs="Arial"/>
          <w:i/>
          <w:szCs w:val="24"/>
          <w:lang w:val="en-GB"/>
        </w:rPr>
      </w:pPr>
    </w:p>
    <w:p w:rsidR="00C445BE" w:rsidRPr="0028108F" w:rsidRDefault="00E707B2"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There are no express requirements for a real life test or stated intention to live in the opposite gender under the GI Act.</w:t>
      </w:r>
    </w:p>
    <w:p w:rsidR="00C445BE" w:rsidRPr="0028108F" w:rsidRDefault="00C445BE" w:rsidP="00C445BE">
      <w:pPr>
        <w:tabs>
          <w:tab w:val="left" w:pos="709"/>
        </w:tabs>
        <w:adjustRightInd w:val="0"/>
        <w:snapToGrid w:val="0"/>
        <w:jc w:val="both"/>
        <w:rPr>
          <w:rFonts w:ascii="Arial" w:hAnsi="Arial" w:cs="Arial"/>
          <w:color w:val="000000"/>
          <w:kern w:val="0"/>
          <w:szCs w:val="24"/>
          <w:lang w:val="en-GB"/>
        </w:rPr>
      </w:pPr>
    </w:p>
    <w:p w:rsidR="00C445BE" w:rsidRPr="0028108F" w:rsidRDefault="00C445BE" w:rsidP="00C445BE">
      <w:pPr>
        <w:tabs>
          <w:tab w:val="left" w:pos="709"/>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Scope of the gender recognition</w:t>
      </w:r>
    </w:p>
    <w:p w:rsidR="00F9529F" w:rsidRPr="0028108F" w:rsidRDefault="00F9529F" w:rsidP="00C445BE">
      <w:pPr>
        <w:tabs>
          <w:tab w:val="left" w:pos="709"/>
        </w:tabs>
        <w:adjustRightInd w:val="0"/>
        <w:snapToGrid w:val="0"/>
        <w:jc w:val="both"/>
        <w:rPr>
          <w:rFonts w:ascii="Arial" w:hAnsi="Arial" w:cs="Arial"/>
          <w:i/>
          <w:color w:val="000000"/>
          <w:kern w:val="0"/>
          <w:szCs w:val="24"/>
          <w:lang w:val="en-GB"/>
        </w:rPr>
      </w:pPr>
    </w:p>
    <w:p w:rsidR="00F9529F" w:rsidRPr="0028108F" w:rsidRDefault="00F9529F" w:rsidP="0028108F">
      <w:pPr>
        <w:pStyle w:val="ListParagraph"/>
        <w:numPr>
          <w:ilvl w:val="0"/>
          <w:numId w:val="14"/>
        </w:numPr>
        <w:tabs>
          <w:tab w:val="left" w:pos="1418"/>
        </w:tabs>
        <w:adjustRightInd w:val="0"/>
        <w:snapToGrid w:val="0"/>
        <w:ind w:leftChars="0" w:left="0" w:firstLine="0"/>
        <w:jc w:val="both"/>
        <w:rPr>
          <w:rFonts w:ascii="Arial" w:hAnsi="Arial" w:cs="Arial"/>
          <w:sz w:val="22"/>
          <w:lang w:val="en-GB"/>
        </w:rPr>
      </w:pPr>
      <w:r w:rsidRPr="0028108F">
        <w:rPr>
          <w:rFonts w:ascii="Arial" w:hAnsi="Arial" w:cs="Arial"/>
          <w:szCs w:val="24"/>
          <w:lang w:val="en-GB"/>
        </w:rPr>
        <w:t xml:space="preserve">For a successful applicant who has a birth registry in South Australia, the Registrar will make an entry about the change of his/her sex or gender identity in the Register (GI Act, s29L).  </w:t>
      </w:r>
    </w:p>
    <w:p w:rsidR="00F9529F" w:rsidRPr="0028108F" w:rsidRDefault="00F9529F" w:rsidP="0028108F">
      <w:pPr>
        <w:pStyle w:val="ListParagraph"/>
        <w:tabs>
          <w:tab w:val="left" w:pos="1418"/>
        </w:tabs>
        <w:adjustRightInd w:val="0"/>
        <w:snapToGrid w:val="0"/>
        <w:ind w:leftChars="0" w:left="0"/>
        <w:jc w:val="both"/>
        <w:rPr>
          <w:rFonts w:ascii="Arial" w:hAnsi="Arial" w:cs="Arial"/>
          <w:sz w:val="22"/>
          <w:lang w:val="en-GB"/>
        </w:rPr>
      </w:pPr>
    </w:p>
    <w:p w:rsidR="00192576" w:rsidRPr="0028108F" w:rsidRDefault="00F9529F" w:rsidP="0028108F">
      <w:pPr>
        <w:pStyle w:val="ListParagraph"/>
        <w:numPr>
          <w:ilvl w:val="0"/>
          <w:numId w:val="14"/>
        </w:numPr>
        <w:tabs>
          <w:tab w:val="left" w:pos="1418"/>
        </w:tabs>
        <w:adjustRightInd w:val="0"/>
        <w:snapToGrid w:val="0"/>
        <w:ind w:leftChars="0" w:left="0" w:firstLine="0"/>
        <w:jc w:val="both"/>
        <w:rPr>
          <w:rFonts w:ascii="Arial" w:hAnsi="Arial" w:cs="Arial"/>
          <w:sz w:val="22"/>
          <w:lang w:val="en-GB"/>
        </w:rPr>
      </w:pPr>
      <w:r w:rsidRPr="00181CF2">
        <w:rPr>
          <w:rFonts w:ascii="Arial" w:hAnsi="Arial" w:cs="Arial"/>
          <w:szCs w:val="24"/>
          <w:lang w:val="en-GB"/>
        </w:rPr>
        <w:t>It is provided that a</w:t>
      </w:r>
      <w:r w:rsidRPr="0028108F">
        <w:rPr>
          <w:rFonts w:ascii="Arial" w:hAnsi="Arial" w:cs="Arial"/>
          <w:szCs w:val="24"/>
          <w:lang w:val="en-GB"/>
        </w:rPr>
        <w:t xml:space="preserve"> person who has changed their sex or gender identity or has been issued an identity acknowledgement certificate</w:t>
      </w:r>
      <w:r w:rsidRPr="00181CF2">
        <w:rPr>
          <w:rFonts w:ascii="Arial" w:hAnsi="Arial" w:cs="Arial"/>
          <w:szCs w:val="24"/>
          <w:lang w:val="en-GB"/>
        </w:rPr>
        <w:t xml:space="preserve"> (for an applicant born outside Australia)</w:t>
      </w:r>
      <w:r w:rsidRPr="0028108F">
        <w:rPr>
          <w:rFonts w:ascii="Arial" w:hAnsi="Arial" w:cs="Arial"/>
          <w:szCs w:val="24"/>
          <w:lang w:val="en-GB"/>
        </w:rPr>
        <w:t xml:space="preserve"> will be taken to have satisfied a requirement under another Act or law that the person provide details of their sex if the person provides details of their sex or gender identity as changed (</w:t>
      </w:r>
      <w:r w:rsidRPr="00181CF2">
        <w:rPr>
          <w:rFonts w:ascii="Arial" w:hAnsi="Arial" w:cs="Arial"/>
          <w:szCs w:val="24"/>
          <w:lang w:val="en-GB"/>
        </w:rPr>
        <w:t xml:space="preserve">GI Act, </w:t>
      </w:r>
      <w:r w:rsidRPr="0028108F">
        <w:rPr>
          <w:rFonts w:ascii="Arial" w:hAnsi="Arial" w:cs="Arial"/>
          <w:szCs w:val="24"/>
          <w:lang w:val="en-GB"/>
        </w:rPr>
        <w:t>s29U)</w:t>
      </w:r>
      <w:r w:rsidR="00BF0950">
        <w:rPr>
          <w:rFonts w:ascii="Arial" w:hAnsi="Arial" w:cs="Arial" w:hint="eastAsia"/>
          <w:szCs w:val="24"/>
          <w:lang w:val="en-GB"/>
        </w:rPr>
        <w:t>.</w:t>
      </w:r>
      <w:r w:rsidR="00192576" w:rsidRPr="00181CF2">
        <w:rPr>
          <w:rFonts w:ascii="Arial" w:hAnsi="Arial" w:cs="Arial"/>
          <w:szCs w:val="24"/>
          <w:lang w:val="en-GB"/>
        </w:rPr>
        <w:t xml:space="preserve">  </w:t>
      </w:r>
      <w:r w:rsidR="00192576" w:rsidRPr="00C57CE1">
        <w:rPr>
          <w:rFonts w:ascii="Arial" w:hAnsi="Arial" w:cs="Arial"/>
          <w:szCs w:val="24"/>
          <w:lang w:val="en-GB"/>
        </w:rPr>
        <w:t>From the language of this provision, the GI Act appea</w:t>
      </w:r>
      <w:r w:rsidR="00192576" w:rsidRPr="0028108F">
        <w:rPr>
          <w:rFonts w:ascii="Arial" w:hAnsi="Arial" w:cs="Arial"/>
          <w:szCs w:val="24"/>
          <w:lang w:val="en-GB"/>
        </w:rPr>
        <w:t>rs to cover all areas of law affected by gender.</w:t>
      </w:r>
    </w:p>
    <w:p w:rsidR="003D52D7" w:rsidRPr="0028108F" w:rsidRDefault="00F9529F" w:rsidP="0028108F">
      <w:pPr>
        <w:pStyle w:val="ListParagraph"/>
        <w:tabs>
          <w:tab w:val="left" w:pos="1418"/>
        </w:tabs>
        <w:adjustRightInd w:val="0"/>
        <w:snapToGrid w:val="0"/>
        <w:ind w:leftChars="0" w:left="0"/>
        <w:jc w:val="both"/>
        <w:rPr>
          <w:rFonts w:ascii="Arial" w:hAnsi="Arial" w:cs="Arial"/>
          <w:sz w:val="22"/>
          <w:lang w:val="en-GB"/>
        </w:rPr>
      </w:pPr>
      <w:r w:rsidRPr="00181CF2">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Examples of Asia-Pacific jurisdictions with other types of procedures to recognise gender change in official documents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Singapore</w:t>
      </w:r>
    </w:p>
    <w:p w:rsidR="003D52D7" w:rsidRPr="0028108F" w:rsidRDefault="003D52D7" w:rsidP="003D52D7">
      <w:pPr>
        <w:adjustRightInd w:val="0"/>
        <w:snapToGrid w:val="0"/>
        <w:jc w:val="both"/>
        <w:rPr>
          <w:rFonts w:ascii="Arial" w:hAnsi="Arial" w:cs="Arial"/>
          <w:i/>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Types of measures allowing rectification of official documents</w:t>
      </w:r>
    </w:p>
    <w:p w:rsidR="003D52D7" w:rsidRPr="0028108F" w:rsidRDefault="003D52D7" w:rsidP="003D52D7">
      <w:pPr>
        <w:adjustRightInd w:val="0"/>
        <w:snapToGrid w:val="0"/>
        <w:jc w:val="both"/>
        <w:rPr>
          <w:rFonts w:ascii="Arial" w:hAnsi="Arial" w:cs="Arial"/>
          <w:b/>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Similar to the position in Hong Kong, Singapore does not have a formal gender recognition scheme, and a person’s birth certificate cannot be changed unless it can be shown that it contained an error of fact or substance.</w:t>
      </w:r>
      <w:r w:rsidRPr="0028108F">
        <w:rPr>
          <w:rStyle w:val="FootnoteReference"/>
          <w:rFonts w:ascii="Arial" w:hAnsi="Arial" w:cs="Arial"/>
          <w:szCs w:val="24"/>
          <w:lang w:val="en-GB"/>
        </w:rPr>
        <w:footnoteReference w:id="271"/>
      </w:r>
      <w:r w:rsidRPr="0028108F">
        <w:rPr>
          <w:rFonts w:ascii="Arial" w:hAnsi="Arial" w:cs="Arial"/>
          <w:szCs w:val="24"/>
          <w:lang w:val="en-GB"/>
        </w:rPr>
        <w:t xml:space="preserve">  Therefore, even after sex reassignment surgery, a transsexual person’s birth certificate cannot be changed in Singapore.  However, Singapore permits, amongst other things, changes to certain identity documents to reflect a transsexual person’s acquired gender. </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000000"/>
          <w:kern w:val="0"/>
          <w:szCs w:val="24"/>
          <w:lang w:val="en-GB"/>
        </w:rPr>
      </w:pPr>
      <w:r w:rsidRPr="0028108F">
        <w:rPr>
          <w:rFonts w:ascii="Arial" w:hAnsi="Arial" w:cs="Arial"/>
          <w:szCs w:val="24"/>
          <w:lang w:val="en-GB"/>
        </w:rPr>
        <w:t>Under Regulation 10 of the National Registration Regulations (NRR), a</w:t>
      </w:r>
      <w:r w:rsidRPr="0028108F">
        <w:rPr>
          <w:rFonts w:ascii="Arial" w:hAnsi="Arial" w:cs="Arial"/>
          <w:b/>
          <w:szCs w:val="24"/>
          <w:lang w:val="en-GB"/>
        </w:rPr>
        <w:t xml:space="preserve"> </w:t>
      </w:r>
      <w:r w:rsidRPr="0028108F">
        <w:rPr>
          <w:rFonts w:ascii="Arial" w:hAnsi="Arial" w:cs="Arial"/>
          <w:szCs w:val="24"/>
          <w:lang w:val="en-GB"/>
        </w:rPr>
        <w:t>Singapore citizen in possession of a National Registration Identity Card (NRIC)</w:t>
      </w:r>
      <w:r w:rsidRPr="0028108F">
        <w:rPr>
          <w:rFonts w:ascii="Arial" w:hAnsi="Arial" w:cs="Arial"/>
          <w:b/>
          <w:szCs w:val="24"/>
          <w:lang w:val="en-GB"/>
        </w:rPr>
        <w:t xml:space="preserve"> </w:t>
      </w:r>
      <w:r w:rsidRPr="0028108F">
        <w:rPr>
          <w:rFonts w:ascii="Arial" w:hAnsi="Arial" w:cs="Arial"/>
          <w:szCs w:val="24"/>
          <w:lang w:val="en-GB"/>
        </w:rPr>
        <w:t xml:space="preserve">containing particulars, other than address, which are to the person’s knowledge incorrect, should report this within 28 days </w:t>
      </w:r>
      <w:r w:rsidRPr="0028108F">
        <w:rPr>
          <w:rFonts w:ascii="Arial" w:hAnsi="Arial" w:cs="Arial"/>
          <w:color w:val="000000"/>
          <w:szCs w:val="24"/>
          <w:lang w:val="en-GB"/>
        </w:rPr>
        <w:t>and apply for a replacement</w:t>
      </w:r>
      <w:r w:rsidRPr="0028108F">
        <w:rPr>
          <w:rFonts w:ascii="Arial" w:hAnsi="Arial" w:cs="Arial"/>
          <w:szCs w:val="24"/>
          <w:lang w:val="en-GB"/>
        </w:rPr>
        <w:t xml:space="preserve">.  A policy has been instituted since about 1973 to require </w:t>
      </w:r>
      <w:r w:rsidRPr="0028108F">
        <w:rPr>
          <w:rFonts w:ascii="Arial" w:hAnsi="Arial" w:cs="Arial"/>
          <w:i/>
          <w:szCs w:val="24"/>
          <w:lang w:val="en-GB"/>
        </w:rPr>
        <w:t>“sex reassignment procedure”</w:t>
      </w:r>
      <w:r w:rsidRPr="0028108F">
        <w:rPr>
          <w:rFonts w:ascii="Arial" w:hAnsi="Arial" w:cs="Arial"/>
          <w:szCs w:val="24"/>
          <w:lang w:val="en-GB"/>
        </w:rPr>
        <w:t xml:space="preserve"> to have been completed before a person may change his or her gender status on the NRIC.</w:t>
      </w:r>
      <w:r w:rsidRPr="0028108F">
        <w:rPr>
          <w:rStyle w:val="FootnoteReference"/>
          <w:rFonts w:ascii="Arial" w:hAnsi="Arial" w:cs="Arial"/>
          <w:szCs w:val="24"/>
          <w:lang w:val="en-GB"/>
        </w:rPr>
        <w:footnoteReference w:id="272"/>
      </w:r>
      <w:r w:rsidRPr="0028108F">
        <w:rPr>
          <w:rFonts w:ascii="Arial" w:hAnsi="Arial" w:cs="Arial"/>
          <w:szCs w:val="24"/>
          <w:lang w:val="en-GB"/>
        </w:rPr>
        <w:t xml:space="preserve">  </w:t>
      </w:r>
      <w:r w:rsidRPr="0028108F">
        <w:rPr>
          <w:rFonts w:ascii="Arial" w:hAnsi="Arial" w:cs="Arial"/>
          <w:color w:val="000000"/>
          <w:kern w:val="0"/>
          <w:szCs w:val="24"/>
          <w:lang w:val="en-GB"/>
        </w:rPr>
        <w:t xml:space="preserve">Thus, although not expressly reflected in the law or official guidelines, it would appear that transsexual people who have undergone </w:t>
      </w:r>
      <w:r w:rsidR="00C92B10" w:rsidRPr="0028108F">
        <w:rPr>
          <w:rFonts w:ascii="Arial" w:hAnsi="Arial" w:cs="Arial"/>
          <w:i/>
          <w:szCs w:val="24"/>
          <w:lang w:val="en-GB"/>
        </w:rPr>
        <w:t>“sex reassignment procedure”</w:t>
      </w:r>
      <w:r w:rsidRPr="0028108F">
        <w:rPr>
          <w:rFonts w:ascii="Arial" w:hAnsi="Arial" w:cs="Arial"/>
          <w:color w:val="000000"/>
          <w:kern w:val="0"/>
          <w:szCs w:val="24"/>
          <w:lang w:val="en-GB"/>
        </w:rPr>
        <w:t xml:space="preserve"> can </w:t>
      </w:r>
      <w:r w:rsidRPr="0028108F">
        <w:rPr>
          <w:rFonts w:ascii="Arial" w:hAnsi="Arial" w:cs="Arial"/>
          <w:color w:val="000000"/>
          <w:kern w:val="0"/>
          <w:szCs w:val="24"/>
          <w:lang w:val="en-GB"/>
        </w:rPr>
        <w:lastRenderedPageBreak/>
        <w:t>apply to change the sex entry on the NRIC pursuant to Regulation 10.</w:t>
      </w:r>
      <w:r w:rsidRPr="0028108F">
        <w:rPr>
          <w:rStyle w:val="FootnoteReference"/>
          <w:rFonts w:ascii="Arial" w:hAnsi="Arial" w:cs="Arial"/>
          <w:szCs w:val="24"/>
          <w:lang w:val="en-GB"/>
        </w:rPr>
        <w:footnoteReference w:id="273"/>
      </w:r>
      <w:r w:rsidRPr="0028108F">
        <w:rPr>
          <w:rFonts w:ascii="Arial" w:hAnsi="Arial" w:cs="Arial"/>
          <w:color w:val="000000"/>
          <w:kern w:val="0"/>
          <w:szCs w:val="24"/>
          <w:lang w:val="en-GB"/>
        </w:rPr>
        <w:t xml:space="preserve">  The application is to be made to the registration officer, defined in section 1 of the National Registration Act (Cap 201) as the Commissioner of National Registration, the Deputy Commissioner of National Registration, any Assistant Commissioner of National Registration and any person appointed by the Commissioner of National Registration as a registration officer under section 3 of the Act.</w:t>
      </w:r>
    </w:p>
    <w:p w:rsidR="003D52D7" w:rsidRPr="0028108F" w:rsidRDefault="003D52D7" w:rsidP="003D52D7">
      <w:pPr>
        <w:tabs>
          <w:tab w:val="left" w:pos="851"/>
        </w:tabs>
        <w:adjustRightInd w:val="0"/>
        <w:snapToGrid w:val="0"/>
        <w:jc w:val="both"/>
        <w:rPr>
          <w:rFonts w:ascii="Arial" w:hAnsi="Arial" w:cs="Arial"/>
          <w:color w:val="000000"/>
          <w:kern w:val="0"/>
          <w:szCs w:val="24"/>
          <w:lang w:val="en-GB"/>
        </w:rPr>
      </w:pPr>
    </w:p>
    <w:p w:rsidR="003D52D7" w:rsidRPr="0028108F" w:rsidRDefault="003D52D7" w:rsidP="003D52D7">
      <w:pPr>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 xml:space="preserve">Requirements for </w:t>
      </w:r>
      <w:r w:rsidRPr="0028108F">
        <w:rPr>
          <w:rFonts w:ascii="Arial" w:hAnsi="Arial" w:cs="Arial"/>
          <w:i/>
          <w:szCs w:val="24"/>
          <w:lang w:val="en-GB"/>
        </w:rPr>
        <w:t>alteration of gender marker on</w:t>
      </w:r>
      <w:r w:rsidRPr="0028108F">
        <w:rPr>
          <w:rFonts w:ascii="Arial" w:hAnsi="Arial" w:cs="Arial"/>
          <w:i/>
          <w:color w:val="000000"/>
          <w:kern w:val="0"/>
          <w:szCs w:val="24"/>
          <w:lang w:val="en-GB"/>
        </w:rPr>
        <w:t xml:space="preserve"> identity document</w:t>
      </w:r>
    </w:p>
    <w:p w:rsidR="003D52D7" w:rsidRPr="0028108F" w:rsidRDefault="003D52D7" w:rsidP="003D52D7">
      <w:pPr>
        <w:tabs>
          <w:tab w:val="left" w:pos="851"/>
        </w:tabs>
        <w:adjustRightInd w:val="0"/>
        <w:snapToGrid w:val="0"/>
        <w:jc w:val="both"/>
        <w:rPr>
          <w:rFonts w:ascii="Arial" w:hAnsi="Arial" w:cs="Arial"/>
          <w:color w:val="000000"/>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000000"/>
          <w:kern w:val="0"/>
          <w:szCs w:val="24"/>
          <w:lang w:val="en-GB"/>
        </w:rPr>
      </w:pPr>
      <w:r w:rsidRPr="0028108F">
        <w:rPr>
          <w:rFonts w:ascii="Arial" w:hAnsi="Arial" w:cs="Arial"/>
          <w:szCs w:val="24"/>
          <w:lang w:val="en-GB"/>
        </w:rPr>
        <w:t xml:space="preserve">For the application to change the sex </w:t>
      </w:r>
      <w:r w:rsidRPr="0028108F">
        <w:rPr>
          <w:rFonts w:ascii="Arial" w:hAnsi="Arial" w:cs="Arial"/>
          <w:color w:val="000000"/>
          <w:kern w:val="0"/>
          <w:szCs w:val="24"/>
          <w:lang w:val="en-GB"/>
        </w:rPr>
        <w:t>entry</w:t>
      </w:r>
      <w:r w:rsidRPr="0028108F">
        <w:rPr>
          <w:rFonts w:ascii="Arial" w:hAnsi="Arial" w:cs="Arial"/>
          <w:szCs w:val="24"/>
          <w:lang w:val="en-GB"/>
        </w:rPr>
        <w:t xml:space="preserve"> on the NRIC, there appears to be no express requirement as to the age, residence (</w:t>
      </w:r>
      <w:r w:rsidR="00D6311F" w:rsidRPr="0028108F">
        <w:rPr>
          <w:rFonts w:ascii="Arial" w:hAnsi="Arial" w:cs="Arial"/>
          <w:szCs w:val="24"/>
          <w:lang w:val="en-GB"/>
        </w:rPr>
        <w:t>ie</w:t>
      </w:r>
      <w:r w:rsidRPr="0028108F">
        <w:rPr>
          <w:rFonts w:ascii="Arial" w:hAnsi="Arial" w:cs="Arial"/>
          <w:szCs w:val="24"/>
          <w:lang w:val="en-GB"/>
        </w:rPr>
        <w:t xml:space="preserve">, NRIC can be issued to Singaporean citizens or non-citizens (Regulation 5(2) of NRR)), citizenship, marital status, parental status, gender dysphoria diagnosis, the </w:t>
      </w:r>
      <w:r w:rsidRPr="0028108F">
        <w:rPr>
          <w:rFonts w:ascii="Arial" w:hAnsi="Arial" w:cs="Arial"/>
          <w:i/>
          <w:szCs w:val="24"/>
          <w:lang w:val="en-GB"/>
        </w:rPr>
        <w:t>“</w:t>
      </w:r>
      <w:r w:rsidR="00043FD0" w:rsidRPr="0028108F">
        <w:rPr>
          <w:rFonts w:ascii="Arial" w:hAnsi="Arial" w:cs="Arial"/>
          <w:i/>
          <w:szCs w:val="24"/>
          <w:lang w:val="en-GB"/>
        </w:rPr>
        <w:t>real life test</w:t>
      </w:r>
      <w:r w:rsidRPr="0028108F">
        <w:rPr>
          <w:rFonts w:ascii="Arial" w:hAnsi="Arial" w:cs="Arial"/>
          <w:i/>
          <w:szCs w:val="24"/>
          <w:lang w:val="en-GB"/>
        </w:rPr>
        <w:t>”</w:t>
      </w:r>
      <w:r w:rsidRPr="0028108F">
        <w:rPr>
          <w:rFonts w:ascii="Arial" w:hAnsi="Arial" w:cs="Arial"/>
          <w:szCs w:val="24"/>
          <w:lang w:val="en-GB"/>
        </w:rPr>
        <w:t xml:space="preserve"> or an intention to live in the opposite gender.  The position in relation to the status of a pre-existing marriage is unclear.</w:t>
      </w:r>
    </w:p>
    <w:p w:rsidR="003D52D7" w:rsidRPr="0028108F" w:rsidRDefault="003D52D7" w:rsidP="003D52D7">
      <w:pPr>
        <w:tabs>
          <w:tab w:val="left" w:pos="851"/>
        </w:tabs>
        <w:adjustRightInd w:val="0"/>
        <w:snapToGrid w:val="0"/>
        <w:jc w:val="both"/>
        <w:rPr>
          <w:rFonts w:ascii="Arial" w:hAnsi="Arial" w:cs="Arial"/>
          <w:color w:val="000000"/>
          <w:kern w:val="0"/>
          <w:szCs w:val="24"/>
          <w:lang w:val="en-GB"/>
        </w:rPr>
      </w:pPr>
    </w:p>
    <w:p w:rsidR="003D52D7" w:rsidRPr="00181CF2" w:rsidRDefault="003D52D7" w:rsidP="003D52D7">
      <w:pPr>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Impact of the Women’s Charter</w:t>
      </w:r>
      <w:r w:rsidRPr="00181CF2">
        <w:rPr>
          <w:rStyle w:val="FootnoteReference"/>
          <w:rFonts w:ascii="Arial" w:hAnsi="Arial" w:cs="Arial"/>
          <w:szCs w:val="24"/>
          <w:lang w:val="en-GB"/>
        </w:rPr>
        <w:footnoteReference w:id="274"/>
      </w:r>
    </w:p>
    <w:p w:rsidR="003D52D7" w:rsidRPr="00C57CE1" w:rsidRDefault="003D52D7" w:rsidP="003D52D7">
      <w:pPr>
        <w:tabs>
          <w:tab w:val="left" w:pos="851"/>
        </w:tabs>
        <w:adjustRightInd w:val="0"/>
        <w:snapToGrid w:val="0"/>
        <w:jc w:val="both"/>
        <w:rPr>
          <w:rFonts w:ascii="Arial" w:hAnsi="Arial" w:cs="Arial"/>
          <w:color w:val="000000"/>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w:t>
      </w:r>
      <w:r w:rsidRPr="0028108F">
        <w:rPr>
          <w:rFonts w:ascii="Arial" w:hAnsi="Arial" w:cs="Arial"/>
          <w:i/>
          <w:szCs w:val="24"/>
          <w:lang w:val="en-GB"/>
        </w:rPr>
        <w:t xml:space="preserve">Lim Ying </w:t>
      </w:r>
      <w:r w:rsidRPr="008813DE">
        <w:rPr>
          <w:rFonts w:ascii="Arial" w:hAnsi="Arial" w:cs="Arial"/>
          <w:i/>
          <w:szCs w:val="24"/>
          <w:lang w:val="en-GB"/>
        </w:rPr>
        <w:t>v</w:t>
      </w:r>
      <w:r w:rsidRPr="00181CF2">
        <w:rPr>
          <w:rFonts w:ascii="Arial" w:hAnsi="Arial" w:cs="Arial"/>
          <w:i/>
          <w:szCs w:val="24"/>
          <w:lang w:val="en-GB"/>
        </w:rPr>
        <w:t xml:space="preserve"> Hiok Kian Ming Eric</w:t>
      </w:r>
      <w:r w:rsidR="00C9791A" w:rsidRPr="00C57CE1">
        <w:rPr>
          <w:rFonts w:ascii="Arial" w:hAnsi="Arial" w:cs="Arial"/>
          <w:i/>
          <w:szCs w:val="24"/>
          <w:lang w:val="en-GB"/>
        </w:rPr>
        <w:t xml:space="preserve"> </w:t>
      </w:r>
      <w:r w:rsidR="00C9791A" w:rsidRPr="0028108F">
        <w:rPr>
          <w:rFonts w:ascii="Arial" w:hAnsi="Arial" w:cs="Arial"/>
          <w:szCs w:val="24"/>
          <w:lang w:val="en-GB"/>
        </w:rPr>
        <w:t>(1991)</w:t>
      </w:r>
      <w:r w:rsidRPr="0028108F">
        <w:rPr>
          <w:rFonts w:ascii="Arial" w:hAnsi="Arial" w:cs="Arial"/>
          <w:i/>
          <w:szCs w:val="24"/>
          <w:lang w:val="en-GB"/>
        </w:rPr>
        <w:t>,</w:t>
      </w:r>
      <w:r w:rsidRPr="0028108F">
        <w:rPr>
          <w:rStyle w:val="FootnoteReference"/>
          <w:rFonts w:ascii="Arial" w:hAnsi="Arial" w:cs="Arial"/>
          <w:szCs w:val="24"/>
          <w:lang w:val="en-GB"/>
        </w:rPr>
        <w:footnoteReference w:id="275"/>
      </w:r>
      <w:r w:rsidRPr="0028108F">
        <w:rPr>
          <w:rFonts w:ascii="Arial" w:hAnsi="Arial" w:cs="Arial"/>
          <w:i/>
          <w:szCs w:val="24"/>
          <w:lang w:val="en-GB"/>
        </w:rPr>
        <w:t xml:space="preserve"> </w:t>
      </w:r>
      <w:r w:rsidRPr="0028108F">
        <w:rPr>
          <w:rFonts w:ascii="Arial" w:hAnsi="Arial" w:cs="Arial"/>
          <w:szCs w:val="24"/>
          <w:lang w:val="en-GB"/>
        </w:rPr>
        <w:t>the Singapore High Court ruled that marriage between a post-operative female-to-male transsexual and a woman was null and void as the former person must, for the purposes of contracting a monogamous marriage, be regarded as a woman.</w:t>
      </w:r>
      <w:r w:rsidRPr="0028108F">
        <w:rPr>
          <w:rStyle w:val="FootnoteReference"/>
          <w:rFonts w:ascii="Arial" w:hAnsi="Arial" w:cs="Arial"/>
          <w:szCs w:val="24"/>
          <w:lang w:val="en-GB"/>
        </w:rPr>
        <w:footnoteReference w:id="276"/>
      </w:r>
      <w:r w:rsidRPr="0028108F">
        <w:rPr>
          <w:rFonts w:ascii="Arial" w:hAnsi="Arial" w:cs="Arial"/>
          <w:szCs w:val="24"/>
          <w:lang w:val="en-GB"/>
        </w:rPr>
        <w:t xml:space="preserve">  This stance was effectively overruled in 1996, however, when amendments were passed to the Women’s Charter (Cap 353) which permitted marriage between a person who had undergone </w:t>
      </w:r>
      <w:r w:rsidR="003500E7">
        <w:rPr>
          <w:rFonts w:ascii="Arial" w:hAnsi="Arial" w:cs="Arial"/>
          <w:szCs w:val="24"/>
          <w:lang w:val="en-GB"/>
        </w:rPr>
        <w:t>sex reassignment procedure</w:t>
      </w:r>
      <w:r w:rsidRPr="0028108F">
        <w:rPr>
          <w:rFonts w:ascii="Arial" w:hAnsi="Arial" w:cs="Arial"/>
          <w:szCs w:val="24"/>
          <w:lang w:val="en-GB"/>
        </w:rPr>
        <w:t xml:space="preserve"> and any person of the opposite sex, on the basis that the stated sex of a person at the time of marriage is </w:t>
      </w:r>
      <w:r w:rsidRPr="0028108F">
        <w:rPr>
          <w:rFonts w:ascii="Arial" w:hAnsi="Arial" w:cs="Arial"/>
          <w:i/>
          <w:szCs w:val="24"/>
          <w:lang w:val="en-GB"/>
        </w:rPr>
        <w:t>prima facie</w:t>
      </w:r>
      <w:r w:rsidRPr="0028108F">
        <w:rPr>
          <w:rStyle w:val="FootnoteReference"/>
          <w:rFonts w:ascii="Arial" w:hAnsi="Arial" w:cs="Arial"/>
          <w:szCs w:val="24"/>
          <w:lang w:val="en-GB"/>
        </w:rPr>
        <w:footnoteReference w:id="277"/>
      </w:r>
      <w:r w:rsidRPr="0028108F">
        <w:rPr>
          <w:rFonts w:ascii="Arial" w:hAnsi="Arial" w:cs="Arial"/>
          <w:szCs w:val="24"/>
          <w:lang w:val="en-GB"/>
        </w:rPr>
        <w:t xml:space="preserve"> that stated on his or her NRIC.</w:t>
      </w:r>
      <w:r w:rsidRPr="0028108F">
        <w:rPr>
          <w:rStyle w:val="FootnoteReference"/>
          <w:rFonts w:ascii="Arial" w:hAnsi="Arial" w:cs="Arial"/>
          <w:szCs w:val="24"/>
          <w:lang w:val="en-GB"/>
        </w:rPr>
        <w:footnoteReference w:id="278"/>
      </w:r>
      <w:r w:rsidRPr="0028108F">
        <w:rPr>
          <w:rFonts w:ascii="Arial" w:hAnsi="Arial" w:cs="Arial"/>
          <w:szCs w:val="24"/>
          <w:lang w:val="en-GB"/>
        </w:rPr>
        <w:t xml:space="preserve">  It has </w:t>
      </w:r>
      <w:r w:rsidRPr="0028108F">
        <w:rPr>
          <w:rFonts w:ascii="Arial" w:hAnsi="Arial" w:cs="Arial"/>
          <w:szCs w:val="24"/>
          <w:lang w:val="en-GB"/>
        </w:rPr>
        <w:lastRenderedPageBreak/>
        <w:t xml:space="preserve">been observed that there is no requirement in relation to age, residency, citizenship, parental status, gender dysphoria diagnosis, the </w:t>
      </w:r>
      <w:r w:rsidR="00043FD0" w:rsidRPr="0028108F">
        <w:rPr>
          <w:rFonts w:ascii="Arial" w:hAnsi="Arial" w:cs="Arial"/>
          <w:szCs w:val="24"/>
          <w:lang w:val="en-GB"/>
        </w:rPr>
        <w:t>real life test</w:t>
      </w:r>
      <w:r w:rsidRPr="0028108F">
        <w:rPr>
          <w:rFonts w:ascii="Arial" w:hAnsi="Arial" w:cs="Arial"/>
          <w:szCs w:val="24"/>
          <w:lang w:val="en-GB"/>
        </w:rPr>
        <w:t>, or intention to live in the opposite gender under the Women’s Charter provisions on marriage.</w:t>
      </w:r>
      <w:r w:rsidRPr="0028108F">
        <w:rPr>
          <w:rStyle w:val="FootnoteReference"/>
          <w:rFonts w:ascii="Arial" w:hAnsi="Arial" w:cs="Arial"/>
          <w:szCs w:val="24"/>
          <w:lang w:val="en-GB"/>
        </w:rPr>
        <w:footnoteReference w:id="279"/>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One apparent difficulty with the relevant laws in Singapore, however, is that </w:t>
      </w:r>
      <w:r w:rsidR="00C92B10" w:rsidRPr="0028108F">
        <w:rPr>
          <w:rFonts w:ascii="Arial" w:hAnsi="Arial" w:cs="Arial"/>
          <w:i/>
          <w:szCs w:val="24"/>
          <w:lang w:val="en-GB"/>
        </w:rPr>
        <w:t>“sex reassignment procedure”</w:t>
      </w:r>
      <w:r w:rsidRPr="0028108F">
        <w:rPr>
          <w:rFonts w:ascii="Arial" w:hAnsi="Arial" w:cs="Arial"/>
          <w:szCs w:val="24"/>
          <w:lang w:val="en-GB"/>
        </w:rPr>
        <w:t xml:space="preserve"> is not defined in the legislation, nor do there appear to be administrative guidelines on this issue, so it may be unclear as to the extent of surgery or other medical treatment required (</w:t>
      </w:r>
      <w:r w:rsidR="00D6311F" w:rsidRPr="0028108F">
        <w:rPr>
          <w:rFonts w:ascii="Arial" w:hAnsi="Arial" w:cs="Arial"/>
          <w:szCs w:val="24"/>
          <w:lang w:val="en-GB"/>
        </w:rPr>
        <w:t>eg</w:t>
      </w:r>
      <w:r w:rsidRPr="0028108F">
        <w:rPr>
          <w:rFonts w:ascii="Arial" w:hAnsi="Arial" w:cs="Arial"/>
          <w:szCs w:val="24"/>
          <w:lang w:val="en-GB"/>
        </w:rPr>
        <w:t xml:space="preserve">, hormonal treatment) in order for a person to be recognised as having undergone </w:t>
      </w:r>
      <w:r w:rsidR="00C92B10" w:rsidRPr="0028108F">
        <w:rPr>
          <w:rFonts w:ascii="Arial" w:hAnsi="Arial" w:cs="Arial"/>
          <w:i/>
          <w:szCs w:val="24"/>
          <w:lang w:val="en-GB"/>
        </w:rPr>
        <w:t>“sex reassignment procedure”</w:t>
      </w:r>
      <w:r w:rsidRPr="0028108F">
        <w:rPr>
          <w:rFonts w:ascii="Arial" w:hAnsi="Arial" w:cs="Arial"/>
          <w:szCs w:val="24"/>
          <w:lang w:val="en-GB"/>
        </w:rPr>
        <w:t xml:space="preserve"> for the purposes of the law.  It has been observed by one writer that </w:t>
      </w:r>
      <w:r w:rsidRPr="0028108F">
        <w:rPr>
          <w:rFonts w:ascii="Arial" w:hAnsi="Arial" w:cs="Arial"/>
          <w:i/>
          <w:szCs w:val="24"/>
          <w:lang w:val="en-GB"/>
        </w:rPr>
        <w:t>“infertility”</w:t>
      </w:r>
      <w:r w:rsidRPr="0028108F">
        <w:rPr>
          <w:rFonts w:ascii="Arial" w:hAnsi="Arial" w:cs="Arial"/>
          <w:szCs w:val="24"/>
          <w:lang w:val="en-GB"/>
        </w:rPr>
        <w:t xml:space="preserve"> is not required for the purposes of the Women’s Charter provisions on marriage.</w:t>
      </w:r>
      <w:r w:rsidRPr="0028108F">
        <w:rPr>
          <w:rStyle w:val="FootnoteReference"/>
          <w:rFonts w:ascii="Arial" w:hAnsi="Arial" w:cs="Arial"/>
          <w:szCs w:val="24"/>
          <w:lang w:val="en-GB"/>
        </w:rPr>
        <w:footnoteReference w:id="280"/>
      </w:r>
    </w:p>
    <w:p w:rsidR="003D52D7" w:rsidRPr="0028108F" w:rsidRDefault="003D52D7" w:rsidP="003D52D7">
      <w:pPr>
        <w:tabs>
          <w:tab w:val="left" w:pos="851"/>
        </w:tabs>
        <w:adjustRightInd w:val="0"/>
        <w:snapToGrid w:val="0"/>
        <w:jc w:val="both"/>
        <w:rPr>
          <w:rFonts w:ascii="Arial" w:hAnsi="Arial" w:cs="Arial"/>
          <w:szCs w:val="24"/>
          <w:lang w:val="en-GB"/>
        </w:rPr>
      </w:pPr>
    </w:p>
    <w:p w:rsidR="003D52D7" w:rsidRPr="0028108F" w:rsidRDefault="003D52D7" w:rsidP="003D52D7">
      <w:pPr>
        <w:tabs>
          <w:tab w:val="left" w:pos="851"/>
        </w:tabs>
        <w:adjustRightInd w:val="0"/>
        <w:snapToGrid w:val="0"/>
        <w:jc w:val="both"/>
        <w:rPr>
          <w:rFonts w:ascii="Arial" w:hAnsi="Arial" w:cs="Arial"/>
          <w:i/>
          <w:color w:val="000000"/>
          <w:kern w:val="0"/>
          <w:szCs w:val="24"/>
          <w:lang w:val="en-GB"/>
        </w:rPr>
      </w:pPr>
      <w:r w:rsidRPr="0028108F">
        <w:rPr>
          <w:rFonts w:ascii="Arial" w:hAnsi="Arial" w:cs="Arial"/>
          <w:i/>
          <w:color w:val="000000"/>
          <w:kern w:val="0"/>
          <w:szCs w:val="24"/>
          <w:lang w:val="en-GB"/>
        </w:rPr>
        <w:t>Sex reassignment procedure and the impact of sexual offences legislation</w:t>
      </w:r>
    </w:p>
    <w:p w:rsidR="003D52D7" w:rsidRPr="0028108F" w:rsidRDefault="003D52D7" w:rsidP="003D52D7">
      <w:pPr>
        <w:tabs>
          <w:tab w:val="left" w:pos="851"/>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October 2007, Singapore enacted the Penal Code (Amendment) Act 2007, leading to, amongst other changes, a new section 377C of the Penal Code (Cap 224) which legally recognises the reassigned sex of transsexual persons who have undergone </w:t>
      </w:r>
      <w:r w:rsidR="00C92B10" w:rsidRPr="0028108F">
        <w:rPr>
          <w:rFonts w:ascii="Arial" w:hAnsi="Arial" w:cs="Arial"/>
          <w:i/>
          <w:szCs w:val="24"/>
          <w:lang w:val="en-GB"/>
        </w:rPr>
        <w:t>“sex reassignment procedure”</w:t>
      </w:r>
      <w:r w:rsidRPr="0028108F">
        <w:rPr>
          <w:rFonts w:ascii="Arial" w:hAnsi="Arial" w:cs="Arial"/>
          <w:szCs w:val="24"/>
          <w:lang w:val="en-GB"/>
        </w:rPr>
        <w:t xml:space="preserve"> for the purposes of sexual offences.  Section 377C of the Penal Code provides that for sexual offences, references to a part of the body stated in the provisions relating to the sexual offence (section 375 to section 377B) (</w:t>
      </w:r>
      <w:r w:rsidR="00D6311F" w:rsidRPr="0028108F">
        <w:rPr>
          <w:rFonts w:ascii="Arial" w:hAnsi="Arial" w:cs="Arial"/>
          <w:szCs w:val="24"/>
          <w:lang w:val="en-GB"/>
        </w:rPr>
        <w:t>eg</w:t>
      </w:r>
      <w:r w:rsidRPr="0028108F">
        <w:rPr>
          <w:rFonts w:ascii="Arial" w:hAnsi="Arial" w:cs="Arial"/>
          <w:szCs w:val="24"/>
          <w:lang w:val="en-GB"/>
        </w:rPr>
        <w:t>, penis, vagina, anus or mouth)</w:t>
      </w:r>
      <w:r w:rsidRPr="0028108F">
        <w:rPr>
          <w:rFonts w:ascii="Arial" w:hAnsi="Arial" w:cs="Arial"/>
          <w:szCs w:val="24"/>
          <w:vertAlign w:val="superscript"/>
          <w:lang w:val="en-GB"/>
        </w:rPr>
        <w:footnoteReference w:id="281"/>
      </w:r>
      <w:r w:rsidRPr="0028108F">
        <w:rPr>
          <w:rFonts w:ascii="Arial" w:hAnsi="Arial" w:cs="Arial"/>
          <w:szCs w:val="24"/>
          <w:lang w:val="en-GB"/>
        </w:rPr>
        <w:t xml:space="preserve"> include references to a part which is surgically constructed, in particular, through a sex reassignment procedure (section 377C(b)).  It is also provided that the sex of a person as stated in that person’s NRIC at the time the sexual activity took place shall be </w:t>
      </w:r>
      <w:r w:rsidRPr="0028108F">
        <w:rPr>
          <w:rFonts w:ascii="Arial" w:hAnsi="Arial" w:cs="Arial"/>
          <w:i/>
          <w:szCs w:val="24"/>
          <w:lang w:val="en-GB"/>
        </w:rPr>
        <w:t>prima facie</w:t>
      </w:r>
      <w:r w:rsidRPr="0028108F">
        <w:rPr>
          <w:rFonts w:ascii="Arial" w:hAnsi="Arial" w:cs="Arial"/>
          <w:szCs w:val="24"/>
          <w:lang w:val="en-GB"/>
        </w:rPr>
        <w:t xml:space="preserve"> evidence of the sex of that person, and a person who has undergone </w:t>
      </w:r>
      <w:r w:rsidR="00C92B10" w:rsidRPr="0028108F">
        <w:rPr>
          <w:rFonts w:ascii="Arial" w:hAnsi="Arial" w:cs="Arial"/>
          <w:i/>
          <w:szCs w:val="24"/>
          <w:lang w:val="en-GB"/>
        </w:rPr>
        <w:t>“sex reassignment procedure”</w:t>
      </w:r>
      <w:r w:rsidRPr="0028108F">
        <w:rPr>
          <w:rFonts w:ascii="Arial" w:hAnsi="Arial" w:cs="Arial"/>
          <w:szCs w:val="24"/>
          <w:lang w:val="en-GB"/>
        </w:rPr>
        <w:t xml:space="preserve"> shall be identified as being of the sex to which that person has been reassigned (section 377C(c)).</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szCs w:val="24"/>
          <w:lang w:val="en-GB"/>
        </w:rPr>
      </w:pPr>
      <w:r w:rsidRPr="0028108F">
        <w:rPr>
          <w:rFonts w:ascii="Arial" w:hAnsi="Arial" w:cs="Arial"/>
          <w:szCs w:val="24"/>
          <w:lang w:val="en-GB"/>
        </w:rPr>
        <w:t xml:space="preserve">Following a gender change to the NRIC under the NRR, a person is treated according to their acquired gender for many purposes including </w:t>
      </w:r>
      <w:r w:rsidRPr="0028108F">
        <w:rPr>
          <w:rFonts w:ascii="Arial" w:hAnsi="Arial" w:cs="Arial"/>
          <w:szCs w:val="24"/>
          <w:lang w:val="en-GB"/>
        </w:rPr>
        <w:lastRenderedPageBreak/>
        <w:t>military service, marriage (section 12 of the Women’s Charter) and criminal punishment for sexual offences</w:t>
      </w:r>
      <w:r w:rsidRPr="0028108F">
        <w:rPr>
          <w:rStyle w:val="FootnoteReference"/>
          <w:rFonts w:ascii="Arial" w:hAnsi="Arial" w:cs="Arial"/>
          <w:szCs w:val="24"/>
          <w:lang w:val="en-GB"/>
        </w:rPr>
        <w:footnoteReference w:id="282"/>
      </w:r>
      <w:r w:rsidRPr="0028108F">
        <w:rPr>
          <w:rFonts w:ascii="Arial" w:hAnsi="Arial" w:cs="Arial"/>
          <w:szCs w:val="24"/>
          <w:lang w:val="en-GB"/>
        </w:rPr>
        <w:t xml:space="preserve"> (section 377C of the Penal Code).</w:t>
      </w:r>
      <w:r w:rsidRPr="0028108F">
        <w:rPr>
          <w:rFonts w:ascii="Arial" w:hAnsi="Arial" w:cs="Arial"/>
          <w:b/>
          <w:szCs w:val="24"/>
          <w:lang w:val="en-GB"/>
        </w:rPr>
        <w:t xml:space="preserve">  </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Impact on marriage, children, etc</w:t>
      </w:r>
      <w:r w:rsidR="00BE259B" w:rsidRPr="0028108F">
        <w:rPr>
          <w:rFonts w:ascii="Arial" w:hAnsi="Arial" w:cs="Arial"/>
          <w:i/>
          <w:szCs w:val="24"/>
          <w:lang w:val="en-GB"/>
        </w:rPr>
        <w:t>.</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szCs w:val="24"/>
          <w:lang w:val="en-GB"/>
        </w:rPr>
      </w:pPr>
      <w:r w:rsidRPr="0028108F">
        <w:rPr>
          <w:rFonts w:ascii="Arial" w:hAnsi="Arial" w:cs="Arial"/>
          <w:szCs w:val="24"/>
          <w:lang w:val="en-GB"/>
        </w:rPr>
        <w:t>It has been recognised that “</w:t>
      </w:r>
      <w:r w:rsidRPr="0028108F">
        <w:rPr>
          <w:rFonts w:ascii="Arial" w:hAnsi="Arial" w:cs="Arial"/>
          <w:i/>
          <w:szCs w:val="24"/>
          <w:lang w:val="en-GB"/>
        </w:rPr>
        <w:t>[t]he status of transsexual marriages in relation to laws regulating consummation of marriage and adultery, and whether these couples have the same opportunities as ‘normal’ couples to adopt and/or raise children via other means, remains unclear</w:t>
      </w:r>
      <w:r w:rsidRPr="0028108F">
        <w:rPr>
          <w:rFonts w:ascii="Arial" w:hAnsi="Arial" w:cs="Arial"/>
          <w:szCs w:val="24"/>
          <w:lang w:val="en-GB"/>
        </w:rPr>
        <w:t>”.</w:t>
      </w:r>
      <w:r w:rsidRPr="0028108F">
        <w:rPr>
          <w:rStyle w:val="FootnoteReference"/>
          <w:rFonts w:ascii="Arial" w:hAnsi="Arial" w:cs="Arial"/>
          <w:szCs w:val="24"/>
          <w:lang w:val="en-GB"/>
        </w:rPr>
        <w:footnoteReference w:id="283"/>
      </w:r>
      <w:r w:rsidRPr="0028108F">
        <w:rPr>
          <w:rFonts w:ascii="Arial" w:hAnsi="Arial" w:cs="Arial"/>
          <w:szCs w:val="24"/>
          <w:lang w:val="en-GB"/>
        </w:rPr>
        <w:t xml:space="preserve">  Further, it seems that in Singapore there are many areas of law in which transsexual individuals are still considered as being of their pre-operative gender.</w:t>
      </w:r>
      <w:r w:rsidRPr="0028108F">
        <w:rPr>
          <w:rStyle w:val="FootnoteReference"/>
          <w:rFonts w:ascii="Arial" w:hAnsi="Arial" w:cs="Arial"/>
          <w:szCs w:val="24"/>
          <w:lang w:val="en-GB"/>
        </w:rPr>
        <w:footnoteReference w:id="284"/>
      </w:r>
    </w:p>
    <w:p w:rsidR="003D52D7" w:rsidRPr="0028108F" w:rsidRDefault="003D52D7" w:rsidP="003D52D7">
      <w:pPr>
        <w:adjustRightInd w:val="0"/>
        <w:snapToGrid w:val="0"/>
        <w:jc w:val="both"/>
        <w:rPr>
          <w:rFonts w:ascii="Arial" w:hAnsi="Arial" w:cs="Arial"/>
          <w:b/>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Australian Capital Territory</w:t>
      </w:r>
    </w:p>
    <w:p w:rsidR="003D52D7" w:rsidRPr="0028108F" w:rsidRDefault="003D52D7" w:rsidP="003D52D7">
      <w:pPr>
        <w:adjustRightInd w:val="0"/>
        <w:snapToGrid w:val="0"/>
        <w:jc w:val="both"/>
        <w:rPr>
          <w:rFonts w:ascii="Arial" w:hAnsi="Arial" w:cs="Arial"/>
          <w:szCs w:val="24"/>
          <w:u w:val="single"/>
          <w:lang w:val="en-GB"/>
        </w:rPr>
      </w:pPr>
    </w:p>
    <w:p w:rsidR="003D52D7" w:rsidRPr="008813DE" w:rsidRDefault="003D52D7" w:rsidP="003D52D7">
      <w:pPr>
        <w:adjustRightInd w:val="0"/>
        <w:snapToGrid w:val="0"/>
        <w:jc w:val="both"/>
        <w:rPr>
          <w:rFonts w:ascii="Arial" w:hAnsi="Arial" w:cs="Arial"/>
          <w:i/>
          <w:szCs w:val="24"/>
          <w:lang w:val="en-GB"/>
        </w:rPr>
      </w:pPr>
      <w:r w:rsidRPr="008813DE">
        <w:rPr>
          <w:rFonts w:ascii="Arial" w:hAnsi="Arial" w:cs="Arial"/>
          <w:i/>
          <w:szCs w:val="24"/>
          <w:lang w:val="en-GB"/>
        </w:rPr>
        <w:t>Types of measures allowing rectification of official documents</w:t>
      </w:r>
    </w:p>
    <w:p w:rsidR="003D52D7" w:rsidRPr="0028108F" w:rsidRDefault="003D52D7" w:rsidP="003D52D7">
      <w:pPr>
        <w:adjustRightInd w:val="0"/>
        <w:snapToGrid w:val="0"/>
        <w:jc w:val="both"/>
        <w:rPr>
          <w:rFonts w:ascii="Arial" w:hAnsi="Arial" w:cs="Arial"/>
          <w:szCs w:val="24"/>
          <w:u w:val="single"/>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gender recognition framework in the Australian Capital Territory (ACT) is based on the statute regulating the registration of births, which permits the change of gender marker on birth certificates.  </w:t>
      </w:r>
      <w:r w:rsidR="004A38A8">
        <w:rPr>
          <w:rFonts w:ascii="Arial" w:hAnsi="Arial" w:cs="Arial" w:hint="eastAsia"/>
          <w:szCs w:val="24"/>
          <w:lang w:val="en-GB"/>
        </w:rPr>
        <w:t>I</w:t>
      </w:r>
      <w:r w:rsidRPr="0028108F">
        <w:rPr>
          <w:rFonts w:ascii="Arial" w:hAnsi="Arial" w:cs="Arial"/>
          <w:szCs w:val="24"/>
          <w:lang w:val="en-GB"/>
        </w:rPr>
        <w:t>ts Births, Deaths, and Marriages Registration Amendment Act 2014 was enacted on 26 April 2014, to amend the Births, Deaths and Marriages Registration Act 1997</w:t>
      </w:r>
      <w:r w:rsidRPr="0028108F">
        <w:rPr>
          <w:rFonts w:ascii="Arial" w:hAnsi="Arial" w:cs="Arial"/>
          <w:i/>
          <w:szCs w:val="24"/>
          <w:lang w:val="en-GB"/>
        </w:rPr>
        <w:t xml:space="preserve"> </w:t>
      </w:r>
      <w:r w:rsidRPr="0028108F">
        <w:rPr>
          <w:rFonts w:ascii="Arial" w:hAnsi="Arial" w:cs="Arial"/>
          <w:szCs w:val="24"/>
          <w:lang w:val="en-GB"/>
        </w:rPr>
        <w:t>(the ACT’s BDMR Act)</w:t>
      </w:r>
      <w:r w:rsidRPr="0028108F" w:rsidDel="00E66797">
        <w:rPr>
          <w:rFonts w:ascii="Arial" w:hAnsi="Arial" w:cs="Arial"/>
          <w:szCs w:val="24"/>
          <w:lang w:val="en-GB"/>
        </w:rPr>
        <w:t xml:space="preserve"> </w:t>
      </w:r>
      <w:r w:rsidRPr="0028108F">
        <w:rPr>
          <w:rFonts w:ascii="Arial" w:hAnsi="Arial" w:cs="Arial"/>
          <w:szCs w:val="24"/>
          <w:lang w:val="en-GB"/>
        </w:rPr>
        <w:t>and the Births, Deaths and Marriages Registration Regulation 1998 to ensure consistency with amendments made to the ACT’s BDMR Act.</w:t>
      </w:r>
      <w:r w:rsidRPr="0028108F">
        <w:rPr>
          <w:rStyle w:val="FootnoteReference"/>
          <w:rFonts w:ascii="Arial" w:hAnsi="Arial" w:cs="Arial"/>
          <w:szCs w:val="24"/>
          <w:lang w:val="en-GB"/>
        </w:rPr>
        <w:footnoteReference w:id="285"/>
      </w:r>
      <w:r w:rsidRPr="0028108F">
        <w:rPr>
          <w:rFonts w:ascii="Arial" w:hAnsi="Arial" w:cs="Arial"/>
          <w:szCs w:val="24"/>
          <w:lang w:val="en-GB"/>
        </w:rPr>
        <w:t xml:space="preserve">  A stated purpose of the amendments was “</w:t>
      </w:r>
      <w:r w:rsidRPr="0028108F">
        <w:rPr>
          <w:rFonts w:ascii="Arial" w:hAnsi="Arial" w:cs="Arial"/>
          <w:i/>
          <w:szCs w:val="24"/>
          <w:lang w:val="en-GB"/>
        </w:rPr>
        <w:t>to improve legal recognition of sex and gender diverse people in the ACT community</w:t>
      </w:r>
      <w:r w:rsidRPr="0028108F">
        <w:rPr>
          <w:rFonts w:ascii="Arial" w:hAnsi="Arial" w:cs="Arial"/>
          <w:szCs w:val="24"/>
          <w:lang w:val="en-GB"/>
        </w:rPr>
        <w:t>”.</w:t>
      </w:r>
      <w:r w:rsidRPr="0028108F">
        <w:rPr>
          <w:rStyle w:val="FootnoteReference"/>
          <w:rFonts w:ascii="Arial" w:hAnsi="Arial" w:cs="Arial"/>
          <w:szCs w:val="24"/>
          <w:lang w:val="en-GB"/>
        </w:rPr>
        <w:footnoteReference w:id="286"/>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Removal of sex reassignment surgery requirements</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To enhance official recognition of a person’s chosen gender, the amendments removed the requirement for sex reassignment surgery before a person could alter the sex in their birth registration document.  By official </w:t>
      </w:r>
      <w:r w:rsidRPr="0028108F">
        <w:rPr>
          <w:rFonts w:ascii="Arial" w:hAnsi="Arial" w:cs="Arial"/>
          <w:szCs w:val="24"/>
          <w:lang w:val="en-GB"/>
        </w:rPr>
        <w:lastRenderedPageBreak/>
        <w:t>recognition of a person’s chosen gender, the amendments were described to have positively engaged rights protected under the Human Rights Act 2004 including the right to recognition and equality before the law, the right of protection of the family and children and the right to privacy and reputation.</w:t>
      </w:r>
      <w:r w:rsidRPr="0028108F">
        <w:rPr>
          <w:rStyle w:val="FootnoteReference"/>
          <w:rFonts w:ascii="Arial" w:hAnsi="Arial" w:cs="Arial"/>
          <w:szCs w:val="24"/>
          <w:lang w:val="en-GB"/>
        </w:rPr>
        <w:footnoteReference w:id="287"/>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List of requirements for alteration of gender marker on birth record</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ACT</w:t>
      </w:r>
      <w:r w:rsidR="00B42008" w:rsidRPr="0028108F">
        <w:rPr>
          <w:rFonts w:ascii="Arial" w:hAnsi="Arial" w:cs="Arial"/>
          <w:szCs w:val="24"/>
          <w:lang w:val="en-GB"/>
        </w:rPr>
        <w:t>’s</w:t>
      </w:r>
      <w:r w:rsidRPr="0028108F">
        <w:rPr>
          <w:rFonts w:ascii="Arial" w:hAnsi="Arial" w:cs="Arial"/>
          <w:szCs w:val="24"/>
          <w:lang w:val="en-GB"/>
        </w:rPr>
        <w:t xml:space="preserve"> BDMR Act now provides that an adult (over 18 years of age) may apply to the Registrar of Births, Deaths and Marriages for alteration of the record of the person’s sex in the registration of the person’s birth if (section 24(1)):</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pStyle w:val="ListParagraph"/>
        <w:numPr>
          <w:ilvl w:val="0"/>
          <w:numId w:val="19"/>
        </w:numPr>
        <w:tabs>
          <w:tab w:val="left" w:pos="1701"/>
        </w:tabs>
        <w:adjustRightInd w:val="0"/>
        <w:snapToGrid w:val="0"/>
        <w:ind w:leftChars="0" w:left="0" w:firstLineChars="413" w:firstLine="991"/>
        <w:jc w:val="both"/>
        <w:rPr>
          <w:rFonts w:ascii="Arial" w:hAnsi="Arial" w:cs="Arial"/>
          <w:szCs w:val="24"/>
          <w:lang w:val="en-GB"/>
        </w:rPr>
      </w:pPr>
      <w:r w:rsidRPr="0028108F">
        <w:rPr>
          <w:rFonts w:ascii="Arial" w:hAnsi="Arial" w:cs="Arial"/>
          <w:szCs w:val="24"/>
          <w:lang w:val="en-GB"/>
        </w:rPr>
        <w:t xml:space="preserve">his or her birth is registered in the ACT; </w:t>
      </w:r>
    </w:p>
    <w:p w:rsidR="003D52D7" w:rsidRPr="0028108F" w:rsidRDefault="003D52D7" w:rsidP="003D52D7">
      <w:pPr>
        <w:pStyle w:val="ListParagraph"/>
        <w:tabs>
          <w:tab w:val="left" w:pos="601"/>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9"/>
        </w:numPr>
        <w:tabs>
          <w:tab w:val="left" w:pos="1701"/>
        </w:tabs>
        <w:adjustRightInd w:val="0"/>
        <w:snapToGrid w:val="0"/>
        <w:ind w:leftChars="413" w:left="1699" w:hangingChars="295" w:hanging="708"/>
        <w:jc w:val="both"/>
        <w:rPr>
          <w:rFonts w:ascii="Arial" w:hAnsi="Arial" w:cs="Arial"/>
          <w:szCs w:val="24"/>
          <w:lang w:val="en-GB"/>
        </w:rPr>
      </w:pPr>
      <w:r w:rsidRPr="0028108F">
        <w:rPr>
          <w:rFonts w:ascii="Arial" w:hAnsi="Arial" w:cs="Arial"/>
          <w:szCs w:val="24"/>
          <w:lang w:val="en-GB"/>
        </w:rPr>
        <w:t>he or she believes his or her sex to be the sex nominated in the application (the altered sex); and</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numPr>
          <w:ilvl w:val="0"/>
          <w:numId w:val="19"/>
        </w:numPr>
        <w:tabs>
          <w:tab w:val="left" w:pos="1701"/>
        </w:tabs>
        <w:adjustRightInd w:val="0"/>
        <w:snapToGrid w:val="0"/>
        <w:ind w:leftChars="413" w:left="1699" w:hangingChars="295" w:hanging="708"/>
        <w:jc w:val="both"/>
        <w:rPr>
          <w:rFonts w:ascii="Arial" w:hAnsi="Arial" w:cs="Arial"/>
          <w:szCs w:val="24"/>
          <w:lang w:val="en-GB"/>
        </w:rPr>
      </w:pPr>
      <w:r w:rsidRPr="0028108F">
        <w:rPr>
          <w:rFonts w:ascii="Arial" w:hAnsi="Arial" w:cs="Arial"/>
          <w:szCs w:val="24"/>
          <w:lang w:val="en-GB"/>
        </w:rPr>
        <w:t>he or she has received appropriate clinical treatment for alteration of the person’s sex or is an intersex person (to be verified by a doctor or a psychologist (section 25(1)).</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What amounts to an </w:t>
      </w:r>
      <w:r w:rsidRPr="0028108F">
        <w:rPr>
          <w:rFonts w:ascii="Arial" w:hAnsi="Arial" w:cs="Arial"/>
          <w:i/>
          <w:szCs w:val="24"/>
          <w:lang w:val="en-GB"/>
        </w:rPr>
        <w:t>“appropriate clinical treatment”</w:t>
      </w:r>
      <w:r w:rsidRPr="0028108F">
        <w:rPr>
          <w:rFonts w:ascii="Arial" w:hAnsi="Arial" w:cs="Arial"/>
          <w:szCs w:val="24"/>
          <w:lang w:val="en-GB"/>
        </w:rPr>
        <w:t xml:space="preserve"> under section 24(1)(c) of the BDMR Act is determined by the registered medical practitioner,</w:t>
      </w:r>
      <w:r w:rsidRPr="0028108F">
        <w:rPr>
          <w:rStyle w:val="FootnoteReference"/>
          <w:rFonts w:ascii="Arial" w:hAnsi="Arial" w:cs="Arial"/>
          <w:szCs w:val="24"/>
          <w:lang w:val="en-GB"/>
        </w:rPr>
        <w:footnoteReference w:id="288"/>
      </w:r>
      <w:r w:rsidRPr="0028108F">
        <w:rPr>
          <w:rFonts w:ascii="Arial" w:hAnsi="Arial" w:cs="Arial"/>
          <w:szCs w:val="24"/>
          <w:lang w:val="en-GB"/>
        </w:rPr>
        <w:t xml:space="preserve"> but it was acknowledged that using this wording was aiming to “</w:t>
      </w:r>
      <w:r w:rsidRPr="0028108F">
        <w:rPr>
          <w:rFonts w:ascii="Arial" w:hAnsi="Arial" w:cs="Arial"/>
          <w:i/>
          <w:szCs w:val="24"/>
          <w:lang w:val="en-GB"/>
        </w:rPr>
        <w:t>avoid a specific diagnosis or medical treatment</w:t>
      </w:r>
      <w:r w:rsidRPr="0028108F">
        <w:rPr>
          <w:rFonts w:ascii="Arial" w:hAnsi="Arial" w:cs="Arial"/>
          <w:szCs w:val="24"/>
          <w:lang w:val="en-GB"/>
        </w:rPr>
        <w:t>” and “</w:t>
      </w:r>
      <w:r w:rsidRPr="0028108F">
        <w:rPr>
          <w:rFonts w:ascii="Arial" w:hAnsi="Arial" w:cs="Arial"/>
          <w:i/>
          <w:szCs w:val="24"/>
          <w:lang w:val="en-GB"/>
        </w:rPr>
        <w:t>discourage clinicians from providing any further medical information, in order to protect the applicant’s privacy</w:t>
      </w:r>
      <w:r w:rsidRPr="0028108F">
        <w:rPr>
          <w:rFonts w:ascii="Arial" w:hAnsi="Arial" w:cs="Arial"/>
          <w:szCs w:val="24"/>
          <w:lang w:val="en-GB"/>
        </w:rPr>
        <w:t>”.</w:t>
      </w:r>
      <w:r w:rsidRPr="0028108F">
        <w:rPr>
          <w:rStyle w:val="FootnoteReference"/>
          <w:rFonts w:ascii="Arial" w:hAnsi="Arial" w:cs="Arial"/>
          <w:szCs w:val="24"/>
          <w:lang w:val="en-GB"/>
        </w:rPr>
        <w:footnoteReference w:id="289"/>
      </w:r>
    </w:p>
    <w:p w:rsidR="003D52D7" w:rsidRPr="0028108F" w:rsidRDefault="003D52D7" w:rsidP="003D52D7">
      <w:pPr>
        <w:adjustRightInd w:val="0"/>
        <w:snapToGrid w:val="0"/>
        <w:jc w:val="both"/>
        <w:rPr>
          <w:rFonts w:ascii="Arial" w:hAnsi="Arial" w:cs="Arial"/>
          <w:i/>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Applications by children</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Applications are also open to children under 18 years old, to be made and submitted by the children’s parents or persons with parental responsibility (section 24(2)), with an additional evidential requirement that the applicant provides a signed statement stating that he/she/they believe on reasonable grounds that alteration of the record is in the best interests of the children (sections 24(2)(b) and 25(2)(a)).</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Applications by married persons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Act does not specify that an applicant must be unmarried.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Upon a successful application, a new birth certificate showing the </w:t>
      </w:r>
      <w:r w:rsidRPr="0028108F">
        <w:rPr>
          <w:rFonts w:ascii="Arial" w:hAnsi="Arial" w:cs="Arial"/>
          <w:szCs w:val="24"/>
          <w:lang w:val="en-GB"/>
        </w:rPr>
        <w:lastRenderedPageBreak/>
        <w:t>altered sex will be issued by the Registrar (section 27(1)).  The new birth certificate will not include any word or statement to the effect that the person to whom the certificate relates has changed sex (section 27(3)).  A person who has an entitlement under a will, trust or territory law does not lose the entitlement only because the person’s sex has been altered on the register, unless the will, trust or territory law provides otherwise (section 29).</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szCs w:val="24"/>
          <w:lang w:val="en-GB"/>
        </w:rPr>
      </w:pPr>
      <w:r w:rsidRPr="0028108F">
        <w:rPr>
          <w:rFonts w:ascii="Arial" w:hAnsi="Arial" w:cs="Arial"/>
          <w:b/>
          <w:i/>
          <w:szCs w:val="24"/>
          <w:lang w:val="en-GB"/>
        </w:rPr>
        <w:t>Concluding remarks on gender recognition in Asia-Pacific jurisdictions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To recap, diverse legal arrangements exist on the issue of gender recognition across the </w:t>
      </w:r>
      <w:r w:rsidR="005D4FB4">
        <w:rPr>
          <w:rFonts w:ascii="Arial" w:hAnsi="Arial" w:cs="Arial"/>
          <w:szCs w:val="24"/>
          <w:lang w:val="en-GB"/>
        </w:rPr>
        <w:t>16</w:t>
      </w:r>
      <w:r w:rsidR="005D4FB4" w:rsidRPr="0028108F">
        <w:rPr>
          <w:rFonts w:ascii="Arial" w:hAnsi="Arial" w:cs="Arial"/>
          <w:szCs w:val="24"/>
          <w:lang w:val="en-GB"/>
        </w:rPr>
        <w:t xml:space="preserve"> </w:t>
      </w:r>
      <w:r w:rsidRPr="0028108F">
        <w:rPr>
          <w:rFonts w:ascii="Arial" w:hAnsi="Arial" w:cs="Arial"/>
          <w:szCs w:val="24"/>
          <w:lang w:val="en-GB"/>
        </w:rPr>
        <w:t xml:space="preserve">Asia-Pacific jurisdictions analysed in this </w:t>
      </w:r>
      <w:r w:rsidR="005D4FB4">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w:t>
      </w:r>
      <w:r w:rsidR="00DA709D">
        <w:rPr>
          <w:rFonts w:ascii="Arial" w:hAnsi="Arial" w:cs="Arial" w:hint="eastAsia"/>
          <w:szCs w:val="24"/>
          <w:lang w:val="en-GB"/>
        </w:rPr>
        <w:t>T</w:t>
      </w:r>
      <w:r w:rsidRPr="0028108F">
        <w:rPr>
          <w:rFonts w:ascii="Arial" w:hAnsi="Arial" w:cs="Arial"/>
          <w:szCs w:val="24"/>
          <w:lang w:val="en-GB"/>
        </w:rPr>
        <w:t xml:space="preserve">here is no clear-cut line on the legal standards or administrative processes to be applied between the common law countries in the region (Australia, India, Singapore, New Zealand) and the non-common law countries (Japan, Mainland China, South Korea, Taiwan).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To-date, it appears that India adopts a scheme with the least requirements for gender recognition in this region, where it was decided by the Supreme Court on 15 April 2014 that “Psychological Test” instead of “Biological Test” should determine a person’s sex and “</w:t>
      </w:r>
      <w:r w:rsidRPr="0028108F">
        <w:rPr>
          <w:rFonts w:ascii="Arial" w:hAnsi="Arial" w:cs="Arial"/>
          <w:i/>
          <w:szCs w:val="24"/>
          <w:lang w:val="en-GB"/>
        </w:rPr>
        <w:t>no one shall be forced to undergo medical procedures, including [sex reassignment surgery], sterilization or hormonal therapy, as a requirement for legal recognition of their gender identity</w:t>
      </w:r>
      <w:r w:rsidRPr="0028108F">
        <w:rPr>
          <w:rFonts w:ascii="Arial" w:hAnsi="Arial" w:cs="Arial"/>
          <w:szCs w:val="24"/>
          <w:lang w:val="en-GB"/>
        </w:rPr>
        <w:t>”.</w:t>
      </w:r>
      <w:r w:rsidRPr="0028108F">
        <w:rPr>
          <w:rStyle w:val="FootnoteReference"/>
          <w:rFonts w:ascii="Arial" w:hAnsi="Arial" w:cs="Arial"/>
          <w:szCs w:val="24"/>
          <w:lang w:val="en-GB"/>
        </w:rPr>
        <w:footnoteReference w:id="290"/>
      </w:r>
      <w:r w:rsidRPr="0028108F">
        <w:rPr>
          <w:rFonts w:ascii="Arial" w:hAnsi="Arial" w:cs="Arial"/>
          <w:szCs w:val="24"/>
          <w:lang w:val="en-GB"/>
        </w:rPr>
        <w:t xml:space="preserve">  </w:t>
      </w:r>
      <w:r w:rsidR="000741C5" w:rsidRPr="0028108F">
        <w:rPr>
          <w:rFonts w:ascii="Arial" w:hAnsi="Arial" w:cs="Arial"/>
          <w:szCs w:val="24"/>
          <w:lang w:val="en-GB"/>
        </w:rPr>
        <w:t xml:space="preserve">South Australia has expressly </w:t>
      </w:r>
      <w:r w:rsidR="00991ED5" w:rsidRPr="0028108F">
        <w:rPr>
          <w:rFonts w:ascii="Arial" w:hAnsi="Arial" w:cs="Arial"/>
          <w:szCs w:val="24"/>
          <w:lang w:val="en-GB"/>
        </w:rPr>
        <w:t>eliminate</w:t>
      </w:r>
      <w:r w:rsidR="000741C5" w:rsidRPr="0028108F">
        <w:rPr>
          <w:rFonts w:ascii="Arial" w:hAnsi="Arial" w:cs="Arial"/>
          <w:szCs w:val="24"/>
          <w:lang w:val="en-GB"/>
        </w:rPr>
        <w:t>d the requirement for “</w:t>
      </w:r>
      <w:r w:rsidR="000741C5" w:rsidRPr="0028108F">
        <w:rPr>
          <w:rFonts w:ascii="Arial" w:hAnsi="Arial" w:cs="Arial"/>
          <w:i/>
          <w:szCs w:val="24"/>
          <w:lang w:val="en-GB"/>
        </w:rPr>
        <w:t>invasive medical treatment</w:t>
      </w:r>
      <w:r w:rsidR="000741C5" w:rsidRPr="0028108F">
        <w:rPr>
          <w:rFonts w:ascii="Arial" w:hAnsi="Arial" w:cs="Arial"/>
          <w:szCs w:val="24"/>
          <w:lang w:val="en-GB"/>
        </w:rPr>
        <w:t xml:space="preserve">”, and now requires an applicant for change of sex or gender identity to, amongst others, undertake </w:t>
      </w:r>
      <w:r w:rsidR="000741C5" w:rsidRPr="005145D9">
        <w:rPr>
          <w:rFonts w:ascii="Arial" w:hAnsi="Arial" w:cs="Arial"/>
          <w:szCs w:val="24"/>
          <w:lang w:val="en-GB"/>
        </w:rPr>
        <w:t>a sufficient amount of appropriate clinical treatment in relation to their sex or gender identity</w:t>
      </w:r>
      <w:r w:rsidR="005E5930" w:rsidRPr="0028108F">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Japan and Mainland China appear to have more requirements than the other jurisdictions</w:t>
      </w:r>
      <w:r w:rsidR="000741C5" w:rsidRPr="0028108F">
        <w:rPr>
          <w:rFonts w:ascii="Arial" w:hAnsi="Arial" w:cs="Arial"/>
          <w:szCs w:val="24"/>
          <w:lang w:val="en-GB"/>
        </w:rPr>
        <w:t xml:space="preserve"> in the Asia-Pacific region</w:t>
      </w:r>
      <w:r w:rsidRPr="0028108F">
        <w:rPr>
          <w:rFonts w:ascii="Arial" w:hAnsi="Arial" w:cs="Arial"/>
          <w:szCs w:val="24"/>
          <w:lang w:val="en-GB"/>
        </w:rPr>
        <w:t>, as they impose a number of pre-conditions including, but not limited to, a relatively high minimum age requirement (Japan: 20; China: 21), medical diagnosis of gender identity disorder,</w:t>
      </w:r>
      <w:r w:rsidRPr="0028108F">
        <w:rPr>
          <w:rStyle w:val="FootnoteReference"/>
          <w:rFonts w:ascii="Arial" w:hAnsi="Arial" w:cs="Arial"/>
          <w:szCs w:val="24"/>
          <w:lang w:val="en-GB"/>
        </w:rPr>
        <w:footnoteReference w:id="291"/>
      </w:r>
      <w:r w:rsidRPr="0028108F">
        <w:rPr>
          <w:rFonts w:ascii="Arial" w:hAnsi="Arial" w:cs="Arial"/>
          <w:szCs w:val="24"/>
          <w:lang w:val="en-GB"/>
        </w:rPr>
        <w:t xml:space="preserve"> genital surgery leading to infertility,</w:t>
      </w:r>
      <w:r w:rsidRPr="0028108F">
        <w:rPr>
          <w:rStyle w:val="FootnoteReference"/>
          <w:rFonts w:ascii="Arial" w:hAnsi="Arial" w:cs="Arial"/>
          <w:szCs w:val="24"/>
          <w:lang w:val="en-GB"/>
        </w:rPr>
        <w:footnoteReference w:id="292"/>
      </w:r>
      <w:r w:rsidRPr="0028108F">
        <w:rPr>
          <w:rFonts w:ascii="Arial" w:hAnsi="Arial" w:cs="Arial"/>
          <w:szCs w:val="24"/>
          <w:lang w:val="en-GB"/>
        </w:rPr>
        <w:t xml:space="preserve"> and the exclusion of married applicants.</w:t>
      </w:r>
      <w:r w:rsidRPr="0028108F">
        <w:rPr>
          <w:rStyle w:val="FootnoteReference"/>
          <w:rFonts w:ascii="Arial" w:hAnsi="Arial" w:cs="Arial"/>
          <w:szCs w:val="24"/>
          <w:lang w:val="en-GB"/>
        </w:rPr>
        <w:footnoteReference w:id="293"/>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Japan and Queensland have made express provision in their </w:t>
      </w:r>
      <w:r w:rsidRPr="0028108F">
        <w:rPr>
          <w:rFonts w:ascii="Arial" w:hAnsi="Arial" w:cs="Arial"/>
          <w:szCs w:val="24"/>
          <w:lang w:val="en-GB"/>
        </w:rPr>
        <w:lastRenderedPageBreak/>
        <w:t>legislation to the effect that once the gender marker on a person’s birth certificate has been changed, the person would accordingly be a person of the reassigned or acquired sex.  In other jurisdictions (whereas there is no similar provision), those changes to the gender marker on the relevant official document(s) (</w:t>
      </w:r>
      <w:r w:rsidR="00D6311F" w:rsidRPr="0028108F">
        <w:rPr>
          <w:rFonts w:ascii="Arial" w:hAnsi="Arial" w:cs="Arial"/>
          <w:szCs w:val="24"/>
          <w:lang w:val="en-GB"/>
        </w:rPr>
        <w:t>ie</w:t>
      </w:r>
      <w:r w:rsidRPr="0028108F">
        <w:rPr>
          <w:rFonts w:ascii="Arial" w:hAnsi="Arial" w:cs="Arial"/>
          <w:szCs w:val="24"/>
          <w:lang w:val="en-GB"/>
        </w:rPr>
        <w:t xml:space="preserve">, </w:t>
      </w:r>
      <w:r w:rsidR="000741C5" w:rsidRPr="0028108F">
        <w:rPr>
          <w:rFonts w:ascii="Arial" w:hAnsi="Arial" w:cs="Arial"/>
          <w:szCs w:val="24"/>
          <w:lang w:val="en-GB"/>
        </w:rPr>
        <w:t>the entry about the change of sex or gender identity in the Register of South Australia or the “</w:t>
      </w:r>
      <w:r w:rsidR="000741C5" w:rsidRPr="00B25672">
        <w:rPr>
          <w:rFonts w:ascii="Arial" w:hAnsi="Arial" w:cs="Arial"/>
          <w:i/>
          <w:szCs w:val="24"/>
          <w:lang w:val="en-GB"/>
        </w:rPr>
        <w:t>identity acknowledgement certificate</w:t>
      </w:r>
      <w:r w:rsidR="000741C5" w:rsidRPr="0028108F">
        <w:rPr>
          <w:rFonts w:ascii="Arial" w:hAnsi="Arial" w:cs="Arial"/>
          <w:szCs w:val="24"/>
          <w:lang w:val="en-GB"/>
        </w:rPr>
        <w:t xml:space="preserve">” in that state, </w:t>
      </w:r>
      <w:r w:rsidRPr="0028108F">
        <w:rPr>
          <w:rFonts w:ascii="Arial" w:hAnsi="Arial" w:cs="Arial"/>
          <w:szCs w:val="24"/>
          <w:lang w:val="en-GB"/>
        </w:rPr>
        <w:t xml:space="preserve">the birth certificate in the case of </w:t>
      </w:r>
      <w:r w:rsidR="000741C5" w:rsidRPr="0028108F">
        <w:rPr>
          <w:rFonts w:ascii="Arial" w:hAnsi="Arial" w:cs="Arial"/>
          <w:szCs w:val="24"/>
          <w:lang w:val="en-GB"/>
        </w:rPr>
        <w:t xml:space="preserve">other </w:t>
      </w:r>
      <w:r w:rsidRPr="0028108F">
        <w:rPr>
          <w:rFonts w:ascii="Arial" w:hAnsi="Arial" w:cs="Arial"/>
          <w:szCs w:val="24"/>
          <w:lang w:val="en-GB"/>
        </w:rPr>
        <w:t xml:space="preserve">Australian states and territories, the identity card in the case of Taiwan and Singapore, or the household registry in the case of Mainland China and South Korea) will not be shown on the face of the official documents, or accessible by the general public.  This would seem to effectively enable the individual to live in the reassigned or acquired gender for most practical and legal purposes.  (Though it is noted, for example, that in Singapore, the acquisition of a new NRIC showing the new gender does not entitle the person to make a similar change to their birth certificate.)  </w:t>
      </w:r>
    </w:p>
    <w:p w:rsidR="003D52D7" w:rsidRPr="0028108F" w:rsidRDefault="003D52D7" w:rsidP="008813DE">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is </w:t>
      </w:r>
      <w:r w:rsidR="007C05D9">
        <w:rPr>
          <w:rFonts w:ascii="Arial" w:hAnsi="Arial" w:cs="Arial" w:hint="eastAsia"/>
          <w:szCs w:val="24"/>
          <w:lang w:val="en-GB"/>
        </w:rPr>
        <w:t>pertinent to note</w:t>
      </w:r>
      <w:r w:rsidR="007C05D9" w:rsidRPr="0028108F">
        <w:rPr>
          <w:rFonts w:ascii="Arial" w:hAnsi="Arial" w:cs="Arial"/>
          <w:szCs w:val="24"/>
          <w:lang w:val="en-GB"/>
        </w:rPr>
        <w:t xml:space="preserve"> </w:t>
      </w:r>
      <w:r w:rsidRPr="0028108F">
        <w:rPr>
          <w:rFonts w:ascii="Arial" w:hAnsi="Arial" w:cs="Arial"/>
          <w:szCs w:val="24"/>
          <w:lang w:val="en-GB"/>
        </w:rPr>
        <w:t>that Thailand (not amongst the jurisdictions studied in this paper), though known worldwide for its vibrant trans culture and prevalence of gender reassignment surgeries, does not yet have a gender recognition scheme or an administrative procedure for trans Thai citizens to change their gender marker on legally identifying documents.</w:t>
      </w:r>
      <w:r w:rsidRPr="0028108F">
        <w:rPr>
          <w:rStyle w:val="FootnoteReference"/>
          <w:rFonts w:ascii="Arial" w:hAnsi="Arial" w:cs="Arial"/>
          <w:szCs w:val="24"/>
          <w:lang w:val="en-GB"/>
        </w:rPr>
        <w:footnoteReference w:id="294"/>
      </w:r>
      <w:r w:rsidRPr="0028108F">
        <w:rPr>
          <w:rFonts w:ascii="Arial" w:hAnsi="Arial" w:cs="Arial"/>
          <w:szCs w:val="24"/>
          <w:lang w:val="en-GB"/>
        </w:rPr>
        <w:t xml:space="preserve">  The </w:t>
      </w:r>
      <w:r w:rsidR="007C05D9">
        <w:rPr>
          <w:rFonts w:ascii="Arial" w:hAnsi="Arial" w:cs="Arial" w:hint="eastAsia"/>
          <w:szCs w:val="24"/>
          <w:lang w:val="en-GB"/>
        </w:rPr>
        <w:t>latest</w:t>
      </w:r>
      <w:r w:rsidRPr="0028108F">
        <w:rPr>
          <w:rFonts w:ascii="Arial" w:hAnsi="Arial" w:cs="Arial"/>
          <w:szCs w:val="24"/>
          <w:lang w:val="en-GB"/>
        </w:rPr>
        <w:t xml:space="preserve"> development in Thailand appears to be the Constitution Drafting Committee</w:t>
      </w:r>
      <w:r w:rsidR="000741C5" w:rsidRPr="0028108F">
        <w:rPr>
          <w:rFonts w:ascii="Arial" w:hAnsi="Arial" w:cs="Arial"/>
          <w:szCs w:val="24"/>
          <w:lang w:val="en-GB"/>
        </w:rPr>
        <w:t>’s</w:t>
      </w:r>
      <w:r w:rsidRPr="0028108F">
        <w:rPr>
          <w:rFonts w:ascii="Arial" w:hAnsi="Arial" w:cs="Arial"/>
          <w:szCs w:val="24"/>
          <w:lang w:val="en-GB"/>
        </w:rPr>
        <w:t xml:space="preserve"> announce</w:t>
      </w:r>
      <w:r w:rsidR="000741C5" w:rsidRPr="0028108F">
        <w:rPr>
          <w:rFonts w:ascii="Arial" w:hAnsi="Arial" w:cs="Arial"/>
          <w:szCs w:val="24"/>
          <w:lang w:val="en-GB"/>
        </w:rPr>
        <w:t>ment</w:t>
      </w:r>
      <w:r w:rsidRPr="0028108F">
        <w:rPr>
          <w:rFonts w:ascii="Arial" w:hAnsi="Arial" w:cs="Arial"/>
          <w:szCs w:val="24"/>
          <w:lang w:val="en-GB"/>
        </w:rPr>
        <w:t xml:space="preserve"> on 15 January 2015 that the proposed new nation constitution would include references to a </w:t>
      </w:r>
      <w:r w:rsidRPr="0028108F">
        <w:rPr>
          <w:rFonts w:ascii="Arial" w:hAnsi="Arial" w:cs="Arial"/>
          <w:i/>
          <w:szCs w:val="24"/>
          <w:lang w:val="en-GB"/>
        </w:rPr>
        <w:t>“third gender”</w:t>
      </w:r>
      <w:r w:rsidRPr="0028108F">
        <w:rPr>
          <w:rFonts w:ascii="Arial" w:hAnsi="Arial" w:cs="Arial"/>
          <w:szCs w:val="24"/>
          <w:lang w:val="en-GB"/>
        </w:rPr>
        <w:t xml:space="preserve"> for the first time.</w:t>
      </w:r>
      <w:r w:rsidRPr="0028108F">
        <w:rPr>
          <w:rStyle w:val="FootnoteReference"/>
          <w:rFonts w:ascii="Arial" w:hAnsi="Arial" w:cs="Arial"/>
          <w:szCs w:val="24"/>
          <w:lang w:val="en-GB"/>
        </w:rPr>
        <w:footnoteReference w:id="295"/>
      </w:r>
    </w:p>
    <w:p w:rsidR="002516D2" w:rsidRDefault="002516D2" w:rsidP="008813DE">
      <w:pPr>
        <w:adjustRightInd w:val="0"/>
        <w:snapToGrid w:val="0"/>
        <w:jc w:val="both"/>
        <w:rPr>
          <w:rFonts w:ascii="Arial" w:hAnsi="Arial" w:cs="Arial"/>
          <w:szCs w:val="24"/>
          <w:lang w:val="en-GB"/>
        </w:rPr>
      </w:pPr>
    </w:p>
    <w:p w:rsidR="007C05D9" w:rsidRPr="0028108F" w:rsidRDefault="007C05D9" w:rsidP="008813DE">
      <w:pPr>
        <w:adjustRightInd w:val="0"/>
        <w:snapToGrid w:val="0"/>
        <w:jc w:val="both"/>
        <w:rPr>
          <w:rFonts w:ascii="Arial" w:hAnsi="Arial" w:cs="Arial"/>
          <w:szCs w:val="24"/>
          <w:lang w:val="en-GB"/>
        </w:rPr>
      </w:pPr>
    </w:p>
    <w:p w:rsidR="002516D2" w:rsidRPr="0028108F" w:rsidRDefault="002516D2" w:rsidP="002516D2">
      <w:pPr>
        <w:adjustRightInd w:val="0"/>
        <w:snapToGrid w:val="0"/>
        <w:jc w:val="both"/>
        <w:rPr>
          <w:rFonts w:ascii="Arial" w:hAnsi="Arial" w:cs="Arial"/>
          <w:b/>
          <w:sz w:val="28"/>
          <w:szCs w:val="24"/>
          <w:lang w:val="en-GB"/>
        </w:rPr>
      </w:pPr>
      <w:r w:rsidRPr="0028108F">
        <w:rPr>
          <w:rFonts w:ascii="Arial" w:hAnsi="Arial" w:cs="Arial"/>
          <w:b/>
          <w:sz w:val="28"/>
          <w:szCs w:val="24"/>
          <w:lang w:val="en-GB"/>
        </w:rPr>
        <w:t xml:space="preserve">Europe </w:t>
      </w:r>
    </w:p>
    <w:p w:rsidR="002516D2" w:rsidRPr="0028108F" w:rsidRDefault="002516D2" w:rsidP="002516D2">
      <w:pPr>
        <w:adjustRightInd w:val="0"/>
        <w:snapToGrid w:val="0"/>
        <w:jc w:val="both"/>
        <w:rPr>
          <w:rFonts w:ascii="Arial" w:hAnsi="Arial" w:cs="Arial"/>
          <w:b/>
          <w:sz w:val="28"/>
          <w:szCs w:val="24"/>
          <w:lang w:val="en-GB"/>
        </w:rPr>
      </w:pPr>
    </w:p>
    <w:p w:rsidR="002516D2" w:rsidRPr="0028108F" w:rsidRDefault="002516D2" w:rsidP="002516D2">
      <w:pPr>
        <w:rPr>
          <w:rFonts w:ascii="Arial" w:hAnsi="Arial" w:cs="Arial"/>
          <w:b/>
          <w:i/>
          <w:szCs w:val="24"/>
          <w:lang w:val="en-GB"/>
        </w:rPr>
      </w:pPr>
      <w:r w:rsidRPr="0028108F">
        <w:rPr>
          <w:rFonts w:ascii="Arial" w:hAnsi="Arial" w:cs="Arial"/>
          <w:b/>
          <w:i/>
          <w:szCs w:val="24"/>
          <w:lang w:val="en-GB"/>
        </w:rPr>
        <w:t>Overview</w:t>
      </w:r>
    </w:p>
    <w:p w:rsidR="002516D2" w:rsidRPr="0028108F" w:rsidRDefault="002516D2" w:rsidP="008813DE">
      <w:pPr>
        <w:adjustRightInd w:val="0"/>
        <w:snapToGrid w:val="0"/>
        <w:jc w:val="both"/>
        <w:rPr>
          <w:rFonts w:ascii="Arial" w:hAnsi="Arial" w:cs="Arial"/>
          <w:b/>
          <w:i/>
          <w:szCs w:val="24"/>
          <w:lang w:val="en-GB"/>
        </w:rPr>
      </w:pPr>
    </w:p>
    <w:p w:rsidR="002516D2" w:rsidRPr="0028108F" w:rsidRDefault="002516D2" w:rsidP="002516D2">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lang w:val="en-GB"/>
        </w:rPr>
        <w:t>Since 1992, the ECtHR has unequivocally established the positive obligation for Contracting States to provide for legal gender recognition.</w:t>
      </w:r>
      <w:r w:rsidRPr="0028108F">
        <w:rPr>
          <w:rStyle w:val="FootnoteReference"/>
          <w:rFonts w:ascii="Arial" w:hAnsi="Arial" w:cs="Arial"/>
          <w:szCs w:val="24"/>
          <w:lang w:val="en-GB"/>
        </w:rPr>
        <w:footnoteReference w:id="296"/>
      </w:r>
      <w:r w:rsidRPr="0028108F">
        <w:rPr>
          <w:rFonts w:ascii="Arial" w:hAnsi="Arial" w:cs="Arial"/>
          <w:lang w:val="en-GB"/>
        </w:rPr>
        <w:t xml:space="preserve">  Over a period of 20 years or so, important court cases in various jurisdictions have led to legislative reform, such as in the United Kingdom,</w:t>
      </w:r>
      <w:r w:rsidRPr="0028108F">
        <w:rPr>
          <w:rStyle w:val="FootnoteReference"/>
          <w:rFonts w:ascii="Arial" w:hAnsi="Arial" w:cs="Arial"/>
          <w:szCs w:val="24"/>
          <w:lang w:val="en-GB"/>
        </w:rPr>
        <w:footnoteReference w:id="297"/>
      </w:r>
      <w:r w:rsidRPr="0028108F">
        <w:rPr>
          <w:rFonts w:ascii="Arial" w:hAnsi="Arial" w:cs="Arial"/>
          <w:lang w:val="en-GB"/>
        </w:rPr>
        <w:t xml:space="preserve"> or to clarification of pre-existing legislation, such as in Germany,</w:t>
      </w:r>
      <w:r w:rsidRPr="0028108F">
        <w:rPr>
          <w:rStyle w:val="FootnoteReference"/>
          <w:rFonts w:ascii="Arial" w:hAnsi="Arial" w:cs="Arial"/>
          <w:szCs w:val="24"/>
          <w:lang w:val="en-GB"/>
        </w:rPr>
        <w:footnoteReference w:id="298"/>
      </w:r>
      <w:r w:rsidRPr="0028108F">
        <w:rPr>
          <w:rFonts w:ascii="Arial" w:hAnsi="Arial" w:cs="Arial"/>
          <w:lang w:val="en-GB"/>
        </w:rPr>
        <w:t xml:space="preserve"> with a view to progressing gender recognition law in those jurisdictions.  In one leap, Denmark altered its law on transgender persons’ </w:t>
      </w:r>
      <w:r w:rsidRPr="0028108F">
        <w:rPr>
          <w:rFonts w:ascii="Arial" w:hAnsi="Arial" w:cs="Arial"/>
          <w:lang w:val="en-GB"/>
        </w:rPr>
        <w:lastRenderedPageBreak/>
        <w:t>rights on 11 June 2014, taking it from a country where sterilisation was essential for a person to be legally recognised as their reassigned gender, to one allowing self-determination of one’s legal gender.  Following that change, Malta</w:t>
      </w:r>
      <w:r w:rsidR="00445FDC" w:rsidRPr="0028108F">
        <w:rPr>
          <w:rFonts w:ascii="Arial" w:hAnsi="Arial" w:cs="Arial"/>
          <w:lang w:val="en-GB"/>
        </w:rPr>
        <w:t>,</w:t>
      </w:r>
      <w:r w:rsidRPr="0028108F">
        <w:rPr>
          <w:rFonts w:ascii="Arial" w:hAnsi="Arial" w:cs="Arial"/>
          <w:lang w:val="en-GB"/>
        </w:rPr>
        <w:t xml:space="preserve"> Ireland</w:t>
      </w:r>
      <w:r w:rsidR="00556F03">
        <w:rPr>
          <w:rFonts w:ascii="Arial" w:hAnsi="Arial" w:cs="Arial" w:hint="eastAsia"/>
          <w:lang w:val="en-GB"/>
        </w:rPr>
        <w:t xml:space="preserve">, </w:t>
      </w:r>
      <w:r w:rsidR="00445FDC" w:rsidRPr="0028108F">
        <w:rPr>
          <w:rFonts w:ascii="Arial" w:hAnsi="Arial" w:cs="Arial"/>
          <w:lang w:val="en-GB"/>
        </w:rPr>
        <w:t>Norway</w:t>
      </w:r>
      <w:r w:rsidR="00556F03">
        <w:rPr>
          <w:rFonts w:ascii="Arial" w:hAnsi="Arial" w:cs="Arial" w:hint="eastAsia"/>
          <w:lang w:val="en-GB"/>
        </w:rPr>
        <w:t xml:space="preserve"> and Belgium</w:t>
      </w:r>
      <w:r w:rsidR="00445FDC" w:rsidRPr="0028108F">
        <w:rPr>
          <w:rFonts w:ascii="Arial" w:hAnsi="Arial" w:cs="Arial"/>
          <w:lang w:val="en-GB"/>
        </w:rPr>
        <w:t xml:space="preserve"> </w:t>
      </w:r>
      <w:r w:rsidRPr="0028108F">
        <w:rPr>
          <w:rFonts w:ascii="Arial" w:hAnsi="Arial" w:cs="Arial"/>
          <w:lang w:val="en-GB"/>
        </w:rPr>
        <w:t>also adopted similar schemes in April 2015</w:t>
      </w:r>
      <w:r w:rsidR="00445FDC" w:rsidRPr="0028108F">
        <w:rPr>
          <w:rFonts w:ascii="Arial" w:hAnsi="Arial" w:cs="Arial"/>
          <w:lang w:val="en-GB"/>
        </w:rPr>
        <w:t>,</w:t>
      </w:r>
      <w:r w:rsidRPr="0028108F">
        <w:rPr>
          <w:rFonts w:ascii="Arial" w:hAnsi="Arial" w:cs="Arial"/>
          <w:lang w:val="en-GB"/>
        </w:rPr>
        <w:t xml:space="preserve"> July 2015</w:t>
      </w:r>
      <w:r w:rsidR="00556F03">
        <w:rPr>
          <w:rFonts w:ascii="Arial" w:hAnsi="Arial" w:cs="Arial" w:hint="eastAsia"/>
          <w:lang w:val="en-GB"/>
        </w:rPr>
        <w:t>,</w:t>
      </w:r>
      <w:r w:rsidR="00445FDC" w:rsidRPr="0028108F">
        <w:rPr>
          <w:rFonts w:ascii="Arial" w:hAnsi="Arial" w:cs="Arial"/>
          <w:lang w:val="en-GB"/>
        </w:rPr>
        <w:t xml:space="preserve"> July 2016</w:t>
      </w:r>
      <w:r w:rsidR="00556F03">
        <w:rPr>
          <w:rFonts w:ascii="Arial" w:hAnsi="Arial" w:cs="Arial" w:hint="eastAsia"/>
          <w:lang w:val="en-GB"/>
        </w:rPr>
        <w:t xml:space="preserve"> and May 2017</w:t>
      </w:r>
      <w:r w:rsidRPr="0028108F">
        <w:rPr>
          <w:rFonts w:ascii="Arial" w:hAnsi="Arial" w:cs="Arial"/>
          <w:lang w:val="en-GB"/>
        </w:rPr>
        <w:t xml:space="preserve"> respectively</w:t>
      </w:r>
      <w:r w:rsidR="006548DE" w:rsidRPr="0028108F">
        <w:rPr>
          <w:rFonts w:ascii="Arial" w:hAnsi="Arial" w:cs="Arial"/>
          <w:lang w:val="en-GB"/>
        </w:rPr>
        <w:t>.</w:t>
      </w:r>
      <w:r w:rsidR="0042026C" w:rsidRPr="0028108F">
        <w:rPr>
          <w:rFonts w:ascii="Arial" w:hAnsi="Arial" w:cs="Arial"/>
          <w:lang w:val="en-GB"/>
        </w:rPr>
        <w:t xml:space="preserve"> </w:t>
      </w:r>
      <w:r w:rsidR="006548DE" w:rsidRPr="0028108F">
        <w:rPr>
          <w:rFonts w:ascii="Arial" w:hAnsi="Arial" w:cs="Arial"/>
          <w:lang w:val="en-GB"/>
        </w:rPr>
        <w:t xml:space="preserve"> </w:t>
      </w:r>
    </w:p>
    <w:p w:rsidR="002516D2" w:rsidRPr="0028108F" w:rsidRDefault="002516D2" w:rsidP="002516D2">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Types of measures allowing rectification of official documents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measures on gender recognition applying in </w:t>
      </w:r>
      <w:r w:rsidR="004E2691">
        <w:rPr>
          <w:rFonts w:ascii="Arial" w:hAnsi="Arial" w:cs="Arial" w:hint="eastAsia"/>
          <w:szCs w:val="24"/>
          <w:lang w:val="en-GB"/>
        </w:rPr>
        <w:t xml:space="preserve">36 </w:t>
      </w:r>
      <w:r w:rsidRPr="0028108F">
        <w:rPr>
          <w:rFonts w:ascii="Arial" w:hAnsi="Arial" w:cs="Arial"/>
          <w:szCs w:val="24"/>
          <w:lang w:val="en-GB"/>
        </w:rPr>
        <w:t xml:space="preserve">European countries are covered in this study (see </w:t>
      </w:r>
      <w:r w:rsidRPr="008813DE">
        <w:rPr>
          <w:rFonts w:ascii="Arial" w:hAnsi="Arial" w:cs="Arial"/>
          <w:szCs w:val="24"/>
          <w:lang w:val="en-GB"/>
        </w:rPr>
        <w:t>Annex A and Annex B</w:t>
      </w:r>
      <w:r w:rsidRPr="0028108F">
        <w:rPr>
          <w:rFonts w:ascii="Arial" w:hAnsi="Arial" w:cs="Arial"/>
          <w:szCs w:val="24"/>
          <w:lang w:val="en-GB"/>
        </w:rPr>
        <w:t xml:space="preserve">).  Apart from the United Kingdom, </w:t>
      </w:r>
      <w:r w:rsidR="003B38B1" w:rsidRPr="0028108F">
        <w:rPr>
          <w:rFonts w:ascii="Arial" w:hAnsi="Arial" w:cs="Arial"/>
          <w:szCs w:val="24"/>
          <w:lang w:val="en-GB"/>
        </w:rPr>
        <w:t xml:space="preserve">fifteen </w:t>
      </w:r>
      <w:r w:rsidRPr="0028108F">
        <w:rPr>
          <w:rFonts w:ascii="Arial" w:hAnsi="Arial" w:cs="Arial"/>
          <w:szCs w:val="24"/>
          <w:lang w:val="en-GB"/>
        </w:rPr>
        <w:t>countries have enacted legislation or use administrative guidance or processes specifically for the recognition of a transgender person’s gender identity.</w:t>
      </w:r>
      <w:r w:rsidRPr="0028108F">
        <w:rPr>
          <w:rStyle w:val="FootnoteReference"/>
          <w:rFonts w:ascii="Arial" w:hAnsi="Arial" w:cs="Arial"/>
          <w:szCs w:val="24"/>
          <w:lang w:val="en-GB"/>
        </w:rPr>
        <w:footnoteReference w:id="299"/>
      </w:r>
      <w:r w:rsidRPr="0028108F">
        <w:rPr>
          <w:rFonts w:ascii="Arial" w:hAnsi="Arial" w:cs="Arial"/>
          <w:szCs w:val="24"/>
          <w:lang w:val="en-GB"/>
        </w:rPr>
        <w:t xml:space="preserve">  Sixteen of the European countries studied have provisions in their legislation relating to civil status which permit the alteration of gender markers on birth certificates or other official documents, including but not limited to identity cards or passports.</w:t>
      </w:r>
      <w:r w:rsidRPr="0028108F">
        <w:rPr>
          <w:rStyle w:val="FootnoteReference"/>
          <w:rFonts w:ascii="Arial" w:hAnsi="Arial" w:cs="Arial"/>
          <w:szCs w:val="24"/>
          <w:lang w:val="en-GB"/>
        </w:rPr>
        <w:footnoteReference w:id="300"/>
      </w:r>
      <w:r w:rsidRPr="0028108F">
        <w:rPr>
          <w:rFonts w:ascii="Arial" w:hAnsi="Arial" w:cs="Arial"/>
          <w:szCs w:val="24"/>
          <w:lang w:val="en-GB"/>
        </w:rPr>
        <w:t xml:space="preserve">  </w:t>
      </w:r>
      <w:r w:rsidR="00C174CA" w:rsidRPr="0028108F">
        <w:rPr>
          <w:rFonts w:ascii="Arial" w:hAnsi="Arial" w:cs="Arial"/>
          <w:szCs w:val="24"/>
          <w:lang w:val="en-GB"/>
        </w:rPr>
        <w:t xml:space="preserve">Four </w:t>
      </w:r>
      <w:r w:rsidRPr="0028108F">
        <w:rPr>
          <w:rFonts w:ascii="Arial" w:hAnsi="Arial" w:cs="Arial"/>
          <w:szCs w:val="24"/>
          <w:lang w:val="en-GB"/>
        </w:rPr>
        <w:t>European countries studied provide no recognition provisions in legislation, but there have been court decisions in those jurisdictions with respect to this.</w:t>
      </w:r>
      <w:r w:rsidRPr="0028108F">
        <w:rPr>
          <w:rStyle w:val="FootnoteReference"/>
          <w:rFonts w:ascii="Arial" w:hAnsi="Arial" w:cs="Arial"/>
          <w:szCs w:val="24"/>
          <w:lang w:val="en-GB"/>
        </w:rPr>
        <w:footnoteReference w:id="301"/>
      </w:r>
      <w:r w:rsidRPr="0028108F">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The process for gender recognition in some form</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Most European countries studied do not have a specific panel or committee to </w:t>
      </w:r>
      <w:r w:rsidRPr="0028108F">
        <w:rPr>
          <w:rFonts w:ascii="Arial" w:eastAsia="Times New Roman" w:hAnsi="Arial" w:cs="Arial"/>
          <w:kern w:val="0"/>
          <w:szCs w:val="24"/>
          <w:lang w:val="en-GB"/>
        </w:rPr>
        <w:t>adjudicate on whether recognition of an acquired gender is to be granted</w:t>
      </w:r>
      <w:r w:rsidRPr="0028108F">
        <w:rPr>
          <w:rFonts w:ascii="Arial" w:hAnsi="Arial" w:cs="Arial"/>
          <w:szCs w:val="24"/>
          <w:lang w:val="en-GB"/>
        </w:rPr>
        <w:t xml:space="preserve">.  They either empower the local registrar for birth/vital statistics, or the court, to make decisions upon examination of a portfolio of documentation submitted by the applicants.  Three countries are exceptions to this.  As </w:t>
      </w:r>
      <w:r w:rsidR="00453260" w:rsidRPr="0028108F">
        <w:rPr>
          <w:rFonts w:ascii="Arial" w:hAnsi="Arial" w:cs="Arial"/>
          <w:szCs w:val="24"/>
          <w:lang w:val="en-GB"/>
        </w:rPr>
        <w:t xml:space="preserve">canvassed </w:t>
      </w:r>
      <w:r w:rsidRPr="0028108F">
        <w:rPr>
          <w:rFonts w:ascii="Arial" w:hAnsi="Arial" w:cs="Arial"/>
          <w:szCs w:val="24"/>
          <w:lang w:val="en-GB"/>
        </w:rPr>
        <w:t xml:space="preserve">in the previous </w:t>
      </w:r>
      <w:r w:rsidR="000F2CC9">
        <w:rPr>
          <w:rFonts w:ascii="Arial" w:hAnsi="Arial" w:cs="Arial"/>
          <w:szCs w:val="24"/>
          <w:lang w:val="en-GB"/>
        </w:rPr>
        <w:t>c</w:t>
      </w:r>
      <w:r w:rsidRPr="0028108F">
        <w:rPr>
          <w:rFonts w:ascii="Arial" w:hAnsi="Arial" w:cs="Arial"/>
          <w:szCs w:val="24"/>
          <w:lang w:val="en-GB"/>
        </w:rPr>
        <w:t>hapter, the United Kingdom has set up Gender Recognition Panels consisting of legal and medical experts to perform a judicial function in the determination process.  In Estonia, the applications are processed and considered by a medical expert committee appointed by the Minister of Social Affairs.</w:t>
      </w:r>
      <w:r w:rsidRPr="0028108F">
        <w:rPr>
          <w:rStyle w:val="FootnoteReference"/>
          <w:rFonts w:ascii="Arial" w:hAnsi="Arial" w:cs="Arial"/>
          <w:szCs w:val="24"/>
          <w:lang w:val="en-GB"/>
        </w:rPr>
        <w:footnoteReference w:id="302"/>
      </w:r>
      <w:r w:rsidRPr="0028108F">
        <w:rPr>
          <w:rFonts w:ascii="Arial" w:hAnsi="Arial" w:cs="Arial"/>
          <w:szCs w:val="24"/>
          <w:lang w:val="en-GB"/>
        </w:rPr>
        <w:t xml:space="preserve">  In Iceland, an Expert Panel on Gender Identity Disorder, comprising two doctors and one lawyer, is responsible for confirming that the individual “</w:t>
      </w:r>
      <w:r w:rsidRPr="0028108F">
        <w:rPr>
          <w:rFonts w:ascii="Arial" w:hAnsi="Arial" w:cs="Arial"/>
          <w:i/>
          <w:szCs w:val="24"/>
          <w:lang w:val="en-GB"/>
        </w:rPr>
        <w:t>belongs to the other gender</w:t>
      </w:r>
      <w:r w:rsidRPr="0028108F">
        <w:rPr>
          <w:rFonts w:ascii="Arial" w:hAnsi="Arial" w:cs="Arial"/>
          <w:szCs w:val="24"/>
          <w:lang w:val="en-GB"/>
        </w:rPr>
        <w:t>” and, if it applies, whether the individual is “</w:t>
      </w:r>
      <w:r w:rsidRPr="0028108F">
        <w:rPr>
          <w:rFonts w:ascii="Arial" w:hAnsi="Arial" w:cs="Arial"/>
          <w:i/>
          <w:szCs w:val="24"/>
          <w:lang w:val="en-GB"/>
        </w:rPr>
        <w:t>eligible for reassignment surgery</w:t>
      </w:r>
      <w:r w:rsidRPr="0028108F">
        <w:rPr>
          <w:rFonts w:ascii="Arial" w:hAnsi="Arial" w:cs="Arial"/>
          <w:szCs w:val="24"/>
          <w:lang w:val="en-GB"/>
        </w:rPr>
        <w:t>”.</w:t>
      </w:r>
      <w:r w:rsidRPr="0028108F">
        <w:rPr>
          <w:rStyle w:val="FootnoteReference"/>
          <w:rFonts w:ascii="Arial" w:hAnsi="Arial" w:cs="Arial"/>
          <w:szCs w:val="24"/>
          <w:lang w:val="en-GB"/>
        </w:rPr>
        <w:footnoteReference w:id="303"/>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Sex or gender reassignment surgery/procedure requirements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Of the </w:t>
      </w:r>
      <w:r w:rsidR="004E2691">
        <w:rPr>
          <w:rFonts w:ascii="Arial" w:hAnsi="Arial" w:cs="Arial" w:hint="eastAsia"/>
          <w:szCs w:val="24"/>
          <w:lang w:val="en-GB"/>
        </w:rPr>
        <w:t xml:space="preserve">36 </w:t>
      </w:r>
      <w:r w:rsidRPr="0028108F">
        <w:rPr>
          <w:rFonts w:ascii="Arial" w:hAnsi="Arial" w:cs="Arial"/>
          <w:szCs w:val="24"/>
          <w:lang w:val="en-GB"/>
        </w:rPr>
        <w:t xml:space="preserve">countries in Europe studied, </w:t>
      </w:r>
      <w:r w:rsidR="00645259">
        <w:rPr>
          <w:rFonts w:ascii="Arial" w:hAnsi="Arial" w:cs="Arial" w:hint="eastAsia"/>
          <w:szCs w:val="24"/>
          <w:lang w:val="en-GB"/>
        </w:rPr>
        <w:t xml:space="preserve">10 </w:t>
      </w:r>
      <w:r w:rsidRPr="0028108F">
        <w:rPr>
          <w:rFonts w:ascii="Arial" w:hAnsi="Arial" w:cs="Arial"/>
          <w:szCs w:val="24"/>
          <w:lang w:val="en-GB"/>
        </w:rPr>
        <w:t xml:space="preserve">require </w:t>
      </w:r>
      <w:r w:rsidR="00153A58" w:rsidRPr="0028108F">
        <w:rPr>
          <w:rFonts w:ascii="Arial" w:hAnsi="Arial" w:cs="Arial"/>
          <w:szCs w:val="24"/>
          <w:lang w:val="en-GB"/>
        </w:rPr>
        <w:t xml:space="preserve">SRS </w:t>
      </w:r>
      <w:r w:rsidRPr="0028108F">
        <w:rPr>
          <w:rFonts w:ascii="Arial" w:hAnsi="Arial" w:cs="Arial"/>
          <w:szCs w:val="24"/>
          <w:lang w:val="en-GB"/>
        </w:rPr>
        <w:t>and sterilisation as preconditions for a gender recognition procedure.</w:t>
      </w:r>
      <w:r w:rsidR="000F2CC9" w:rsidRPr="0028108F">
        <w:rPr>
          <w:rStyle w:val="FootnoteReference"/>
          <w:rFonts w:ascii="Arial" w:hAnsi="Arial" w:cs="Arial"/>
          <w:szCs w:val="24"/>
          <w:lang w:val="en-GB"/>
        </w:rPr>
        <w:footnoteReference w:id="304"/>
      </w:r>
      <w:r w:rsidRPr="0028108F">
        <w:rPr>
          <w:rFonts w:ascii="Arial" w:hAnsi="Arial" w:cs="Arial"/>
          <w:szCs w:val="24"/>
          <w:lang w:val="en-GB"/>
        </w:rPr>
        <w:t xml:space="preserve"> </w:t>
      </w:r>
      <w:r w:rsidR="00EC7377" w:rsidRPr="0028108F">
        <w:rPr>
          <w:rFonts w:ascii="Arial" w:hAnsi="Arial" w:cs="Arial"/>
          <w:szCs w:val="24"/>
          <w:lang w:val="en-GB"/>
        </w:rPr>
        <w:t xml:space="preserve">On the </w:t>
      </w:r>
      <w:r w:rsidR="00EC7377" w:rsidRPr="0028108F">
        <w:rPr>
          <w:rFonts w:ascii="Arial" w:hAnsi="Arial" w:cs="Arial"/>
          <w:szCs w:val="24"/>
          <w:lang w:val="en-GB"/>
        </w:rPr>
        <w:lastRenderedPageBreak/>
        <w:t xml:space="preserve">other hand, </w:t>
      </w:r>
      <w:r w:rsidR="004E2691">
        <w:rPr>
          <w:rFonts w:ascii="Arial" w:hAnsi="Arial" w:cs="Arial" w:hint="eastAsia"/>
          <w:szCs w:val="24"/>
          <w:lang w:val="en-GB"/>
        </w:rPr>
        <w:t xml:space="preserve">there are </w:t>
      </w:r>
      <w:r w:rsidR="00645259">
        <w:rPr>
          <w:rFonts w:ascii="Arial" w:hAnsi="Arial" w:cs="Arial" w:hint="eastAsia"/>
          <w:szCs w:val="24"/>
          <w:lang w:val="en-GB"/>
        </w:rPr>
        <w:t xml:space="preserve">25 </w:t>
      </w:r>
      <w:r w:rsidR="00EC7377" w:rsidRPr="0028108F">
        <w:rPr>
          <w:rFonts w:ascii="Arial" w:hAnsi="Arial" w:cs="Arial"/>
          <w:szCs w:val="24"/>
          <w:lang w:val="en-GB"/>
        </w:rPr>
        <w:t xml:space="preserve">countries </w:t>
      </w:r>
      <w:r w:rsidR="004E2691">
        <w:rPr>
          <w:rFonts w:ascii="Arial" w:hAnsi="Arial" w:cs="Arial" w:hint="eastAsia"/>
          <w:szCs w:val="24"/>
          <w:lang w:val="en-GB"/>
        </w:rPr>
        <w:t xml:space="preserve">which </w:t>
      </w:r>
      <w:r w:rsidR="00EC7377" w:rsidRPr="0028108F">
        <w:rPr>
          <w:rFonts w:ascii="Arial" w:hAnsi="Arial" w:cs="Arial"/>
          <w:szCs w:val="24"/>
          <w:lang w:val="en-GB"/>
        </w:rPr>
        <w:t>have no surgical requirements</w:t>
      </w:r>
      <w:r w:rsidRPr="0028108F">
        <w:rPr>
          <w:rFonts w:ascii="Arial" w:hAnsi="Arial" w:cs="Arial"/>
          <w:szCs w:val="24"/>
          <w:lang w:val="en-GB"/>
        </w:rPr>
        <w:t xml:space="preserve"> </w:t>
      </w:r>
      <w:r w:rsidR="00EC7377" w:rsidRPr="0028108F">
        <w:rPr>
          <w:rFonts w:ascii="Arial" w:hAnsi="Arial" w:cs="Arial"/>
          <w:szCs w:val="24"/>
          <w:lang w:val="en-GB"/>
        </w:rPr>
        <w:t xml:space="preserve">whilst the situation in </w:t>
      </w:r>
      <w:r w:rsidR="002A7B8F" w:rsidRPr="0028108F">
        <w:rPr>
          <w:rFonts w:ascii="Arial" w:hAnsi="Arial" w:cs="Arial"/>
          <w:szCs w:val="24"/>
          <w:lang w:val="en-GB"/>
        </w:rPr>
        <w:t>R</w:t>
      </w:r>
      <w:r w:rsidR="00EC7377" w:rsidRPr="0028108F">
        <w:rPr>
          <w:rFonts w:ascii="Arial" w:hAnsi="Arial" w:cs="Arial"/>
          <w:szCs w:val="24"/>
          <w:lang w:val="en-GB"/>
        </w:rPr>
        <w:t>omania is uncertain</w:t>
      </w:r>
      <w:r w:rsidR="002A7B8F" w:rsidRPr="0028108F">
        <w:rPr>
          <w:rFonts w:ascii="Arial" w:hAnsi="Arial" w:cs="Arial"/>
          <w:szCs w:val="24"/>
          <w:lang w:val="en-GB"/>
        </w:rPr>
        <w:t>.</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Medical diagnosis, hormonal treatment and “</w:t>
      </w:r>
      <w:r w:rsidR="00043FD0" w:rsidRPr="0028108F">
        <w:rPr>
          <w:rFonts w:ascii="Arial" w:hAnsi="Arial" w:cs="Arial"/>
          <w:i/>
          <w:szCs w:val="24"/>
          <w:lang w:val="en-GB"/>
        </w:rPr>
        <w:t>real life test</w:t>
      </w:r>
      <w:r w:rsidRPr="0028108F">
        <w:rPr>
          <w:rFonts w:ascii="Arial" w:hAnsi="Arial" w:cs="Arial"/>
          <w:i/>
          <w:szCs w:val="24"/>
          <w:lang w:val="en-GB"/>
        </w:rPr>
        <w:t>” requirements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 medical diagnosis or psychological opinion on the applicant’s gender identity is required in the majority (</w:t>
      </w:r>
      <w:r w:rsidR="004E2691">
        <w:rPr>
          <w:rFonts w:ascii="Arial" w:hAnsi="Arial" w:cs="Arial" w:hint="eastAsia"/>
          <w:szCs w:val="24"/>
          <w:lang w:val="en-GB"/>
        </w:rPr>
        <w:t>26</w:t>
      </w:r>
      <w:r w:rsidRPr="0028108F">
        <w:rPr>
          <w:rFonts w:ascii="Arial" w:hAnsi="Arial" w:cs="Arial"/>
          <w:szCs w:val="24"/>
          <w:lang w:val="en-GB"/>
        </w:rPr>
        <w:t>) of the European countries studied.  Latvia, Liechtenst</w:t>
      </w:r>
      <w:r w:rsidR="00F939A0">
        <w:rPr>
          <w:rFonts w:ascii="Arial" w:hAnsi="Arial" w:cs="Arial"/>
          <w:szCs w:val="24"/>
          <w:lang w:val="en-GB"/>
        </w:rPr>
        <w:t>ein, Serbia, Slovakia, Slovenia</w:t>
      </w:r>
      <w:r w:rsidR="00F939A0">
        <w:rPr>
          <w:rFonts w:ascii="Arial" w:hAnsi="Arial" w:cs="Arial" w:hint="eastAsia"/>
          <w:szCs w:val="24"/>
          <w:lang w:val="en-GB"/>
        </w:rPr>
        <w:t xml:space="preserve"> and</w:t>
      </w:r>
      <w:r w:rsidRPr="0028108F">
        <w:rPr>
          <w:rFonts w:ascii="Arial" w:hAnsi="Arial" w:cs="Arial"/>
          <w:szCs w:val="24"/>
          <w:lang w:val="en-GB"/>
        </w:rPr>
        <w:t xml:space="preserve"> Sweden are silent in this respect.  Denmark, Ireland</w:t>
      </w:r>
      <w:r w:rsidR="00577DA2" w:rsidRPr="0028108F">
        <w:rPr>
          <w:rFonts w:ascii="Arial" w:hAnsi="Arial" w:cs="Arial"/>
          <w:szCs w:val="24"/>
          <w:lang w:val="en-GB"/>
        </w:rPr>
        <w:t xml:space="preserve">, </w:t>
      </w:r>
      <w:r w:rsidRPr="0028108F">
        <w:rPr>
          <w:rFonts w:ascii="Arial" w:hAnsi="Arial" w:cs="Arial"/>
          <w:szCs w:val="24"/>
          <w:lang w:val="en-GB"/>
        </w:rPr>
        <w:t>Malta</w:t>
      </w:r>
      <w:r w:rsidR="007122E6" w:rsidRPr="0028108F">
        <w:rPr>
          <w:rFonts w:ascii="Arial" w:hAnsi="Arial" w:cs="Arial"/>
          <w:szCs w:val="24"/>
          <w:lang w:val="en-GB"/>
        </w:rPr>
        <w:t>,</w:t>
      </w:r>
      <w:r w:rsidR="00577DA2" w:rsidRPr="0028108F">
        <w:rPr>
          <w:rFonts w:ascii="Arial" w:hAnsi="Arial" w:cs="Arial"/>
          <w:szCs w:val="24"/>
          <w:lang w:val="en-GB"/>
        </w:rPr>
        <w:t xml:space="preserve"> France</w:t>
      </w:r>
      <w:r w:rsidR="007122E6" w:rsidRPr="0028108F">
        <w:rPr>
          <w:rFonts w:ascii="Arial" w:hAnsi="Arial" w:cs="Arial"/>
          <w:szCs w:val="24"/>
          <w:lang w:val="en-GB"/>
        </w:rPr>
        <w:t xml:space="preserve"> and Norway</w:t>
      </w:r>
      <w:r w:rsidR="00577DA2" w:rsidRPr="0028108F">
        <w:rPr>
          <w:rFonts w:ascii="Arial" w:hAnsi="Arial" w:cs="Arial"/>
          <w:szCs w:val="24"/>
          <w:lang w:val="en-GB"/>
        </w:rPr>
        <w:t xml:space="preserve"> </w:t>
      </w:r>
      <w:r w:rsidRPr="0028108F">
        <w:rPr>
          <w:rFonts w:ascii="Arial" w:hAnsi="Arial" w:cs="Arial"/>
          <w:szCs w:val="24"/>
          <w:lang w:val="en-GB"/>
        </w:rPr>
        <w:t>have expressly discarded the diagnosis prerequisite.</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No other physical or psychiatric requirements are prevalent in Europe.  A </w:t>
      </w:r>
      <w:r w:rsidR="00043FD0" w:rsidRPr="0028108F">
        <w:rPr>
          <w:rFonts w:ascii="Arial" w:hAnsi="Arial" w:cs="Arial"/>
          <w:szCs w:val="24"/>
          <w:lang w:val="en-GB"/>
        </w:rPr>
        <w:t>real life test</w:t>
      </w:r>
      <w:r w:rsidRPr="0028108F">
        <w:rPr>
          <w:rFonts w:ascii="Arial" w:hAnsi="Arial" w:cs="Arial"/>
          <w:szCs w:val="24"/>
          <w:lang w:val="en-GB"/>
        </w:rPr>
        <w:t xml:space="preserve"> is mandatory in </w:t>
      </w:r>
      <w:r w:rsidR="004E2691">
        <w:rPr>
          <w:rFonts w:ascii="Arial" w:hAnsi="Arial" w:cs="Arial" w:hint="eastAsia"/>
          <w:szCs w:val="24"/>
          <w:lang w:val="en-GB"/>
        </w:rPr>
        <w:t xml:space="preserve">six </w:t>
      </w:r>
      <w:r w:rsidRPr="0028108F">
        <w:rPr>
          <w:rFonts w:ascii="Arial" w:hAnsi="Arial" w:cs="Arial"/>
          <w:szCs w:val="24"/>
          <w:lang w:val="en-GB"/>
        </w:rPr>
        <w:t xml:space="preserve">countries, namely Finland (6 to 12 months), Germany (3 years), Iceland (12 months), Spain (2 years), Turkey (2 years) and the United Kingdom (2 years).  Spain </w:t>
      </w:r>
      <w:r w:rsidR="00290473" w:rsidRPr="0028108F">
        <w:rPr>
          <w:rFonts w:ascii="Arial" w:hAnsi="Arial" w:cs="Arial"/>
          <w:szCs w:val="24"/>
          <w:lang w:val="en-GB"/>
        </w:rPr>
        <w:t xml:space="preserve">further </w:t>
      </w:r>
      <w:r w:rsidRPr="0028108F">
        <w:rPr>
          <w:rFonts w:ascii="Arial" w:hAnsi="Arial" w:cs="Arial"/>
          <w:szCs w:val="24"/>
          <w:lang w:val="en-GB"/>
        </w:rPr>
        <w:t>require</w:t>
      </w:r>
      <w:r w:rsidR="00290473" w:rsidRPr="0028108F">
        <w:rPr>
          <w:rFonts w:ascii="Arial" w:hAnsi="Arial" w:cs="Arial"/>
          <w:szCs w:val="24"/>
          <w:lang w:val="en-GB"/>
        </w:rPr>
        <w:t>s</w:t>
      </w:r>
      <w:r w:rsidRPr="0028108F">
        <w:rPr>
          <w:rFonts w:ascii="Arial" w:hAnsi="Arial" w:cs="Arial"/>
          <w:szCs w:val="24"/>
          <w:lang w:val="en-GB"/>
        </w:rPr>
        <w:t xml:space="preserve"> the applicants’ physical appearance to be </w:t>
      </w:r>
      <w:r w:rsidR="00A84871" w:rsidRPr="0028108F">
        <w:rPr>
          <w:rFonts w:ascii="Arial" w:hAnsi="Arial" w:cs="Arial"/>
          <w:szCs w:val="24"/>
          <w:lang w:val="en-GB"/>
        </w:rPr>
        <w:t>transitioned</w:t>
      </w:r>
      <w:r w:rsidRPr="0028108F">
        <w:rPr>
          <w:rFonts w:ascii="Arial" w:hAnsi="Arial" w:cs="Arial"/>
          <w:szCs w:val="24"/>
          <w:lang w:val="en-GB"/>
        </w:rPr>
        <w:t xml:space="preserve"> to the characteristics associated with the preferred legal gender</w:t>
      </w:r>
      <w:r w:rsidR="00577DA2" w:rsidRPr="0028108F">
        <w:rPr>
          <w:rFonts w:ascii="Arial" w:hAnsi="Arial" w:cs="Arial"/>
          <w:szCs w:val="24"/>
          <w:lang w:val="en-GB"/>
        </w:rPr>
        <w:t>.</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Germany, </w:t>
      </w:r>
      <w:r w:rsidR="0050404C" w:rsidRPr="0028108F">
        <w:rPr>
          <w:rFonts w:ascii="Arial" w:hAnsi="Arial" w:cs="Arial"/>
          <w:szCs w:val="24"/>
          <w:lang w:val="en-GB"/>
        </w:rPr>
        <w:t xml:space="preserve">Ireland, </w:t>
      </w:r>
      <w:r w:rsidRPr="0028108F">
        <w:rPr>
          <w:rFonts w:ascii="Arial" w:hAnsi="Arial" w:cs="Arial"/>
          <w:szCs w:val="24"/>
          <w:lang w:val="en-GB"/>
        </w:rPr>
        <w:t xml:space="preserve">the Netherlands, Sweden and the United Kingdom require proof of the applicant’s intention to live in the opposite gender.  </w:t>
      </w:r>
      <w:r w:rsidR="00A84871" w:rsidRPr="0028108F">
        <w:rPr>
          <w:rFonts w:ascii="Arial" w:hAnsi="Arial" w:cs="Arial"/>
          <w:szCs w:val="24"/>
          <w:lang w:val="en-GB"/>
        </w:rPr>
        <w:t xml:space="preserve">  </w:t>
      </w:r>
      <w:r w:rsidRPr="0028108F">
        <w:rPr>
          <w:rFonts w:ascii="Arial" w:hAnsi="Arial" w:cs="Arial"/>
          <w:szCs w:val="24"/>
          <w:lang w:val="en-GB"/>
        </w:rPr>
        <w:t xml:space="preserve">As self-declaration of one’s preferred gender is allowed in Denmark, Ireland Malta, </w:t>
      </w:r>
      <w:r w:rsidR="00886E51" w:rsidRPr="0028108F">
        <w:rPr>
          <w:rFonts w:ascii="Arial" w:hAnsi="Arial" w:cs="Arial"/>
          <w:szCs w:val="24"/>
          <w:lang w:val="en-GB"/>
        </w:rPr>
        <w:t xml:space="preserve">Norway and France, </w:t>
      </w:r>
      <w:r w:rsidRPr="0028108F">
        <w:rPr>
          <w:rFonts w:ascii="Arial" w:hAnsi="Arial" w:cs="Arial"/>
          <w:szCs w:val="24"/>
          <w:lang w:val="en-GB"/>
        </w:rPr>
        <w:t>these countries are not considered to have requirements regarding the applicants’ intention to live in the opposite gender.</w:t>
      </w:r>
      <w:r w:rsidR="00886E51" w:rsidRPr="0028108F">
        <w:rPr>
          <w:rFonts w:ascii="Arial" w:hAnsi="Arial" w:cs="Arial"/>
          <w:szCs w:val="24"/>
          <w:lang w:val="en-GB"/>
        </w:rPr>
        <w:t xml:space="preserve"> France</w:t>
      </w:r>
      <w:r w:rsidR="0027315E" w:rsidRPr="0028108F">
        <w:rPr>
          <w:rFonts w:ascii="Arial" w:hAnsi="Arial" w:cs="Arial"/>
          <w:szCs w:val="24"/>
          <w:lang w:val="en-GB"/>
        </w:rPr>
        <w:t xml:space="preserve"> also</w:t>
      </w:r>
      <w:r w:rsidR="00886E51" w:rsidRPr="0028108F">
        <w:rPr>
          <w:rFonts w:ascii="Arial" w:hAnsi="Arial" w:cs="Arial"/>
          <w:szCs w:val="24"/>
          <w:lang w:val="en-GB"/>
        </w:rPr>
        <w:t xml:space="preserve"> requires the applicant to have, amongst other things, publicly claimed to belong to the preferred gender.</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Hormonal treatment is required in Finland, Poland and Slovakia.  In Poland, a mastectomy was in some court cases held to be a prerequisite for female-to-male transgender person to have his preferred gender recognised.</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Minimum age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Applications are open to minors in Austria, Belgium, </w:t>
      </w:r>
      <w:r w:rsidR="001F1A82">
        <w:rPr>
          <w:rFonts w:ascii="Arial" w:hAnsi="Arial" w:cs="Arial" w:hint="eastAsia"/>
          <w:szCs w:val="24"/>
          <w:lang w:val="en-GB"/>
        </w:rPr>
        <w:t xml:space="preserve">Croatia, </w:t>
      </w:r>
      <w:r w:rsidRPr="0028108F">
        <w:rPr>
          <w:rFonts w:ascii="Arial" w:hAnsi="Arial" w:cs="Arial"/>
          <w:szCs w:val="24"/>
          <w:lang w:val="en-GB"/>
        </w:rPr>
        <w:t>Germany, Latvia, Luxembourg and Malta.  Ireland allows children of 16 and 17 years of age to apply with requirements of medical certification, parental consent and a court order</w:t>
      </w:r>
      <w:r w:rsidR="00051FF8" w:rsidRPr="0028108F">
        <w:rPr>
          <w:rFonts w:ascii="Arial" w:hAnsi="Arial" w:cs="Arial"/>
          <w:szCs w:val="24"/>
          <w:lang w:val="en-GB"/>
        </w:rPr>
        <w:t xml:space="preserve">. </w:t>
      </w:r>
      <w:r w:rsidR="00445FDC" w:rsidRPr="0028108F">
        <w:rPr>
          <w:rFonts w:ascii="Arial" w:hAnsi="Arial" w:cs="Arial"/>
          <w:szCs w:val="24"/>
          <w:lang w:val="en-GB"/>
        </w:rPr>
        <w:t xml:space="preserve"> </w:t>
      </w:r>
      <w:r w:rsidR="008931FF" w:rsidRPr="0028108F">
        <w:rPr>
          <w:rFonts w:ascii="Arial" w:hAnsi="Arial" w:cs="Arial"/>
          <w:szCs w:val="24"/>
          <w:lang w:val="en-GB"/>
        </w:rPr>
        <w:t xml:space="preserve">In Norway, persons </w:t>
      </w:r>
      <w:r w:rsidR="00445FDC" w:rsidRPr="0028108F">
        <w:rPr>
          <w:rFonts w:ascii="Arial" w:hAnsi="Arial" w:cs="Arial"/>
          <w:szCs w:val="24"/>
          <w:lang w:val="en-GB"/>
        </w:rPr>
        <w:t>of ages between 6 and 16</w:t>
      </w:r>
      <w:r w:rsidR="008931FF" w:rsidRPr="0028108F">
        <w:rPr>
          <w:rFonts w:ascii="Arial" w:hAnsi="Arial" w:cs="Arial"/>
          <w:szCs w:val="24"/>
          <w:lang w:val="en-GB"/>
        </w:rPr>
        <w:t xml:space="preserve"> may apply with parental permission. </w:t>
      </w:r>
      <w:r w:rsidR="00A84871" w:rsidRPr="0028108F">
        <w:rPr>
          <w:rFonts w:ascii="Arial" w:hAnsi="Arial" w:cs="Arial"/>
          <w:szCs w:val="24"/>
          <w:lang w:val="en-GB"/>
        </w:rPr>
        <w:t xml:space="preserve"> </w:t>
      </w:r>
      <w:r w:rsidR="00051FF8" w:rsidRPr="0028108F">
        <w:rPr>
          <w:rFonts w:ascii="Arial" w:hAnsi="Arial" w:cs="Arial"/>
          <w:szCs w:val="24"/>
          <w:lang w:val="en-GB"/>
        </w:rPr>
        <w:t xml:space="preserve">In France, </w:t>
      </w:r>
      <w:r w:rsidR="00D735FA" w:rsidRPr="0028108F">
        <w:rPr>
          <w:rFonts w:ascii="Arial" w:hAnsi="Arial" w:cs="Arial"/>
          <w:szCs w:val="24"/>
          <w:lang w:val="en-GB"/>
        </w:rPr>
        <w:t>a person having reached the age of 16 or having been pronounced as emancipated by the judge of guardianships</w:t>
      </w:r>
      <w:r w:rsidR="00D735FA" w:rsidRPr="00181CF2">
        <w:rPr>
          <w:rFonts w:ascii="Arial" w:hAnsi="Arial" w:cs="Arial"/>
          <w:szCs w:val="24"/>
          <w:lang w:val="en-GB"/>
        </w:rPr>
        <w:t xml:space="preserve"> </w:t>
      </w:r>
      <w:r w:rsidR="00051FF8" w:rsidRPr="0028108F">
        <w:rPr>
          <w:rFonts w:ascii="Arial" w:hAnsi="Arial" w:cs="Arial"/>
          <w:szCs w:val="24"/>
          <w:lang w:val="en-GB"/>
        </w:rPr>
        <w:t xml:space="preserve">are able to apply for </w:t>
      </w:r>
      <w:r w:rsidR="00D735FA" w:rsidRPr="0028108F">
        <w:rPr>
          <w:rFonts w:ascii="Arial" w:hAnsi="Arial" w:cs="Arial"/>
          <w:szCs w:val="24"/>
          <w:lang w:val="en-GB"/>
        </w:rPr>
        <w:t xml:space="preserve">change of sex entry in his/her civil status </w:t>
      </w:r>
      <w:r w:rsidRPr="0028108F">
        <w:rPr>
          <w:rFonts w:ascii="Arial" w:hAnsi="Arial" w:cs="Arial"/>
          <w:szCs w:val="24"/>
          <w:lang w:val="en-GB"/>
        </w:rPr>
        <w:t xml:space="preserve">(see </w:t>
      </w:r>
      <w:r w:rsidRPr="008813DE">
        <w:rPr>
          <w:rFonts w:ascii="Arial" w:hAnsi="Arial" w:cs="Arial"/>
          <w:szCs w:val="24"/>
          <w:lang w:val="en-GB"/>
        </w:rPr>
        <w:t>Annex A and Annex B</w:t>
      </w:r>
      <w:r w:rsidRPr="0028108F">
        <w:rPr>
          <w:rFonts w:ascii="Arial" w:hAnsi="Arial" w:cs="Arial"/>
          <w:szCs w:val="24"/>
          <w:lang w:val="en-GB"/>
        </w:rPr>
        <w:t xml:space="preserve"> for more details).</w:t>
      </w:r>
      <w:r w:rsidR="00293542"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Requirements relating to pre-existing marriage</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 condition that the applicant must be unmarried or seek a divorce can be found in the schemes of </w:t>
      </w:r>
      <w:r w:rsidR="00645259">
        <w:rPr>
          <w:rFonts w:ascii="Arial" w:hAnsi="Arial" w:cs="Arial" w:hint="eastAsia"/>
          <w:szCs w:val="24"/>
          <w:lang w:val="en-GB"/>
        </w:rPr>
        <w:t>nine</w:t>
      </w:r>
      <w:r w:rsidR="008F01D1">
        <w:rPr>
          <w:rFonts w:ascii="Arial" w:hAnsi="Arial" w:cs="Arial" w:hint="eastAsia"/>
          <w:szCs w:val="24"/>
          <w:lang w:val="en-GB"/>
        </w:rPr>
        <w:t xml:space="preserve"> </w:t>
      </w:r>
      <w:r w:rsidRPr="0028108F">
        <w:rPr>
          <w:rFonts w:ascii="Arial" w:hAnsi="Arial" w:cs="Arial"/>
          <w:szCs w:val="24"/>
          <w:lang w:val="en-GB"/>
        </w:rPr>
        <w:t>European countries.</w:t>
      </w:r>
      <w:r w:rsidRPr="0028108F">
        <w:rPr>
          <w:rStyle w:val="FootnoteReference"/>
          <w:rFonts w:ascii="Arial" w:hAnsi="Arial" w:cs="Arial"/>
          <w:szCs w:val="24"/>
          <w:lang w:val="en-GB"/>
        </w:rPr>
        <w:footnoteReference w:id="305"/>
      </w:r>
      <w:r w:rsidRPr="0028108F">
        <w:rPr>
          <w:rFonts w:ascii="Arial" w:hAnsi="Arial" w:cs="Arial"/>
          <w:szCs w:val="24"/>
          <w:lang w:val="en-GB"/>
        </w:rPr>
        <w:t xml:space="preserve">  Other countries are either silent on this issue (such as Belgium and Greece) or no </w:t>
      </w:r>
      <w:r w:rsidRPr="0028108F">
        <w:rPr>
          <w:rFonts w:ascii="Arial" w:hAnsi="Arial" w:cs="Arial"/>
          <w:szCs w:val="24"/>
          <w:lang w:val="en-GB"/>
        </w:rPr>
        <w:lastRenderedPageBreak/>
        <w:t>longer impose the marital status exclusion (such as Estonia and France).</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Foreign gender recognition or foreign gender reassignment surgery</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Most gender recognition schemes in the European countries studied are </w:t>
      </w:r>
      <w:r w:rsidR="000F2CC9">
        <w:rPr>
          <w:rFonts w:ascii="Arial" w:hAnsi="Arial" w:cs="Arial"/>
          <w:szCs w:val="24"/>
          <w:lang w:val="en-GB"/>
        </w:rPr>
        <w:t xml:space="preserve">either not entirely clear </w:t>
      </w:r>
      <w:r w:rsidRPr="0028108F">
        <w:rPr>
          <w:rFonts w:ascii="Arial" w:hAnsi="Arial" w:cs="Arial"/>
          <w:szCs w:val="24"/>
          <w:lang w:val="en-GB"/>
        </w:rPr>
        <w:t xml:space="preserve">or silent on whether foreign gender recognition or </w:t>
      </w:r>
      <w:r w:rsidR="00153A58" w:rsidRPr="0028108F">
        <w:rPr>
          <w:rFonts w:ascii="Arial" w:hAnsi="Arial" w:cs="Arial"/>
          <w:szCs w:val="24"/>
          <w:lang w:val="en-GB"/>
        </w:rPr>
        <w:t xml:space="preserve">SRS </w:t>
      </w:r>
      <w:r w:rsidRPr="0028108F">
        <w:rPr>
          <w:rFonts w:ascii="Arial" w:hAnsi="Arial" w:cs="Arial"/>
          <w:szCs w:val="24"/>
          <w:lang w:val="en-GB"/>
        </w:rPr>
        <w:t xml:space="preserve">performed in foreign countries are recognised.  Apart from the United Kingdom, which has detailed provisions on how this matter is addressed in </w:t>
      </w:r>
      <w:r w:rsidR="00784AF1" w:rsidRPr="0028108F">
        <w:rPr>
          <w:rFonts w:ascii="Arial" w:hAnsi="Arial" w:cs="Arial"/>
          <w:szCs w:val="24"/>
          <w:lang w:val="en-GB"/>
        </w:rPr>
        <w:t>the UK GRA</w:t>
      </w:r>
      <w:r w:rsidRPr="0028108F">
        <w:rPr>
          <w:rFonts w:ascii="Arial" w:hAnsi="Arial" w:cs="Arial"/>
          <w:szCs w:val="24"/>
          <w:lang w:val="en-GB"/>
        </w:rPr>
        <w:t xml:space="preserve"> (see Chapter </w:t>
      </w:r>
      <w:r w:rsidRPr="008813DE">
        <w:rPr>
          <w:rFonts w:ascii="Arial" w:hAnsi="Arial" w:cs="Arial"/>
          <w:szCs w:val="24"/>
          <w:lang w:val="en-GB"/>
        </w:rPr>
        <w:t>3</w:t>
      </w:r>
      <w:r w:rsidRPr="0028108F">
        <w:rPr>
          <w:rFonts w:ascii="Arial" w:hAnsi="Arial" w:cs="Arial"/>
          <w:szCs w:val="24"/>
          <w:lang w:val="en-GB"/>
        </w:rPr>
        <w:t xml:space="preserve"> in this paper), Ireland allows a person who has changed gender under the law of a foreign jurisdiction to apply for gender recognition provided that requirements to be fulfilled under the law of that jurisdiction concerned are </w:t>
      </w:r>
      <w:r w:rsidRPr="0028108F">
        <w:rPr>
          <w:rFonts w:ascii="Arial" w:hAnsi="Arial" w:cs="Arial"/>
          <w:i/>
          <w:szCs w:val="24"/>
          <w:lang w:val="en-GB"/>
        </w:rPr>
        <w:t>“at least equivalent to the requirements to be fulfilled under”</w:t>
      </w:r>
      <w:r w:rsidRPr="0028108F">
        <w:rPr>
          <w:rFonts w:ascii="Arial" w:hAnsi="Arial" w:cs="Arial"/>
          <w:szCs w:val="24"/>
          <w:lang w:val="en-GB"/>
        </w:rPr>
        <w:t xml:space="preserve"> the Irish Gender Recognition Act regarding self-declaration.  Malta also recognises a final decision about a person’s gender identity determined by a competent foreign court or responsible authority.  Dutch law applies to a foreign applicant if he or she has a valid residence permit and has been domiciled in the Netherlands for at least one year.  Germany allows foreign nationals to make applications for legal gender recognition if the law in their country of nationality does not contain provisions comparable to the German Transsexuals Act and the foreign national concerned has legal status under German immigration law.  Iceland, Portugal, Slovenia and Sweden have related provisions to recognise </w:t>
      </w:r>
      <w:r w:rsidR="00153A58" w:rsidRPr="0028108F">
        <w:rPr>
          <w:rFonts w:ascii="Arial" w:hAnsi="Arial" w:cs="Arial"/>
          <w:szCs w:val="24"/>
          <w:lang w:val="en-GB"/>
        </w:rPr>
        <w:t xml:space="preserve">SRS </w:t>
      </w:r>
      <w:r w:rsidRPr="0028108F">
        <w:rPr>
          <w:rFonts w:ascii="Arial" w:hAnsi="Arial" w:cs="Arial"/>
          <w:szCs w:val="24"/>
          <w:lang w:val="en-GB"/>
        </w:rPr>
        <w:t>or relevant treatments done overseas.  These do not cover foreign gender recognition, however.  Iceland may evaluate legal gender recognition granted from other countries.  Sweden may recognise a verdict or a decision about a person’s changed gender, as determined by a foreign court or authority, if the person was a citizen in the foreign country or had residency there when the verdict or the decision was determined.  Spain excludes foreign citizens from application for gender recognition.</w:t>
      </w:r>
      <w:r w:rsidR="00C94765" w:rsidRPr="0028108F">
        <w:rPr>
          <w:rFonts w:ascii="Arial" w:hAnsi="Arial" w:cs="Arial"/>
          <w:szCs w:val="24"/>
          <w:lang w:val="en-GB"/>
        </w:rPr>
        <w:t xml:space="preserve"> </w:t>
      </w:r>
      <w:r w:rsidR="00BE7FEE" w:rsidRPr="0028108F">
        <w:rPr>
          <w:rFonts w:ascii="Arial" w:hAnsi="Arial" w:cs="Arial"/>
          <w:szCs w:val="24"/>
          <w:lang w:val="en-GB"/>
        </w:rPr>
        <w:t xml:space="preserve"> </w:t>
      </w:r>
      <w:r w:rsidR="00310CBC"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types of official documents affected after recognition of a new gender vary across the different European countries.  The gender marker on birth certificates or the birth registry is allowed to be amended in</w:t>
      </w:r>
      <w:r w:rsidR="004E2691">
        <w:rPr>
          <w:rFonts w:ascii="Arial" w:hAnsi="Arial" w:cs="Arial" w:hint="eastAsia"/>
          <w:szCs w:val="24"/>
          <w:lang w:val="en-GB"/>
        </w:rPr>
        <w:t xml:space="preserve"> 24 </w:t>
      </w:r>
      <w:r w:rsidRPr="0028108F">
        <w:rPr>
          <w:rFonts w:ascii="Arial" w:hAnsi="Arial" w:cs="Arial"/>
          <w:szCs w:val="24"/>
          <w:lang w:val="en-GB"/>
        </w:rPr>
        <w:t>countries,</w:t>
      </w:r>
      <w:r w:rsidRPr="00181CF2">
        <w:rPr>
          <w:rStyle w:val="FootnoteReference"/>
          <w:rFonts w:ascii="Arial" w:hAnsi="Arial" w:cs="Arial"/>
          <w:szCs w:val="24"/>
          <w:lang w:val="en-GB"/>
        </w:rPr>
        <w:footnoteReference w:id="306"/>
      </w:r>
      <w:r w:rsidRPr="00181CF2">
        <w:rPr>
          <w:rFonts w:ascii="Arial" w:hAnsi="Arial" w:cs="Arial"/>
          <w:szCs w:val="24"/>
          <w:lang w:val="en-GB"/>
        </w:rPr>
        <w:t xml:space="preserve"> but some of these (such as Moldova and Serbia) issue an amended birth certific</w:t>
      </w:r>
      <w:r w:rsidRPr="00C57CE1">
        <w:rPr>
          <w:rFonts w:ascii="Arial" w:hAnsi="Arial" w:cs="Arial"/>
          <w:szCs w:val="24"/>
          <w:lang w:val="en-GB"/>
        </w:rPr>
        <w:t>ate instead of a new one, which might disclose the previous gender of the transgender person.  Birth certificates are hardly ever used in Finland; nonetheless, gender recognition in Finland will result in an update to the Population Information System, whi</w:t>
      </w:r>
      <w:r w:rsidRPr="0028108F">
        <w:rPr>
          <w:rFonts w:ascii="Arial" w:hAnsi="Arial" w:cs="Arial"/>
          <w:szCs w:val="24"/>
          <w:lang w:val="en-GB"/>
        </w:rPr>
        <w:t xml:space="preserve">ch is crucial for the everyday life of any Finnish person.  In Cyprus, </w:t>
      </w:r>
      <w:r w:rsidR="00726B47" w:rsidRPr="0028108F">
        <w:rPr>
          <w:rFonts w:ascii="Arial" w:hAnsi="Arial" w:cs="Arial"/>
          <w:szCs w:val="24"/>
          <w:lang w:val="en-GB"/>
        </w:rPr>
        <w:t xml:space="preserve">France, </w:t>
      </w:r>
      <w:r w:rsidRPr="0028108F">
        <w:rPr>
          <w:rFonts w:ascii="Arial" w:hAnsi="Arial" w:cs="Arial"/>
          <w:szCs w:val="24"/>
          <w:lang w:val="en-GB"/>
        </w:rPr>
        <w:t>Iceland, Liechtenstein, Moldova, Russian Federation, Spain, Sweden, Switzerland, gender recognition entails rectification or amendment of one’s gender marker on the civil registry records but not the birth certificate.</w:t>
      </w:r>
    </w:p>
    <w:p w:rsidR="003D52D7" w:rsidRDefault="003D52D7" w:rsidP="003D52D7">
      <w:pPr>
        <w:adjustRightInd w:val="0"/>
        <w:snapToGrid w:val="0"/>
        <w:jc w:val="both"/>
        <w:rPr>
          <w:rFonts w:ascii="Arial" w:hAnsi="Arial" w:cs="Arial"/>
          <w:b/>
          <w:i/>
          <w:szCs w:val="24"/>
          <w:lang w:val="en-GB"/>
        </w:rPr>
      </w:pPr>
    </w:p>
    <w:p w:rsidR="0095452E" w:rsidRPr="0028108F" w:rsidRDefault="0095452E" w:rsidP="003D52D7">
      <w:pPr>
        <w:adjustRightInd w:val="0"/>
        <w:snapToGrid w:val="0"/>
        <w:jc w:val="both"/>
        <w:rPr>
          <w:rFonts w:ascii="Arial" w:hAnsi="Arial" w:cs="Arial"/>
          <w:b/>
          <w:i/>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lastRenderedPageBreak/>
        <w:t>Examples of European jurisdictions which have enacted specific gender recognition legislation</w:t>
      </w:r>
    </w:p>
    <w:p w:rsidR="003D52D7" w:rsidRPr="0028108F" w:rsidRDefault="003D52D7" w:rsidP="003D52D7">
      <w:pPr>
        <w:adjustRightInd w:val="0"/>
        <w:snapToGrid w:val="0"/>
        <w:jc w:val="both"/>
        <w:rPr>
          <w:rFonts w:ascii="Arial" w:hAnsi="Arial" w:cs="Arial"/>
          <w:b/>
          <w:i/>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Denmark</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Legislative model for gender recognition</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so-called “avant-garde” new gender recognition law in Denmark received prominent coverage in many countries in mid-2014.  On 11 June 2014, the Danish parliament introduced the Argentina-type model on gender recognition (to be discussed further in the latter part of this </w:t>
      </w:r>
      <w:r w:rsidR="00725477">
        <w:rPr>
          <w:rFonts w:ascii="Arial" w:hAnsi="Arial" w:cs="Arial"/>
          <w:szCs w:val="24"/>
          <w:lang w:val="en-GB"/>
        </w:rPr>
        <w:t>c</w:t>
      </w:r>
      <w:r w:rsidR="00725477" w:rsidRPr="0028108F">
        <w:rPr>
          <w:rFonts w:ascii="Arial" w:hAnsi="Arial" w:cs="Arial"/>
          <w:szCs w:val="24"/>
          <w:lang w:val="en-GB"/>
        </w:rPr>
        <w:t>hapter</w:t>
      </w:r>
      <w:r w:rsidRPr="0028108F">
        <w:rPr>
          <w:rFonts w:ascii="Arial" w:hAnsi="Arial" w:cs="Arial"/>
          <w:szCs w:val="24"/>
          <w:lang w:val="en-GB"/>
        </w:rPr>
        <w:t xml:space="preserve">) without requiring any surgical, psychiatric or medical </w:t>
      </w:r>
      <w:r w:rsidR="005D646F" w:rsidRPr="0028108F">
        <w:rPr>
          <w:rFonts w:ascii="Arial" w:hAnsi="Arial" w:cs="Arial"/>
          <w:szCs w:val="24"/>
          <w:lang w:val="en-GB"/>
        </w:rPr>
        <w:t xml:space="preserve">requirements </w:t>
      </w:r>
      <w:r w:rsidRPr="0028108F">
        <w:rPr>
          <w:rFonts w:ascii="Arial" w:hAnsi="Arial" w:cs="Arial"/>
          <w:szCs w:val="24"/>
          <w:lang w:val="en-GB"/>
        </w:rPr>
        <w:t>for a person to legally obtain their preferred gender.</w:t>
      </w:r>
      <w:r w:rsidRPr="0028108F">
        <w:rPr>
          <w:rStyle w:val="FootnoteReference"/>
          <w:rFonts w:ascii="Arial" w:hAnsi="Arial" w:cs="Arial"/>
          <w:szCs w:val="24"/>
          <w:lang w:val="en-GB"/>
        </w:rPr>
        <w:t xml:space="preserve"> </w:t>
      </w:r>
      <w:r w:rsidRPr="0028108F">
        <w:rPr>
          <w:rFonts w:ascii="Arial" w:hAnsi="Arial" w:cs="Arial"/>
          <w:szCs w:val="24"/>
          <w:lang w:val="en-GB"/>
        </w:rPr>
        <w:t xml:space="preserve"> The new law came into force on 1 September 2014.</w:t>
      </w:r>
      <w:r w:rsidRPr="00181CF2">
        <w:rPr>
          <w:rStyle w:val="FootnoteReference"/>
          <w:rFonts w:ascii="Arial" w:hAnsi="Arial" w:cs="Arial"/>
          <w:szCs w:val="24"/>
          <w:lang w:val="en-GB"/>
        </w:rPr>
        <w:footnoteReference w:id="307"/>
      </w:r>
      <w:r w:rsidRPr="00181CF2">
        <w:rPr>
          <w:rFonts w:ascii="Arial" w:hAnsi="Arial" w:cs="Arial"/>
          <w:szCs w:val="24"/>
          <w:lang w:val="en-GB"/>
        </w:rPr>
        <w:t xml:space="preserve">  </w:t>
      </w:r>
    </w:p>
    <w:p w:rsidR="003D52D7" w:rsidRPr="00C57CE1"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Prior to such a legislative development, transgender people in Denmark could not obtain legal recognition of their preferred gender unless they obtained a psychiatric diagnosis of </w:t>
      </w:r>
      <w:r w:rsidRPr="0028108F">
        <w:rPr>
          <w:rFonts w:ascii="Arial" w:hAnsi="Arial" w:cs="Arial"/>
          <w:i/>
          <w:szCs w:val="24"/>
          <w:lang w:val="en-GB"/>
        </w:rPr>
        <w:t>“transsexualism”</w:t>
      </w:r>
      <w:r w:rsidRPr="0028108F">
        <w:rPr>
          <w:rFonts w:ascii="Arial" w:hAnsi="Arial" w:cs="Arial"/>
          <w:szCs w:val="24"/>
          <w:lang w:val="en-GB"/>
        </w:rPr>
        <w:t xml:space="preserve"> and underwent psychiatric assessment and medical treatments including hormonal treatment, surgeries and irreversible sterilisation.</w:t>
      </w:r>
      <w:r w:rsidRPr="00181CF2">
        <w:rPr>
          <w:rStyle w:val="FootnoteReference"/>
          <w:rFonts w:ascii="Arial" w:hAnsi="Arial" w:cs="Arial"/>
          <w:szCs w:val="24"/>
          <w:lang w:val="en-GB"/>
        </w:rPr>
        <w:footnoteReference w:id="308"/>
      </w:r>
      <w:r w:rsidRPr="00181CF2">
        <w:rPr>
          <w:rFonts w:ascii="Arial" w:hAnsi="Arial" w:cs="Arial"/>
          <w:szCs w:val="24"/>
          <w:lang w:val="en-GB"/>
        </w:rPr>
        <w:t xml:space="preserve">  Denmark is known to be the fir</w:t>
      </w:r>
      <w:r w:rsidRPr="00C57CE1">
        <w:rPr>
          <w:rFonts w:ascii="Arial" w:hAnsi="Arial" w:cs="Arial"/>
          <w:szCs w:val="24"/>
          <w:lang w:val="en-GB"/>
        </w:rPr>
        <w:t xml:space="preserve">st country in Europe where a </w:t>
      </w:r>
      <w:r w:rsidR="00334997" w:rsidRPr="0028108F">
        <w:rPr>
          <w:rFonts w:ascii="Arial" w:hAnsi="Arial" w:cs="Arial"/>
          <w:szCs w:val="24"/>
          <w:lang w:val="en-GB"/>
        </w:rPr>
        <w:t>gender identity disorder</w:t>
      </w:r>
      <w:r w:rsidRPr="0028108F">
        <w:rPr>
          <w:rFonts w:ascii="Arial" w:hAnsi="Arial" w:cs="Arial"/>
          <w:szCs w:val="24"/>
          <w:lang w:val="en-GB"/>
        </w:rPr>
        <w:t xml:space="preserve"> diagnosis or any psychological assessment or opinion is not required for a person to obtain gender recognition.</w:t>
      </w:r>
      <w:r w:rsidRPr="00181CF2">
        <w:rPr>
          <w:rStyle w:val="FootnoteReference"/>
          <w:rFonts w:ascii="Arial" w:hAnsi="Arial" w:cs="Arial"/>
          <w:lang w:val="en-GB"/>
        </w:rPr>
        <w:footnoteReference w:id="309"/>
      </w:r>
    </w:p>
    <w:p w:rsidR="003D52D7" w:rsidRPr="00C57CE1"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C57CE1"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C57CE1">
        <w:rPr>
          <w:rFonts w:ascii="Arial" w:hAnsi="Arial" w:cs="Arial"/>
          <w:i/>
          <w:szCs w:val="24"/>
          <w:lang w:val="en-GB"/>
        </w:rPr>
        <w:t>Minimal requirements for gender recognition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light of the new law, an applicant who is over the age of 18</w:t>
      </w:r>
      <w:r w:rsidRPr="00181CF2">
        <w:rPr>
          <w:rStyle w:val="FootnoteReference"/>
          <w:rFonts w:ascii="Arial" w:hAnsi="Arial" w:cs="Arial"/>
          <w:szCs w:val="24"/>
          <w:lang w:val="en-GB"/>
        </w:rPr>
        <w:footnoteReference w:id="310"/>
      </w:r>
      <w:r w:rsidRPr="00181CF2">
        <w:rPr>
          <w:rFonts w:ascii="Arial" w:hAnsi="Arial" w:cs="Arial"/>
          <w:szCs w:val="24"/>
          <w:lang w:val="en-GB"/>
        </w:rPr>
        <w:t xml:space="preserve"> can update the gender marker on his or her personal documents, including passports, birth certificates and social security numbers, by way of (a) submitting a written application to the Ministry of Economy and Domestic Affairs; (b)</w:t>
      </w:r>
      <w:r w:rsidRPr="00C57CE1">
        <w:rPr>
          <w:rFonts w:ascii="Arial" w:hAnsi="Arial" w:cs="Arial"/>
          <w:szCs w:val="24"/>
          <w:lang w:val="en-GB"/>
        </w:rPr>
        <w:t xml:space="preserve"> stating in the application that the wish is based on an experience of belonging to the other gender.</w:t>
      </w:r>
      <w:r w:rsidRPr="00181CF2">
        <w:rPr>
          <w:rStyle w:val="FootnoteReference"/>
          <w:rFonts w:ascii="Arial" w:hAnsi="Arial" w:cs="Arial"/>
          <w:szCs w:val="24"/>
          <w:lang w:val="en-GB"/>
        </w:rPr>
        <w:footnoteReference w:id="311"/>
      </w:r>
      <w:r w:rsidRPr="00181CF2">
        <w:rPr>
          <w:rFonts w:ascii="Arial" w:hAnsi="Arial" w:cs="Arial"/>
          <w:szCs w:val="24"/>
          <w:lang w:val="en-GB"/>
        </w:rPr>
        <w:t xml:space="preserve">  No medical intervention is required.  After a period of no less than 6 months following the application, the applicant needs to reconfirm his or her app</w:t>
      </w:r>
      <w:r w:rsidRPr="00C57CE1">
        <w:rPr>
          <w:rFonts w:ascii="Arial" w:hAnsi="Arial" w:cs="Arial"/>
          <w:szCs w:val="24"/>
          <w:lang w:val="en-GB"/>
        </w:rPr>
        <w:t>lication and thereafter the applicant’s legal gender indicated in the Central Person Registry (</w:t>
      </w:r>
      <w:r w:rsidR="00D6311F" w:rsidRPr="0028108F">
        <w:rPr>
          <w:rFonts w:ascii="Arial" w:hAnsi="Arial" w:cs="Arial"/>
          <w:szCs w:val="24"/>
          <w:lang w:val="en-GB"/>
        </w:rPr>
        <w:t>ie</w:t>
      </w:r>
      <w:r w:rsidR="006B78C8">
        <w:rPr>
          <w:rFonts w:ascii="Arial" w:hAnsi="Arial" w:cs="Arial" w:hint="eastAsia"/>
          <w:szCs w:val="24"/>
          <w:lang w:val="en-GB"/>
        </w:rPr>
        <w:t>,</w:t>
      </w:r>
      <w:r w:rsidRPr="0028108F">
        <w:rPr>
          <w:rFonts w:ascii="Arial" w:hAnsi="Arial" w:cs="Arial"/>
          <w:szCs w:val="24"/>
          <w:lang w:val="en-GB"/>
        </w:rPr>
        <w:t xml:space="preserve"> the CPR number) would be changed.</w:t>
      </w:r>
      <w:r w:rsidRPr="00181CF2">
        <w:rPr>
          <w:rStyle w:val="FootnoteReference"/>
          <w:rFonts w:ascii="Arial" w:hAnsi="Arial" w:cs="Arial"/>
          <w:szCs w:val="24"/>
          <w:lang w:val="en-GB"/>
        </w:rPr>
        <w:footnoteReference w:id="312"/>
      </w:r>
      <w:r w:rsidRPr="00181CF2" w:rsidDel="00220D98">
        <w:rPr>
          <w:rFonts w:ascii="Arial" w:hAnsi="Arial" w:cs="Arial"/>
          <w:szCs w:val="24"/>
          <w:lang w:val="en-GB"/>
        </w:rPr>
        <w:t xml:space="preserve"> </w:t>
      </w:r>
      <w:r w:rsidRPr="00C57CE1">
        <w:rPr>
          <w:rFonts w:ascii="Arial" w:hAnsi="Arial" w:cs="Arial"/>
          <w:szCs w:val="24"/>
          <w:lang w:val="en-GB"/>
        </w:rPr>
        <w:t xml:space="preserve"> Activists from Transgender Europe (TGEU) complained that the </w:t>
      </w:r>
      <w:r w:rsidRPr="00C57CE1">
        <w:rPr>
          <w:rFonts w:ascii="Arial" w:hAnsi="Arial" w:cs="Arial"/>
          <w:szCs w:val="24"/>
          <w:lang w:val="en-GB"/>
        </w:rPr>
        <w:lastRenderedPageBreak/>
        <w:t>6-month time lag prevented people from changing their docum</w:t>
      </w:r>
      <w:r w:rsidRPr="0028108F">
        <w:rPr>
          <w:rFonts w:ascii="Arial" w:hAnsi="Arial" w:cs="Arial"/>
          <w:szCs w:val="24"/>
          <w:lang w:val="en-GB"/>
        </w:rPr>
        <w:t>ents quickly enough, for example, when applying for a job, travelling internationally or enrolling in school.  The lawmakers in Denmark responded that the waiting period was meant to keep people from making hasty decisions they might later regret.</w:t>
      </w:r>
      <w:r w:rsidRPr="00181CF2">
        <w:rPr>
          <w:rStyle w:val="FootnoteReference"/>
          <w:rFonts w:ascii="Arial" w:hAnsi="Arial" w:cs="Arial"/>
          <w:szCs w:val="24"/>
          <w:lang w:val="en-GB"/>
        </w:rPr>
        <w:footnoteReference w:id="313"/>
      </w:r>
      <w:r w:rsidRPr="00181CF2">
        <w:rPr>
          <w:rFonts w:ascii="Arial" w:hAnsi="Arial" w:cs="Arial"/>
          <w:szCs w:val="24"/>
          <w:lang w:val="en-GB"/>
        </w:rPr>
        <w:t xml:space="preserve"> </w:t>
      </w:r>
    </w:p>
    <w:p w:rsidR="003D52D7" w:rsidRPr="00C57CE1" w:rsidRDefault="003D52D7" w:rsidP="003D52D7">
      <w:pPr>
        <w:pStyle w:val="ListParagraph"/>
        <w:tabs>
          <w:tab w:val="left" w:pos="1418"/>
        </w:tabs>
        <w:adjustRightInd w:val="0"/>
        <w:ind w:leftChars="0" w:left="84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new CPR number is recorded in the registry, and the original CPR number is retained in the registry too, referring to the new CPR number.  All information in the registry from the original number will be transferred to the new number, which will from then on be the basis for all new registrations.</w:t>
      </w:r>
      <w:r w:rsidRPr="00181CF2">
        <w:rPr>
          <w:rStyle w:val="FootnoteReference"/>
          <w:rFonts w:ascii="Arial" w:hAnsi="Arial" w:cs="Arial"/>
          <w:szCs w:val="24"/>
          <w:lang w:val="en-GB"/>
        </w:rPr>
        <w:footnoteReference w:id="314"/>
      </w:r>
      <w:r w:rsidRPr="00181CF2">
        <w:rPr>
          <w:rFonts w:ascii="Arial" w:hAnsi="Arial" w:cs="Arial"/>
          <w:szCs w:val="24"/>
          <w:lang w:val="en-GB"/>
        </w:rPr>
        <w:t xml:space="preserve">  The records are accessible only to public authorities or private persons who have been granted this right by law, by administrative order according to law, or have been authorised by the Ministry of Economy and D</w:t>
      </w:r>
      <w:r w:rsidRPr="00C57CE1">
        <w:rPr>
          <w:rFonts w:ascii="Arial" w:hAnsi="Arial" w:cs="Arial"/>
          <w:szCs w:val="24"/>
          <w:lang w:val="en-GB"/>
        </w:rPr>
        <w:t>omestic Affairs.</w:t>
      </w:r>
      <w:r w:rsidRPr="00181CF2">
        <w:rPr>
          <w:rStyle w:val="FootnoteReference"/>
          <w:rFonts w:ascii="Arial" w:hAnsi="Arial" w:cs="Arial"/>
          <w:szCs w:val="24"/>
          <w:lang w:val="en-GB"/>
        </w:rPr>
        <w:footnoteReference w:id="315"/>
      </w:r>
      <w:r w:rsidRPr="00181CF2">
        <w:rPr>
          <w:rFonts w:ascii="Arial" w:hAnsi="Arial" w:cs="Arial"/>
          <w:szCs w:val="24"/>
          <w:lang w:val="en-GB"/>
        </w:rPr>
        <w:t xml:space="preserve">  With the new CPR number, the applicant will automatically receive a new National Health Card (</w:t>
      </w:r>
      <w:r w:rsidRPr="00C57CE1">
        <w:rPr>
          <w:rFonts w:ascii="Arial" w:hAnsi="Arial" w:cs="Arial"/>
          <w:i/>
          <w:szCs w:val="24"/>
          <w:lang w:val="en-GB"/>
        </w:rPr>
        <w:t>sundhedskort</w:t>
      </w:r>
      <w:r w:rsidRPr="0028108F">
        <w:rPr>
          <w:rFonts w:ascii="Arial" w:hAnsi="Arial" w:cs="Arial"/>
          <w:szCs w:val="24"/>
          <w:lang w:val="en-GB"/>
        </w:rPr>
        <w:t>).</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5C685F">
      <w:pPr>
        <w:keepNext/>
        <w:adjustRightInd w:val="0"/>
        <w:snapToGrid w:val="0"/>
        <w:jc w:val="both"/>
        <w:rPr>
          <w:rFonts w:ascii="Arial" w:hAnsi="Arial" w:cs="Arial"/>
          <w:b/>
          <w:i/>
          <w:szCs w:val="24"/>
          <w:lang w:val="en-GB"/>
        </w:rPr>
      </w:pPr>
      <w:r w:rsidRPr="0028108F">
        <w:rPr>
          <w:rFonts w:ascii="Arial" w:hAnsi="Arial" w:cs="Arial"/>
          <w:b/>
          <w:i/>
          <w:szCs w:val="24"/>
          <w:lang w:val="en-GB"/>
        </w:rPr>
        <w:t>Iceland</w:t>
      </w:r>
    </w:p>
    <w:p w:rsidR="003D52D7" w:rsidRPr="0028108F" w:rsidRDefault="003D52D7" w:rsidP="005C685F">
      <w:pPr>
        <w:keepNext/>
        <w:adjustRightInd w:val="0"/>
        <w:snapToGrid w:val="0"/>
        <w:jc w:val="both"/>
        <w:rPr>
          <w:rFonts w:ascii="Arial" w:hAnsi="Arial" w:cs="Arial"/>
          <w:szCs w:val="24"/>
          <w:lang w:val="en-GB"/>
        </w:rPr>
      </w:pPr>
    </w:p>
    <w:p w:rsidR="003D52D7" w:rsidRPr="0028108F" w:rsidRDefault="003D52D7" w:rsidP="005C685F">
      <w:pPr>
        <w:keepNext/>
        <w:adjustRightInd w:val="0"/>
        <w:snapToGrid w:val="0"/>
        <w:jc w:val="both"/>
        <w:rPr>
          <w:rFonts w:ascii="Arial" w:hAnsi="Arial" w:cs="Arial"/>
          <w:i/>
          <w:szCs w:val="24"/>
          <w:lang w:val="en-GB"/>
        </w:rPr>
      </w:pPr>
      <w:r w:rsidRPr="0028108F">
        <w:rPr>
          <w:rFonts w:ascii="Arial" w:hAnsi="Arial" w:cs="Arial"/>
          <w:i/>
          <w:szCs w:val="24"/>
          <w:lang w:val="en-GB"/>
        </w:rPr>
        <w:t>Legislative model for gender recognition</w:t>
      </w:r>
    </w:p>
    <w:p w:rsidR="003D52D7" w:rsidRPr="0028108F" w:rsidRDefault="003D52D7" w:rsidP="005C685F">
      <w:pPr>
        <w:keepNext/>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June 2012, the Icelandic Parliament unanimously adopted the Act on the legal status of individuals with gender identity disorder No. 57/2012 (</w:t>
      </w:r>
      <w:r w:rsidR="007E329F">
        <w:rPr>
          <w:rFonts w:ascii="Arial" w:hAnsi="Arial" w:cs="Arial"/>
          <w:szCs w:val="24"/>
          <w:lang w:val="en-GB"/>
        </w:rPr>
        <w:t>“</w:t>
      </w:r>
      <w:r w:rsidR="00FC0D2C" w:rsidRPr="008813DE">
        <w:rPr>
          <w:rFonts w:ascii="Arial" w:hAnsi="Arial" w:cs="Arial"/>
          <w:i/>
          <w:szCs w:val="24"/>
          <w:lang w:val="en-GB"/>
        </w:rPr>
        <w:t xml:space="preserve">Icelandic </w:t>
      </w:r>
      <w:r w:rsidRPr="008813DE">
        <w:rPr>
          <w:rFonts w:ascii="Arial" w:hAnsi="Arial" w:cs="Arial"/>
          <w:i/>
          <w:szCs w:val="24"/>
          <w:lang w:val="en-GB"/>
        </w:rPr>
        <w:t>GID Act</w:t>
      </w:r>
      <w:r w:rsidR="007E329F">
        <w:rPr>
          <w:rFonts w:ascii="Arial" w:hAnsi="Arial" w:cs="Arial"/>
          <w:szCs w:val="24"/>
          <w:lang w:val="en-GB"/>
        </w:rPr>
        <w:t>”</w:t>
      </w:r>
      <w:r w:rsidRPr="0028108F">
        <w:rPr>
          <w:rFonts w:ascii="Arial" w:hAnsi="Arial" w:cs="Arial"/>
          <w:szCs w:val="24"/>
          <w:lang w:val="en-GB"/>
        </w:rPr>
        <w:t>), which came into force on 27 June 2012, with the objective to “</w:t>
      </w:r>
      <w:r w:rsidRPr="0028108F">
        <w:rPr>
          <w:rFonts w:ascii="Arial" w:hAnsi="Arial" w:cs="Arial"/>
          <w:i/>
          <w:szCs w:val="24"/>
          <w:lang w:val="en-GB"/>
        </w:rPr>
        <w:t>guarantee individuals with gender identity disorder equal legal status with others, in keeping with human rights and human integrity</w:t>
      </w:r>
      <w:r w:rsidRPr="0028108F">
        <w:rPr>
          <w:rFonts w:ascii="Arial" w:hAnsi="Arial" w:cs="Arial"/>
          <w:szCs w:val="24"/>
          <w:lang w:val="en-GB"/>
        </w:rPr>
        <w:t>” (Article 1).</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Authority to process applications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Applications under the </w:t>
      </w:r>
      <w:r w:rsidR="00FC0D2C" w:rsidRPr="0028108F">
        <w:rPr>
          <w:rFonts w:ascii="Arial" w:hAnsi="Arial" w:cs="Arial"/>
          <w:szCs w:val="24"/>
          <w:lang w:val="en-GB"/>
        </w:rPr>
        <w:t xml:space="preserve">Icelandic </w:t>
      </w:r>
      <w:r w:rsidRPr="0028108F">
        <w:rPr>
          <w:rFonts w:ascii="Arial" w:hAnsi="Arial" w:cs="Arial"/>
          <w:szCs w:val="24"/>
          <w:lang w:val="en-GB"/>
        </w:rPr>
        <w:t xml:space="preserve">GID Act are examined and adjudicated by an Expert Panel on Gender Identity Disorder (appointed by the Minster of Welfare) which comprises three members: (1) the Medical Director of Health, who shall chair the Panel; (2) a physician appointed by the Minister of Welfare without nomination; and (3) a lawyer nominated by the Minister responsible for human rights (Article 5, </w:t>
      </w:r>
      <w:r w:rsidR="00451AB0" w:rsidRPr="0028108F">
        <w:rPr>
          <w:rFonts w:ascii="Arial" w:hAnsi="Arial" w:cs="Arial"/>
          <w:szCs w:val="24"/>
          <w:lang w:val="en-GB"/>
        </w:rPr>
        <w:t>paragraph</w:t>
      </w:r>
      <w:r w:rsidRPr="0028108F">
        <w:rPr>
          <w:rFonts w:ascii="Arial" w:hAnsi="Arial" w:cs="Arial"/>
          <w:szCs w:val="24"/>
          <w:lang w:val="en-GB"/>
        </w:rPr>
        <w:t xml:space="preserve"> 1).  The Panel’s decision as to whether or not the applicant belongs to the other gender cannot be appealed to any higher authority (Article 6, </w:t>
      </w:r>
      <w:r w:rsidR="00451AB0" w:rsidRPr="0028108F">
        <w:rPr>
          <w:rFonts w:ascii="Arial" w:hAnsi="Arial" w:cs="Arial"/>
          <w:szCs w:val="24"/>
          <w:lang w:val="en-GB"/>
        </w:rPr>
        <w:t>paragraph</w:t>
      </w:r>
      <w:r w:rsidRPr="0028108F">
        <w:rPr>
          <w:rFonts w:ascii="Arial" w:hAnsi="Arial" w:cs="Arial"/>
          <w:szCs w:val="24"/>
          <w:lang w:val="en-GB"/>
        </w:rPr>
        <w:t xml:space="preserve"> 5).  The Panel may also, if applicable, confirm that the applicant is “</w:t>
      </w:r>
      <w:r w:rsidRPr="0028108F">
        <w:rPr>
          <w:rFonts w:ascii="Arial" w:hAnsi="Arial" w:cs="Arial"/>
          <w:i/>
          <w:szCs w:val="24"/>
          <w:lang w:val="en-GB"/>
        </w:rPr>
        <w:t>eligible for gender reassignment surgery</w:t>
      </w:r>
      <w:r w:rsidRPr="0028108F">
        <w:rPr>
          <w:rFonts w:ascii="Arial" w:hAnsi="Arial" w:cs="Arial"/>
          <w:szCs w:val="24"/>
          <w:lang w:val="en-GB"/>
        </w:rPr>
        <w:t xml:space="preserve">” (Article 6, </w:t>
      </w:r>
      <w:r w:rsidR="00451AB0" w:rsidRPr="0028108F">
        <w:rPr>
          <w:rFonts w:ascii="Arial" w:hAnsi="Arial" w:cs="Arial"/>
          <w:szCs w:val="24"/>
          <w:lang w:val="en-GB"/>
        </w:rPr>
        <w:t>paragraph</w:t>
      </w:r>
      <w:r w:rsidRPr="0028108F">
        <w:rPr>
          <w:rFonts w:ascii="Arial" w:hAnsi="Arial" w:cs="Arial"/>
          <w:szCs w:val="24"/>
          <w:lang w:val="en-GB"/>
        </w:rPr>
        <w:t xml:space="preserve"> 3).</w:t>
      </w:r>
    </w:p>
    <w:p w:rsidR="003D52D7" w:rsidRDefault="003D52D7" w:rsidP="003D52D7">
      <w:pPr>
        <w:pStyle w:val="ListParagraph"/>
        <w:tabs>
          <w:tab w:val="left" w:pos="1418"/>
        </w:tabs>
        <w:adjustRightInd w:val="0"/>
        <w:snapToGrid w:val="0"/>
        <w:ind w:leftChars="0" w:left="0"/>
        <w:jc w:val="both"/>
        <w:rPr>
          <w:rFonts w:ascii="Arial" w:hAnsi="Arial" w:cs="Arial"/>
          <w:szCs w:val="24"/>
          <w:lang w:val="en-GB"/>
        </w:rPr>
      </w:pPr>
    </w:p>
    <w:p w:rsidR="0095452E" w:rsidRDefault="0095452E" w:rsidP="003D52D7">
      <w:pPr>
        <w:pStyle w:val="ListParagraph"/>
        <w:tabs>
          <w:tab w:val="left" w:pos="1418"/>
        </w:tabs>
        <w:adjustRightInd w:val="0"/>
        <w:snapToGrid w:val="0"/>
        <w:ind w:leftChars="0" w:left="0"/>
        <w:jc w:val="both"/>
        <w:rPr>
          <w:rFonts w:ascii="Arial" w:hAnsi="Arial" w:cs="Arial"/>
          <w:szCs w:val="24"/>
          <w:lang w:val="en-GB"/>
        </w:rPr>
      </w:pPr>
    </w:p>
    <w:p w:rsidR="0095452E" w:rsidRPr="0028108F" w:rsidRDefault="0095452E"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lastRenderedPageBreak/>
        <w:t>List of requirements for gender recognition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order to be eligible to apply under the </w:t>
      </w:r>
      <w:r w:rsidR="00FC0D2C" w:rsidRPr="0028108F">
        <w:rPr>
          <w:rFonts w:ascii="Arial" w:hAnsi="Arial" w:cs="Arial"/>
          <w:szCs w:val="24"/>
          <w:lang w:val="en-GB"/>
        </w:rPr>
        <w:t xml:space="preserve">Icelandic </w:t>
      </w:r>
      <w:r w:rsidRPr="0028108F">
        <w:rPr>
          <w:rFonts w:ascii="Arial" w:hAnsi="Arial" w:cs="Arial"/>
          <w:szCs w:val="24"/>
          <w:lang w:val="en-GB"/>
        </w:rPr>
        <w:t>GID Act, the applicant should (Article 6):</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numPr>
          <w:ilvl w:val="0"/>
          <w:numId w:val="20"/>
        </w:numPr>
        <w:tabs>
          <w:tab w:val="left" w:pos="1701"/>
        </w:tabs>
        <w:adjustRightInd w:val="0"/>
        <w:snapToGrid w:val="0"/>
        <w:ind w:leftChars="472" w:left="1699" w:hangingChars="236" w:hanging="566"/>
        <w:jc w:val="both"/>
        <w:rPr>
          <w:rFonts w:ascii="Arial" w:hAnsi="Arial" w:cs="Arial"/>
          <w:szCs w:val="24"/>
          <w:lang w:val="en-GB"/>
        </w:rPr>
      </w:pPr>
      <w:r w:rsidRPr="0028108F">
        <w:rPr>
          <w:rFonts w:ascii="Arial" w:hAnsi="Arial" w:cs="Arial"/>
          <w:szCs w:val="24"/>
          <w:lang w:val="en-GB"/>
        </w:rPr>
        <w:t>be of “</w:t>
      </w:r>
      <w:r w:rsidRPr="0028108F">
        <w:rPr>
          <w:rFonts w:ascii="Arial" w:hAnsi="Arial" w:cs="Arial"/>
          <w:i/>
          <w:szCs w:val="24"/>
          <w:lang w:val="en-GB"/>
        </w:rPr>
        <w:t>legal age</w:t>
      </w:r>
      <w:r w:rsidRPr="0028108F">
        <w:rPr>
          <w:rFonts w:ascii="Arial" w:hAnsi="Arial" w:cs="Arial"/>
          <w:szCs w:val="24"/>
          <w:lang w:val="en-GB"/>
        </w:rPr>
        <w:t xml:space="preserve">”, </w:t>
      </w:r>
      <w:r w:rsidR="00D6311F" w:rsidRPr="0028108F">
        <w:rPr>
          <w:rFonts w:ascii="Arial" w:hAnsi="Arial" w:cs="Arial"/>
          <w:szCs w:val="24"/>
          <w:lang w:val="en-GB"/>
        </w:rPr>
        <w:t>ie</w:t>
      </w:r>
      <w:r w:rsidRPr="0028108F">
        <w:rPr>
          <w:rFonts w:ascii="Arial" w:hAnsi="Arial" w:cs="Arial"/>
          <w:szCs w:val="24"/>
          <w:lang w:val="en-GB"/>
        </w:rPr>
        <w:t>, 18 years old;</w:t>
      </w:r>
    </w:p>
    <w:p w:rsidR="003D52D7" w:rsidRPr="0028108F" w:rsidRDefault="003D52D7" w:rsidP="003D52D7">
      <w:pPr>
        <w:pStyle w:val="ListParagraph"/>
        <w:tabs>
          <w:tab w:val="left" w:pos="1701"/>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0"/>
        </w:numPr>
        <w:tabs>
          <w:tab w:val="left" w:pos="1701"/>
        </w:tabs>
        <w:adjustRightInd w:val="0"/>
        <w:snapToGrid w:val="0"/>
        <w:ind w:leftChars="472" w:left="1699" w:hangingChars="236" w:hanging="566"/>
        <w:jc w:val="both"/>
        <w:rPr>
          <w:rFonts w:ascii="Arial" w:hAnsi="Arial" w:cs="Arial"/>
          <w:szCs w:val="24"/>
          <w:lang w:val="en-GB"/>
        </w:rPr>
      </w:pPr>
      <w:r w:rsidRPr="0028108F">
        <w:rPr>
          <w:rFonts w:ascii="Arial" w:hAnsi="Arial" w:cs="Arial"/>
          <w:szCs w:val="24"/>
          <w:lang w:val="en-GB"/>
        </w:rPr>
        <w:t>be “</w:t>
      </w:r>
      <w:r w:rsidRPr="0028108F">
        <w:rPr>
          <w:rFonts w:ascii="Arial" w:hAnsi="Arial" w:cs="Arial"/>
          <w:i/>
          <w:szCs w:val="24"/>
          <w:lang w:val="en-GB"/>
        </w:rPr>
        <w:t>legally domiciled in Iceland</w:t>
      </w:r>
      <w:r w:rsidRPr="0028108F">
        <w:rPr>
          <w:rFonts w:ascii="Arial" w:hAnsi="Arial" w:cs="Arial"/>
          <w:szCs w:val="24"/>
          <w:lang w:val="en-GB"/>
        </w:rPr>
        <w:t>”;</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numPr>
          <w:ilvl w:val="0"/>
          <w:numId w:val="20"/>
        </w:numPr>
        <w:tabs>
          <w:tab w:val="left" w:pos="1701"/>
        </w:tabs>
        <w:adjustRightInd w:val="0"/>
        <w:snapToGrid w:val="0"/>
        <w:ind w:leftChars="472" w:left="1699" w:hangingChars="236" w:hanging="566"/>
        <w:jc w:val="both"/>
        <w:rPr>
          <w:rFonts w:ascii="Arial" w:hAnsi="Arial" w:cs="Arial"/>
          <w:szCs w:val="24"/>
          <w:lang w:val="en-GB"/>
        </w:rPr>
      </w:pPr>
      <w:r w:rsidRPr="0028108F">
        <w:rPr>
          <w:rFonts w:ascii="Arial" w:hAnsi="Arial" w:cs="Arial"/>
          <w:i/>
          <w:szCs w:val="24"/>
          <w:lang w:val="en-GB"/>
        </w:rPr>
        <w:t>“have resided continuously and lawfully in Iceland for the preceding two years, and be covered by health insurance under the Health Insurance Act</w:t>
      </w:r>
      <w:r w:rsidRPr="0028108F">
        <w:rPr>
          <w:rFonts w:ascii="Arial" w:hAnsi="Arial" w:cs="Arial"/>
          <w:szCs w:val="24"/>
          <w:lang w:val="en-GB"/>
        </w:rPr>
        <w:t>”;</w:t>
      </w:r>
    </w:p>
    <w:p w:rsidR="003D52D7" w:rsidRPr="0028108F" w:rsidRDefault="003D52D7" w:rsidP="003D52D7">
      <w:pPr>
        <w:pStyle w:val="ListParagraph"/>
        <w:tabs>
          <w:tab w:val="left" w:pos="1701"/>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0"/>
        </w:numPr>
        <w:tabs>
          <w:tab w:val="left" w:pos="1701"/>
        </w:tabs>
        <w:adjustRightInd w:val="0"/>
        <w:snapToGrid w:val="0"/>
        <w:ind w:leftChars="472" w:left="1699" w:hangingChars="236" w:hanging="566"/>
        <w:jc w:val="both"/>
        <w:rPr>
          <w:rFonts w:ascii="Arial" w:hAnsi="Arial" w:cs="Arial"/>
          <w:szCs w:val="24"/>
          <w:lang w:val="en-GB"/>
        </w:rPr>
      </w:pPr>
      <w:r w:rsidRPr="0028108F">
        <w:rPr>
          <w:rFonts w:ascii="Arial" w:hAnsi="Arial" w:cs="Arial"/>
          <w:szCs w:val="24"/>
          <w:lang w:val="en-GB"/>
        </w:rPr>
        <w:t>be diagnosed and have received “</w:t>
      </w:r>
      <w:r w:rsidRPr="0028108F">
        <w:rPr>
          <w:rFonts w:ascii="Arial" w:hAnsi="Arial" w:cs="Arial"/>
          <w:i/>
          <w:szCs w:val="24"/>
          <w:lang w:val="en-GB"/>
        </w:rPr>
        <w:t>recognised treatment</w:t>
      </w:r>
      <w:r w:rsidRPr="0028108F">
        <w:rPr>
          <w:rFonts w:ascii="Arial" w:hAnsi="Arial" w:cs="Arial"/>
          <w:szCs w:val="24"/>
          <w:lang w:val="en-GB"/>
        </w:rPr>
        <w:t>” from the National University Hospital Gender Identity Disorder Team (</w:t>
      </w:r>
      <w:r w:rsidRPr="008813DE">
        <w:rPr>
          <w:rFonts w:ascii="Arial" w:hAnsi="Arial" w:cs="Arial"/>
          <w:i/>
          <w:szCs w:val="24"/>
          <w:lang w:val="en-GB"/>
        </w:rPr>
        <w:t>“the Team”</w:t>
      </w:r>
      <w:r w:rsidRPr="0028108F">
        <w:rPr>
          <w:rFonts w:ascii="Arial" w:hAnsi="Arial" w:cs="Arial"/>
          <w:szCs w:val="24"/>
          <w:lang w:val="en-GB"/>
        </w:rPr>
        <w:t>);</w:t>
      </w:r>
    </w:p>
    <w:p w:rsidR="003D52D7" w:rsidRPr="0028108F" w:rsidRDefault="003D52D7" w:rsidP="003D52D7">
      <w:pPr>
        <w:pStyle w:val="ListParagraph"/>
        <w:tabs>
          <w:tab w:val="left" w:pos="1701"/>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0"/>
        </w:numPr>
        <w:tabs>
          <w:tab w:val="left" w:pos="1701"/>
        </w:tabs>
        <w:adjustRightInd w:val="0"/>
        <w:snapToGrid w:val="0"/>
        <w:ind w:leftChars="472" w:left="1699" w:hangingChars="236" w:hanging="566"/>
        <w:jc w:val="both"/>
        <w:rPr>
          <w:rFonts w:ascii="Arial" w:hAnsi="Arial" w:cs="Arial"/>
          <w:szCs w:val="24"/>
          <w:lang w:val="en-GB"/>
        </w:rPr>
      </w:pPr>
      <w:r w:rsidRPr="0028108F">
        <w:rPr>
          <w:rFonts w:ascii="Arial" w:hAnsi="Arial" w:cs="Arial"/>
          <w:szCs w:val="24"/>
          <w:lang w:val="en-GB"/>
        </w:rPr>
        <w:t>have been under the Team’s care for at least 18 months; and</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numPr>
          <w:ilvl w:val="0"/>
          <w:numId w:val="20"/>
        </w:numPr>
        <w:tabs>
          <w:tab w:val="left" w:pos="1701"/>
        </w:tabs>
        <w:adjustRightInd w:val="0"/>
        <w:snapToGrid w:val="0"/>
        <w:ind w:leftChars="472" w:left="1699" w:hangingChars="236" w:hanging="566"/>
        <w:jc w:val="both"/>
        <w:rPr>
          <w:rFonts w:ascii="Arial" w:hAnsi="Arial" w:cs="Arial"/>
          <w:szCs w:val="24"/>
          <w:lang w:val="en-GB"/>
        </w:rPr>
      </w:pPr>
      <w:r w:rsidRPr="0028108F">
        <w:rPr>
          <w:rFonts w:ascii="Arial" w:hAnsi="Arial" w:cs="Arial"/>
          <w:szCs w:val="24"/>
          <w:lang w:val="en-GB"/>
        </w:rPr>
        <w:t>have been “</w:t>
      </w:r>
      <w:r w:rsidRPr="0028108F">
        <w:rPr>
          <w:rFonts w:ascii="Arial" w:hAnsi="Arial" w:cs="Arial"/>
          <w:i/>
          <w:szCs w:val="24"/>
          <w:lang w:val="en-GB"/>
        </w:rPr>
        <w:t>living in the other gender</w:t>
      </w:r>
      <w:r w:rsidRPr="0028108F">
        <w:rPr>
          <w:rFonts w:ascii="Arial" w:hAnsi="Arial" w:cs="Arial"/>
          <w:szCs w:val="24"/>
          <w:lang w:val="en-GB"/>
        </w:rPr>
        <w:t>” for at least one year.</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Team, including specialists in psychiatry, endocrinology and psychology as nominated by the Chief Executive Officer of the National University Hospital of Iceland (</w:t>
      </w:r>
      <w:r w:rsidRPr="0028108F">
        <w:rPr>
          <w:rFonts w:ascii="Arial" w:hAnsi="Arial" w:cs="Arial"/>
          <w:i/>
          <w:szCs w:val="24"/>
          <w:lang w:val="en-GB"/>
        </w:rPr>
        <w:t>Landspitali</w:t>
      </w:r>
      <w:r w:rsidRPr="0028108F">
        <w:rPr>
          <w:rFonts w:ascii="Arial" w:hAnsi="Arial" w:cs="Arial"/>
          <w:szCs w:val="24"/>
          <w:lang w:val="en-GB"/>
        </w:rPr>
        <w:t>), is to “</w:t>
      </w:r>
      <w:r w:rsidRPr="0028108F">
        <w:rPr>
          <w:rFonts w:ascii="Arial" w:hAnsi="Arial" w:cs="Arial"/>
          <w:i/>
          <w:szCs w:val="24"/>
          <w:lang w:val="en-GB"/>
        </w:rPr>
        <w:t>supervise the diagnosis and recognised treatment of individuals with gender identity disorder</w:t>
      </w:r>
      <w:r w:rsidRPr="0028108F">
        <w:rPr>
          <w:rFonts w:ascii="Arial" w:hAnsi="Arial" w:cs="Arial"/>
          <w:szCs w:val="24"/>
          <w:lang w:val="en-GB"/>
        </w:rPr>
        <w:t xml:space="preserve">” (Article 4, </w:t>
      </w:r>
      <w:r w:rsidR="00451AB0" w:rsidRPr="0028108F">
        <w:rPr>
          <w:rFonts w:ascii="Arial" w:hAnsi="Arial" w:cs="Arial"/>
          <w:szCs w:val="24"/>
          <w:lang w:val="en-GB"/>
        </w:rPr>
        <w:t>paragraph</w:t>
      </w:r>
      <w:r w:rsidRPr="0028108F">
        <w:rPr>
          <w:rFonts w:ascii="Arial" w:hAnsi="Arial" w:cs="Arial"/>
          <w:szCs w:val="24"/>
          <w:lang w:val="en-GB"/>
        </w:rPr>
        <w:t xml:space="preserve"> 1).  </w:t>
      </w:r>
    </w:p>
    <w:p w:rsidR="003D52D7" w:rsidRPr="0028108F" w:rsidRDefault="003D52D7" w:rsidP="003D52D7">
      <w:pPr>
        <w:pStyle w:val="ListParagraph"/>
        <w:widowControl/>
        <w:tabs>
          <w:tab w:val="left" w:pos="1418"/>
        </w:tabs>
        <w:adjustRightInd w:val="0"/>
        <w:snapToGrid w:val="0"/>
        <w:ind w:leftChars="0" w:left="0"/>
        <w:jc w:val="both"/>
        <w:rPr>
          <w:rFonts w:ascii="Arial" w:hAnsi="Arial" w:cs="Arial"/>
          <w:szCs w:val="24"/>
          <w:lang w:val="en-GB"/>
        </w:rPr>
      </w:pPr>
    </w:p>
    <w:p w:rsidR="003D52D7" w:rsidRPr="00181CF2" w:rsidRDefault="006C1C95"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hyperlink r:id="rId21" w:tooltip="Sex Reassignment Surgery" w:history="1">
        <w:r w:rsidR="003D52D7" w:rsidRPr="0028108F">
          <w:rPr>
            <w:rFonts w:ascii="Arial" w:hAnsi="Arial" w:cs="Arial"/>
            <w:szCs w:val="24"/>
            <w:lang w:val="en-GB"/>
          </w:rPr>
          <w:t>Sex reassignment surgery</w:t>
        </w:r>
      </w:hyperlink>
      <w:r w:rsidR="003D52D7" w:rsidRPr="00181CF2">
        <w:rPr>
          <w:rFonts w:ascii="Arial" w:hAnsi="Arial" w:cs="Arial"/>
          <w:szCs w:val="24"/>
          <w:lang w:val="en-GB"/>
        </w:rPr>
        <w:t xml:space="preserve"> or sterilisation is not required for official name change and gender recognition under the </w:t>
      </w:r>
      <w:r w:rsidR="00FC0D2C" w:rsidRPr="0028108F">
        <w:rPr>
          <w:rFonts w:ascii="Arial" w:hAnsi="Arial" w:cs="Arial"/>
          <w:szCs w:val="24"/>
          <w:lang w:val="en-GB"/>
        </w:rPr>
        <w:t>Icelandic</w:t>
      </w:r>
      <w:r w:rsidR="00FC0D2C" w:rsidRPr="00181CF2">
        <w:rPr>
          <w:rFonts w:ascii="Arial" w:hAnsi="Arial" w:cs="Arial"/>
          <w:szCs w:val="24"/>
          <w:lang w:val="en-GB"/>
        </w:rPr>
        <w:t xml:space="preserve"> </w:t>
      </w:r>
      <w:r w:rsidR="003D52D7" w:rsidRPr="00181CF2">
        <w:rPr>
          <w:rFonts w:ascii="Arial" w:hAnsi="Arial" w:cs="Arial"/>
          <w:szCs w:val="24"/>
          <w:lang w:val="en-GB"/>
        </w:rPr>
        <w:t>GID Act.</w:t>
      </w:r>
    </w:p>
    <w:p w:rsidR="003D52D7" w:rsidRPr="00C57CE1" w:rsidRDefault="003D52D7" w:rsidP="003D52D7">
      <w:pPr>
        <w:tabs>
          <w:tab w:val="left" w:pos="1418"/>
        </w:tabs>
        <w:adjustRightInd w:val="0"/>
        <w:snapToGrid w:val="0"/>
        <w:jc w:val="both"/>
        <w:rPr>
          <w:rFonts w:ascii="Arial" w:hAnsi="Arial" w:cs="Arial"/>
          <w:i/>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C57CE1">
        <w:rPr>
          <w:rFonts w:ascii="Arial" w:hAnsi="Arial" w:cs="Arial"/>
          <w:i/>
          <w:szCs w:val="24"/>
          <w:lang w:val="en-GB"/>
        </w:rPr>
        <w:t xml:space="preserve">Foreign gender recognition or foreign gender </w:t>
      </w:r>
      <w:r w:rsidRPr="0028108F">
        <w:rPr>
          <w:rFonts w:ascii="Arial" w:hAnsi="Arial" w:cs="Arial"/>
          <w:i/>
          <w:szCs w:val="24"/>
          <w:lang w:val="en-GB"/>
        </w:rPr>
        <w:t>reassignment surgery</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An individual who is registered in the Icelandic population register but resides abroad, or has lived abroad, and has been granted legal gender recognition due to gender identity disorder or a change of name relating to the process of application for gender recognition, may request Registers Iceland (</w:t>
      </w:r>
      <w:r w:rsidRPr="0028108F">
        <w:rPr>
          <w:rFonts w:ascii="Arial" w:hAnsi="Arial" w:cs="Arial"/>
          <w:i/>
          <w:szCs w:val="24"/>
          <w:lang w:val="en-GB"/>
        </w:rPr>
        <w:t>Þjóðskrá</w:t>
      </w:r>
      <w:r w:rsidRPr="0028108F">
        <w:rPr>
          <w:rFonts w:ascii="Arial" w:hAnsi="Arial" w:cs="Arial"/>
          <w:szCs w:val="24"/>
          <w:lang w:val="en-GB"/>
        </w:rPr>
        <w:t xml:space="preserve">) to register these changes in the Icelandic population register.  Registers Iceland evaluates the documentation submitted by the applicant, inter alia whether the name change and/or gender legal recognition were carried out under authority of the appropriate government body or court of law (Article 9).  In the process of diagnosis, the Team may take into account any diagnosis of gender identity disorder and recognised treatment received in another country (Article 4, </w:t>
      </w:r>
      <w:r w:rsidR="00451AB0" w:rsidRPr="0028108F">
        <w:rPr>
          <w:rFonts w:ascii="Arial" w:hAnsi="Arial" w:cs="Arial"/>
          <w:szCs w:val="24"/>
          <w:lang w:val="en-GB"/>
        </w:rPr>
        <w:t>paragraph</w:t>
      </w:r>
      <w:r w:rsidRPr="0028108F">
        <w:rPr>
          <w:rFonts w:ascii="Arial" w:hAnsi="Arial" w:cs="Arial"/>
          <w:szCs w:val="24"/>
          <w:lang w:val="en-GB"/>
        </w:rPr>
        <w:t xml:space="preserve"> 2).</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Once the Expert Panel concludes that an applicant belongs to the opposite sex, it will notify Registers Iceland and the individual will then be permitted to change his or her name (Article 6, </w:t>
      </w:r>
      <w:r w:rsidR="00451AB0" w:rsidRPr="0028108F">
        <w:rPr>
          <w:rFonts w:ascii="Arial" w:hAnsi="Arial" w:cs="Arial"/>
          <w:szCs w:val="24"/>
          <w:lang w:val="en-GB"/>
        </w:rPr>
        <w:t>paragraph</w:t>
      </w:r>
      <w:r w:rsidRPr="0028108F">
        <w:rPr>
          <w:rFonts w:ascii="Arial" w:hAnsi="Arial" w:cs="Arial"/>
          <w:szCs w:val="24"/>
          <w:lang w:val="en-GB"/>
        </w:rPr>
        <w:t xml:space="preserve"> 4 and Article 8, </w:t>
      </w:r>
      <w:r w:rsidR="00451AB0" w:rsidRPr="0028108F">
        <w:rPr>
          <w:rFonts w:ascii="Arial" w:hAnsi="Arial" w:cs="Arial"/>
          <w:szCs w:val="24"/>
          <w:lang w:val="en-GB"/>
        </w:rPr>
        <w:t>paragraph</w:t>
      </w:r>
      <w:r w:rsidRPr="0028108F">
        <w:rPr>
          <w:rFonts w:ascii="Arial" w:hAnsi="Arial" w:cs="Arial"/>
          <w:szCs w:val="24"/>
          <w:lang w:val="en-GB"/>
        </w:rPr>
        <w:t xml:space="preserve"> 1).  After having received such recognition the individual will be </w:t>
      </w:r>
      <w:r w:rsidRPr="0028108F">
        <w:rPr>
          <w:rFonts w:ascii="Arial" w:hAnsi="Arial" w:cs="Arial"/>
          <w:szCs w:val="24"/>
          <w:lang w:val="en-GB"/>
        </w:rPr>
        <w:lastRenderedPageBreak/>
        <w:t xml:space="preserve">guaranteed all the same legal rights as people of this gender enjoy (Article 7).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When legal gender recognition and name change are registered in the population register, a new Identity Number may be issued to the individual by Registers Iceland (Article 8, </w:t>
      </w:r>
      <w:r w:rsidR="00451AB0" w:rsidRPr="0028108F">
        <w:rPr>
          <w:rFonts w:ascii="Arial" w:hAnsi="Arial" w:cs="Arial"/>
          <w:szCs w:val="24"/>
          <w:lang w:val="en-GB"/>
        </w:rPr>
        <w:t>paragraph</w:t>
      </w:r>
      <w:r w:rsidRPr="0028108F">
        <w:rPr>
          <w:rFonts w:ascii="Arial" w:hAnsi="Arial" w:cs="Arial"/>
          <w:szCs w:val="24"/>
          <w:lang w:val="en-GB"/>
        </w:rPr>
        <w:t xml:space="preserve"> 3). The previous Identity Number shall remain accessible to government authorities and other bodies which, due to the nature of their work, need to be aware of the link between the old and new Identity Numbers (Article 8,</w:t>
      </w:r>
      <w:r w:rsidR="00725477">
        <w:rPr>
          <w:rFonts w:ascii="Arial" w:hAnsi="Arial" w:cs="Arial"/>
          <w:szCs w:val="24"/>
          <w:lang w:val="en-GB"/>
        </w:rPr>
        <w:t xml:space="preserve"> </w:t>
      </w:r>
      <w:r w:rsidR="00451AB0" w:rsidRPr="0028108F">
        <w:rPr>
          <w:rFonts w:ascii="Arial" w:hAnsi="Arial" w:cs="Arial"/>
          <w:szCs w:val="24"/>
          <w:lang w:val="en-GB"/>
        </w:rPr>
        <w:t>paragraph</w:t>
      </w:r>
      <w:r w:rsidRPr="0028108F">
        <w:rPr>
          <w:rFonts w:ascii="Arial" w:hAnsi="Arial" w:cs="Arial"/>
          <w:szCs w:val="24"/>
          <w:lang w:val="en-GB"/>
        </w:rPr>
        <w:t xml:space="preserve"> 3).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Status of parent-child relationship</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status quo in the legal relationship between a child and a parent who has been confirmed as legally belonging to the opposite sex is guaranteed (Article 10).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Changing back to previous gender</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b/>
          <w:i/>
          <w:szCs w:val="24"/>
          <w:lang w:val="en-GB"/>
        </w:rPr>
      </w:pPr>
      <w:r w:rsidRPr="0028108F">
        <w:rPr>
          <w:rFonts w:ascii="Arial" w:hAnsi="Arial" w:cs="Arial"/>
          <w:szCs w:val="24"/>
          <w:lang w:val="en-GB"/>
        </w:rPr>
        <w:t xml:space="preserve">An individual may seek to return to their previous legal sex pursuant to Article 11.  </w:t>
      </w:r>
    </w:p>
    <w:p w:rsidR="003D52D7" w:rsidRPr="0028108F" w:rsidRDefault="003D52D7" w:rsidP="003D52D7">
      <w:pPr>
        <w:pStyle w:val="ListParagraph"/>
        <w:widowControl/>
        <w:tabs>
          <w:tab w:val="left" w:pos="1418"/>
        </w:tabs>
        <w:adjustRightInd w:val="0"/>
        <w:snapToGrid w:val="0"/>
        <w:ind w:leftChars="0" w:left="0"/>
        <w:jc w:val="both"/>
        <w:rPr>
          <w:rFonts w:ascii="Arial" w:hAnsi="Arial" w:cs="Arial"/>
          <w:b/>
          <w:i/>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Example of European jurisdictions with other types of procedures to recognise gender change in official documents</w:t>
      </w:r>
    </w:p>
    <w:p w:rsidR="003C72D4" w:rsidRPr="0028108F" w:rsidRDefault="003C72D4"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The Netherlands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2014 legislation on simplified procedure to amend official documents</w:t>
      </w:r>
    </w:p>
    <w:p w:rsidR="003D52D7" w:rsidRPr="0028108F" w:rsidRDefault="003D52D7" w:rsidP="003D52D7">
      <w:pPr>
        <w:adjustRightInd w:val="0"/>
        <w:snapToGrid w:val="0"/>
        <w:jc w:val="both"/>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 new law on gender recognition, which came into force on 1 July 2014,</w:t>
      </w:r>
      <w:r w:rsidRPr="00181CF2">
        <w:rPr>
          <w:rStyle w:val="FootnoteReference"/>
          <w:rFonts w:ascii="Arial" w:hAnsi="Arial" w:cs="Arial"/>
          <w:szCs w:val="24"/>
          <w:lang w:val="en-GB"/>
        </w:rPr>
        <w:footnoteReference w:id="316"/>
      </w:r>
      <w:r w:rsidRPr="00181CF2">
        <w:rPr>
          <w:rFonts w:ascii="Arial" w:hAnsi="Arial" w:cs="Arial"/>
          <w:szCs w:val="24"/>
          <w:lang w:val="en-GB"/>
        </w:rPr>
        <w:t xml:space="preserve"> together with the Dutch Civil Code, enables transgender people to change the gender designation on their officia</w:t>
      </w:r>
      <w:r w:rsidRPr="00C57CE1">
        <w:rPr>
          <w:rFonts w:ascii="Arial" w:hAnsi="Arial" w:cs="Arial"/>
          <w:szCs w:val="24"/>
          <w:lang w:val="en-GB"/>
        </w:rPr>
        <w:t>l identity papers (including birth certificate, passport and other official documents) in a simple administrative way.</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Minimal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An applicant for gender recognition in the Netherlands needs to produce a medical expert statement affirming that “</w:t>
      </w:r>
      <w:r w:rsidRPr="0028108F">
        <w:rPr>
          <w:rFonts w:ascii="Arial" w:hAnsi="Arial" w:cs="Arial"/>
          <w:i/>
          <w:szCs w:val="24"/>
          <w:lang w:val="en-GB"/>
        </w:rPr>
        <w:t>the conviction of [the applicant] to belong to the other sex is of a permanent nature</w:t>
      </w:r>
      <w:r w:rsidRPr="0028108F">
        <w:rPr>
          <w:rFonts w:ascii="Arial" w:hAnsi="Arial" w:cs="Arial"/>
          <w:szCs w:val="24"/>
          <w:lang w:val="en-GB"/>
        </w:rPr>
        <w:t>”.  The application has to be accompanied by a report of an expert designated among the gender teams from the university hospitals in Amsterdam, Groningen and Leiden, issued at the latest six months before the date of the application.</w:t>
      </w:r>
      <w:r w:rsidRPr="0028108F">
        <w:rPr>
          <w:rStyle w:val="FootnoteReference"/>
          <w:rFonts w:ascii="Arial" w:hAnsi="Arial" w:cs="Arial"/>
          <w:szCs w:val="24"/>
          <w:lang w:val="en-GB"/>
        </w:rPr>
        <w:footnoteReference w:id="317"/>
      </w:r>
      <w:r w:rsidRPr="0028108F">
        <w:rPr>
          <w:rFonts w:ascii="Arial" w:hAnsi="Arial" w:cs="Arial"/>
          <w:szCs w:val="24"/>
          <w:lang w:val="en-GB"/>
        </w:rPr>
        <w:t xml:space="preserve">  The report has to mention that the applicant has declared before the expert that he or she holds the conviction that he or she is of a gender other than the one indicated on his or her birth certificate, and has to show that he or she understands his or her transgender status and that the application is </w:t>
      </w:r>
      <w:r w:rsidRPr="0028108F">
        <w:rPr>
          <w:rFonts w:ascii="Arial" w:hAnsi="Arial" w:cs="Arial"/>
          <w:szCs w:val="24"/>
          <w:lang w:val="en-GB"/>
        </w:rPr>
        <w:lastRenderedPageBreak/>
        <w:t>deliberate.</w:t>
      </w:r>
      <w:r w:rsidRPr="0028108F">
        <w:rPr>
          <w:rStyle w:val="FootnoteReference"/>
          <w:rFonts w:ascii="Arial" w:hAnsi="Arial" w:cs="Arial"/>
          <w:szCs w:val="24"/>
          <w:lang w:val="en-GB"/>
        </w:rPr>
        <w:footnoteReference w:id="318"/>
      </w:r>
    </w:p>
    <w:p w:rsidR="003D52D7" w:rsidRPr="00C57CE1"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Authority to process applications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Applications can be made at the Civil Registry of births, deaths and marriages of the town where the applicant’s birth was registered.</w:t>
      </w:r>
      <w:r w:rsidRPr="0028108F">
        <w:rPr>
          <w:rStyle w:val="FootnoteReference"/>
          <w:rFonts w:ascii="Arial" w:hAnsi="Arial" w:cs="Arial"/>
          <w:szCs w:val="24"/>
          <w:lang w:val="en-GB"/>
        </w:rPr>
        <w:footnoteReference w:id="319"/>
      </w:r>
      <w:r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Minimum age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minimum age to make an application is set at 16.</w:t>
      </w:r>
      <w:r w:rsidRPr="0028108F">
        <w:rPr>
          <w:rStyle w:val="FootnoteReference"/>
          <w:rFonts w:ascii="Arial" w:hAnsi="Arial" w:cs="Arial"/>
          <w:szCs w:val="24"/>
          <w:lang w:val="en-GB"/>
        </w:rPr>
        <w:footnoteReference w:id="320"/>
      </w:r>
      <w:r w:rsidRPr="0028108F">
        <w:rPr>
          <w:rFonts w:ascii="Arial" w:hAnsi="Arial" w:cs="Arial"/>
          <w:szCs w:val="24"/>
          <w:lang w:val="en-GB"/>
        </w:rPr>
        <w:t xml:space="preserve">  A minor may apply without the consent, or assistance, of his or her parents or legal representatives.</w:t>
      </w:r>
      <w:r w:rsidRPr="0028108F">
        <w:rPr>
          <w:rStyle w:val="FootnoteReference"/>
          <w:rFonts w:ascii="Arial" w:hAnsi="Arial" w:cs="Arial"/>
          <w:szCs w:val="24"/>
          <w:lang w:val="en-GB"/>
        </w:rPr>
        <w:footnoteReference w:id="321"/>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No medical treatment requirements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This law of 2014 has eliminated the pre-existing prerequisites for an applicant to take hormones and undergo surgery, including irreversible sterilisation, and a court’s ruling is no longer necessary.</w:t>
      </w:r>
      <w:r w:rsidRPr="0028108F">
        <w:rPr>
          <w:rStyle w:val="FootnoteReference"/>
          <w:rFonts w:ascii="Arial" w:hAnsi="Arial" w:cs="Arial"/>
          <w:szCs w:val="24"/>
          <w:lang w:val="en-GB"/>
        </w:rPr>
        <w:footnoteReference w:id="322"/>
      </w:r>
      <w:r w:rsidRPr="0028108F">
        <w:rPr>
          <w:rFonts w:ascii="Arial" w:hAnsi="Arial" w:cs="Arial"/>
          <w:szCs w:val="24"/>
          <w:lang w:val="en-GB"/>
        </w:rPr>
        <w:t xml:space="preserve">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No requirements relating to pre-existing marriage</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181CF2" w:rsidRDefault="003D52D7"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 pre-existing requirement that the applicant had to be unmarried was abolished by Article 1(D) of the same-sex marriage legislation of 2000.</w:t>
      </w:r>
      <w:r w:rsidRPr="00181CF2">
        <w:rPr>
          <w:rStyle w:val="FootnoteReference"/>
          <w:rFonts w:ascii="Arial" w:hAnsi="Arial" w:cs="Arial"/>
          <w:szCs w:val="24"/>
          <w:lang w:val="en-GB"/>
        </w:rPr>
        <w:footnoteReference w:id="323"/>
      </w:r>
      <w:r w:rsidRPr="00181CF2">
        <w:rPr>
          <w:rFonts w:ascii="Arial" w:hAnsi="Arial" w:cs="Arial"/>
          <w:szCs w:val="24"/>
          <w:lang w:val="en-GB"/>
        </w:rPr>
        <w:t xml:space="preserve">  Where a spouse obtains the legal recognition of his or her preferred gender, the couple’s marriage i</w:t>
      </w:r>
      <w:r w:rsidRPr="00C57CE1">
        <w:rPr>
          <w:rFonts w:ascii="Arial" w:hAnsi="Arial" w:cs="Arial"/>
          <w:szCs w:val="24"/>
          <w:lang w:val="en-GB"/>
        </w:rPr>
        <w:t>s transformed from a marriage between persons of different sex into a marriage between persons of the same sex.</w:t>
      </w:r>
      <w:r w:rsidRPr="00181CF2">
        <w:rPr>
          <w:rStyle w:val="FootnoteReference"/>
          <w:rFonts w:ascii="Arial" w:hAnsi="Arial" w:cs="Arial"/>
          <w:szCs w:val="24"/>
          <w:lang w:val="en-GB"/>
        </w:rPr>
        <w:footnoteReference w:id="324"/>
      </w:r>
    </w:p>
    <w:p w:rsidR="003D52D7" w:rsidRPr="00C57CE1"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 xml:space="preserve">Applications by foreigners </w:t>
      </w:r>
    </w:p>
    <w:p w:rsidR="003D52D7" w:rsidRPr="0028108F" w:rsidRDefault="003D52D7" w:rsidP="003D52D7">
      <w:pPr>
        <w:pStyle w:val="ListParagraph"/>
        <w:tabs>
          <w:tab w:val="left" w:pos="1418"/>
        </w:tabs>
        <w:adjustRightInd w:val="0"/>
        <w:ind w:leftChars="0" w:left="840"/>
        <w:jc w:val="both"/>
        <w:rPr>
          <w:rFonts w:ascii="Arial" w:hAnsi="Arial" w:cs="Arial"/>
          <w:szCs w:val="24"/>
          <w:lang w:val="en-GB"/>
        </w:rPr>
      </w:pPr>
    </w:p>
    <w:p w:rsidR="003D52D7" w:rsidRPr="00C57CE1" w:rsidRDefault="003D52D7"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 person who is not of Dutch nationality may file a request for the legal recognition of his or her preferred gender if he or she has a valid residence permit and has been domiciled in the Netherlands for at least one year.</w:t>
      </w:r>
      <w:r w:rsidRPr="009369E5">
        <w:rPr>
          <w:rFonts w:ascii="Arial" w:hAnsi="Arial" w:cs="Arial"/>
          <w:szCs w:val="24"/>
          <w:vertAlign w:val="superscript"/>
          <w:lang w:val="en-GB"/>
        </w:rPr>
        <w:footnoteReference w:id="325"/>
      </w:r>
      <w:r w:rsidRPr="009369E5">
        <w:rPr>
          <w:rFonts w:ascii="Arial" w:hAnsi="Arial" w:cs="Arial"/>
          <w:szCs w:val="24"/>
          <w:vertAlign w:val="superscript"/>
          <w:lang w:val="en-GB"/>
        </w:rPr>
        <w:t xml:space="preserve"> </w:t>
      </w:r>
      <w:r w:rsidRPr="00C57CE1">
        <w:rPr>
          <w:rFonts w:ascii="Arial" w:hAnsi="Arial" w:cs="Arial"/>
          <w:szCs w:val="24"/>
          <w:lang w:val="en-GB"/>
        </w:rPr>
        <w:t xml:space="preserve">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lastRenderedPageBreak/>
        <w:t>Concluding remarks on gender recognition in European jurisdictions</w:t>
      </w:r>
    </w:p>
    <w:p w:rsidR="003D52D7" w:rsidRPr="0028108F" w:rsidRDefault="003D52D7" w:rsidP="003D52D7">
      <w:pPr>
        <w:adjustRightInd w:val="0"/>
        <w:snapToGrid w:val="0"/>
        <w:jc w:val="both"/>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2009, the Council of Europe Commissioner for Human Rights, Thomas Hammarberg, published an issue paper on human rights and gender identity.</w:t>
      </w:r>
      <w:r w:rsidRPr="00181CF2">
        <w:rPr>
          <w:rStyle w:val="FootnoteReference"/>
          <w:rFonts w:ascii="Arial" w:hAnsi="Arial" w:cs="Arial"/>
          <w:szCs w:val="24"/>
          <w:lang w:val="en-GB"/>
        </w:rPr>
        <w:footnoteReference w:id="326"/>
      </w:r>
      <w:r w:rsidRPr="00181CF2">
        <w:rPr>
          <w:rFonts w:ascii="Arial" w:hAnsi="Arial" w:cs="Arial"/>
          <w:szCs w:val="24"/>
          <w:lang w:val="en-GB"/>
        </w:rPr>
        <w:t xml:space="preserve">  The issue paper contained 12 recommendations to Council of Europe member states.  The following recommendations from the paper are directed specifically at gender recognition legislat</w:t>
      </w:r>
      <w:r w:rsidRPr="00C57CE1">
        <w:rPr>
          <w:rFonts w:ascii="Arial" w:hAnsi="Arial" w:cs="Arial"/>
          <w:szCs w:val="24"/>
          <w:lang w:val="en-GB"/>
        </w:rPr>
        <w:t>ion:</w:t>
      </w:r>
    </w:p>
    <w:p w:rsidR="003D52D7" w:rsidRPr="0028108F" w:rsidRDefault="003D52D7" w:rsidP="003D52D7">
      <w:pPr>
        <w:pStyle w:val="ListParagraph"/>
        <w:tabs>
          <w:tab w:val="left" w:pos="1418"/>
        </w:tabs>
        <w:adjustRightInd w:val="0"/>
        <w:ind w:leftChars="295" w:left="1416" w:hangingChars="295" w:hanging="708"/>
        <w:jc w:val="both"/>
        <w:rPr>
          <w:rFonts w:ascii="Arial" w:hAnsi="Arial" w:cs="Arial"/>
          <w:i/>
          <w:szCs w:val="24"/>
          <w:lang w:val="en-GB"/>
        </w:rPr>
      </w:pPr>
    </w:p>
    <w:p w:rsidR="003D52D7" w:rsidRPr="0028108F" w:rsidRDefault="003D52D7" w:rsidP="009369E5">
      <w:pPr>
        <w:pStyle w:val="ListParagraph"/>
        <w:tabs>
          <w:tab w:val="left" w:pos="1418"/>
        </w:tabs>
        <w:adjustRightInd w:val="0"/>
        <w:snapToGrid w:val="0"/>
        <w:ind w:leftChars="295" w:left="1416" w:hangingChars="295" w:hanging="708"/>
        <w:jc w:val="both"/>
        <w:rPr>
          <w:rFonts w:ascii="Arial" w:hAnsi="Arial" w:cs="Arial"/>
          <w:i/>
          <w:szCs w:val="24"/>
          <w:lang w:val="en-GB"/>
        </w:rPr>
      </w:pPr>
      <w:r w:rsidRPr="0028108F">
        <w:rPr>
          <w:rFonts w:ascii="Arial" w:hAnsi="Arial" w:cs="Arial"/>
          <w:i/>
          <w:szCs w:val="24"/>
          <w:lang w:val="en-GB"/>
        </w:rPr>
        <w:t>“(3)</w:t>
      </w:r>
      <w:r w:rsidRPr="0028108F">
        <w:rPr>
          <w:rFonts w:ascii="Arial" w:hAnsi="Arial" w:cs="Arial"/>
          <w:i/>
          <w:szCs w:val="24"/>
          <w:lang w:val="en-GB"/>
        </w:rPr>
        <w:tab/>
        <w:t>Develop expeditious and transparent procedures for changing the name and sex of a transgender person on birth certificates, identity cards, passports, educational certificates and other similar documents;</w:t>
      </w:r>
    </w:p>
    <w:p w:rsidR="003D52D7" w:rsidRPr="0028108F" w:rsidRDefault="003D52D7" w:rsidP="003D52D7">
      <w:pPr>
        <w:pStyle w:val="ListParagraph"/>
        <w:tabs>
          <w:tab w:val="left" w:pos="1418"/>
        </w:tabs>
        <w:adjustRightInd w:val="0"/>
        <w:ind w:leftChars="295" w:left="1416" w:hangingChars="295" w:hanging="708"/>
        <w:jc w:val="both"/>
        <w:rPr>
          <w:rFonts w:ascii="Arial" w:hAnsi="Arial" w:cs="Arial"/>
          <w:i/>
          <w:szCs w:val="24"/>
          <w:lang w:val="en-GB"/>
        </w:rPr>
      </w:pPr>
    </w:p>
    <w:p w:rsidR="003D52D7" w:rsidRPr="0028108F" w:rsidRDefault="003D52D7" w:rsidP="003D52D7">
      <w:pPr>
        <w:pStyle w:val="ListParagraph"/>
        <w:numPr>
          <w:ilvl w:val="0"/>
          <w:numId w:val="32"/>
        </w:numPr>
        <w:tabs>
          <w:tab w:val="left" w:pos="1418"/>
        </w:tabs>
        <w:adjustRightInd w:val="0"/>
        <w:snapToGrid w:val="0"/>
        <w:ind w:leftChars="295" w:left="1416" w:hangingChars="295" w:hanging="708"/>
        <w:jc w:val="both"/>
        <w:rPr>
          <w:rFonts w:ascii="Arial" w:hAnsi="Arial" w:cs="Arial"/>
          <w:i/>
          <w:szCs w:val="24"/>
          <w:lang w:val="en-GB"/>
        </w:rPr>
      </w:pPr>
      <w:r w:rsidRPr="0028108F">
        <w:rPr>
          <w:rFonts w:ascii="Arial" w:hAnsi="Arial" w:cs="Arial"/>
          <w:i/>
          <w:szCs w:val="24"/>
          <w:lang w:val="en-GB"/>
        </w:rPr>
        <w:t>Abolish sterilisation and other compulsory medical treatment as a necessary legal requirement to recognise a person’s gender identity in laws regulating the process for name and sex change;</w:t>
      </w:r>
    </w:p>
    <w:p w:rsidR="003D52D7" w:rsidRPr="0028108F" w:rsidRDefault="003D52D7" w:rsidP="003D52D7">
      <w:pPr>
        <w:pStyle w:val="ListParagraph"/>
        <w:tabs>
          <w:tab w:val="left" w:pos="1418"/>
        </w:tabs>
        <w:adjustRightInd w:val="0"/>
        <w:ind w:leftChars="295" w:left="1416" w:hangingChars="295" w:hanging="708"/>
        <w:jc w:val="both"/>
        <w:rPr>
          <w:rFonts w:ascii="Arial" w:hAnsi="Arial" w:cs="Arial"/>
          <w:i/>
          <w:szCs w:val="24"/>
          <w:lang w:val="en-GB"/>
        </w:rPr>
      </w:pPr>
    </w:p>
    <w:p w:rsidR="003D52D7" w:rsidRPr="0028108F" w:rsidRDefault="003D52D7" w:rsidP="003D52D7">
      <w:pPr>
        <w:pStyle w:val="ListParagraph"/>
        <w:numPr>
          <w:ilvl w:val="0"/>
          <w:numId w:val="32"/>
        </w:numPr>
        <w:tabs>
          <w:tab w:val="left" w:pos="1418"/>
        </w:tabs>
        <w:adjustRightInd w:val="0"/>
        <w:snapToGrid w:val="0"/>
        <w:ind w:leftChars="295" w:left="1416" w:hangingChars="295" w:hanging="708"/>
        <w:jc w:val="both"/>
        <w:rPr>
          <w:rFonts w:ascii="Arial" w:hAnsi="Arial" w:cs="Arial"/>
          <w:i/>
          <w:szCs w:val="24"/>
          <w:lang w:val="en-GB"/>
        </w:rPr>
      </w:pPr>
      <w:r w:rsidRPr="0028108F">
        <w:rPr>
          <w:rFonts w:ascii="Arial" w:hAnsi="Arial" w:cs="Arial"/>
          <w:i/>
          <w:szCs w:val="24"/>
          <w:lang w:val="en-GB"/>
        </w:rPr>
        <w:t>Make gender reassignment procedures, such as hormone treatment, surgery and psychological support, accessible for transgender persons, and ensure that they are reimbursed by public health insurance schemes;</w:t>
      </w:r>
    </w:p>
    <w:p w:rsidR="003D52D7" w:rsidRPr="0028108F" w:rsidRDefault="003D52D7" w:rsidP="003D52D7">
      <w:pPr>
        <w:pStyle w:val="ListParagraph"/>
        <w:tabs>
          <w:tab w:val="left" w:pos="1418"/>
        </w:tabs>
        <w:adjustRightInd w:val="0"/>
        <w:ind w:leftChars="295" w:left="1416" w:hangingChars="295" w:hanging="708"/>
        <w:jc w:val="both"/>
        <w:rPr>
          <w:rFonts w:ascii="Arial" w:hAnsi="Arial" w:cs="Arial"/>
          <w:i/>
          <w:szCs w:val="24"/>
          <w:lang w:val="en-GB"/>
        </w:rPr>
      </w:pPr>
    </w:p>
    <w:p w:rsidR="003D52D7" w:rsidRPr="00181CF2" w:rsidRDefault="003D52D7" w:rsidP="003D52D7">
      <w:pPr>
        <w:pStyle w:val="ListParagraph"/>
        <w:numPr>
          <w:ilvl w:val="0"/>
          <w:numId w:val="32"/>
        </w:numPr>
        <w:tabs>
          <w:tab w:val="left" w:pos="1418"/>
        </w:tabs>
        <w:adjustRightInd w:val="0"/>
        <w:snapToGrid w:val="0"/>
        <w:ind w:leftChars="295" w:left="1416" w:hangingChars="295" w:hanging="708"/>
        <w:jc w:val="both"/>
        <w:rPr>
          <w:rFonts w:ascii="Arial" w:hAnsi="Arial" w:cs="Arial"/>
          <w:i/>
          <w:szCs w:val="24"/>
          <w:lang w:val="en-GB"/>
        </w:rPr>
      </w:pPr>
      <w:r w:rsidRPr="0028108F">
        <w:rPr>
          <w:rFonts w:ascii="Arial" w:hAnsi="Arial" w:cs="Arial"/>
          <w:i/>
          <w:szCs w:val="24"/>
          <w:lang w:val="en-GB"/>
        </w:rPr>
        <w:t>Remove any restrictions on the right of transgender persons to remain in an existing marriage following a recognised change of gender; … ”</w:t>
      </w:r>
      <w:r w:rsidRPr="00181CF2">
        <w:rPr>
          <w:rStyle w:val="FootnoteReference"/>
          <w:rFonts w:ascii="Arial" w:hAnsi="Arial" w:cs="Arial"/>
          <w:szCs w:val="24"/>
          <w:lang w:val="en-GB"/>
        </w:rPr>
        <w:footnoteReference w:id="327"/>
      </w:r>
    </w:p>
    <w:p w:rsidR="003D52D7" w:rsidRPr="005A6A94" w:rsidRDefault="003D52D7" w:rsidP="003D52D7">
      <w:pPr>
        <w:pStyle w:val="ListParagraph"/>
        <w:tabs>
          <w:tab w:val="left" w:pos="993"/>
        </w:tabs>
        <w:adjustRightInd w:val="0"/>
        <w:snapToGrid w:val="0"/>
        <w:ind w:leftChars="0" w:left="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 These recommendations have been reflected in a recommendation of the Council of Europe’s Committee of Ministers in 2010,</w:t>
      </w:r>
      <w:r w:rsidRPr="00181CF2">
        <w:rPr>
          <w:rStyle w:val="FootnoteReference"/>
          <w:rFonts w:ascii="Arial" w:hAnsi="Arial" w:cs="Arial"/>
          <w:szCs w:val="24"/>
          <w:lang w:val="en-GB"/>
        </w:rPr>
        <w:footnoteReference w:id="328"/>
      </w:r>
      <w:r w:rsidRPr="00181CF2">
        <w:rPr>
          <w:rFonts w:ascii="Arial" w:hAnsi="Arial" w:cs="Arial"/>
          <w:szCs w:val="24"/>
          <w:lang w:val="en-GB"/>
        </w:rPr>
        <w:t xml:space="preserve"> which noted that </w:t>
      </w:r>
      <w:r w:rsidRPr="00C57CE1">
        <w:rPr>
          <w:rFonts w:ascii="Arial" w:hAnsi="Arial" w:cs="Arial"/>
          <w:i/>
          <w:szCs w:val="24"/>
          <w:lang w:val="en-GB"/>
        </w:rPr>
        <w:t>“requirements, including changes of a physical nature, for legal recognition of a gender reassignment, should be regularly rev</w:t>
      </w:r>
      <w:r w:rsidRPr="0028108F">
        <w:rPr>
          <w:rFonts w:ascii="Arial" w:hAnsi="Arial" w:cs="Arial"/>
          <w:i/>
          <w:szCs w:val="24"/>
          <w:lang w:val="en-GB"/>
        </w:rPr>
        <w:t>iewed in order to remove abusive requirements.”</w:t>
      </w:r>
      <w:r w:rsidRPr="00181CF2">
        <w:rPr>
          <w:rStyle w:val="FootnoteReference"/>
          <w:rFonts w:ascii="Arial" w:hAnsi="Arial" w:cs="Arial"/>
          <w:szCs w:val="24"/>
          <w:lang w:val="en-GB"/>
        </w:rPr>
        <w:footnoteReference w:id="329"/>
      </w:r>
      <w:r w:rsidRPr="00181CF2">
        <w:rPr>
          <w:rFonts w:ascii="Arial" w:hAnsi="Arial" w:cs="Arial"/>
          <w:szCs w:val="24"/>
          <w:lang w:val="en-GB"/>
        </w:rPr>
        <w:t xml:space="preserve">  </w:t>
      </w:r>
    </w:p>
    <w:p w:rsidR="003D52D7" w:rsidRPr="00C57CE1"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illustrated earlier in this </w:t>
      </w:r>
      <w:r w:rsidR="00725477">
        <w:rPr>
          <w:rFonts w:ascii="Arial" w:hAnsi="Arial" w:cs="Arial"/>
          <w:szCs w:val="24"/>
          <w:lang w:val="en-GB"/>
        </w:rPr>
        <w:t>c</w:t>
      </w:r>
      <w:r w:rsidRPr="0028108F">
        <w:rPr>
          <w:rFonts w:ascii="Arial" w:hAnsi="Arial" w:cs="Arial"/>
          <w:szCs w:val="24"/>
          <w:lang w:val="en-GB"/>
        </w:rPr>
        <w:t xml:space="preserve">hapter, to-date the recommendations have not been fully implemented by many countries in Europe.  Nonetheless, change appears to be </w:t>
      </w:r>
      <w:r w:rsidR="007C05D9">
        <w:rPr>
          <w:rFonts w:ascii="Arial" w:hAnsi="Arial" w:cs="Arial" w:hint="eastAsia"/>
          <w:szCs w:val="24"/>
          <w:lang w:val="en-GB"/>
        </w:rPr>
        <w:t>gradually taking place</w:t>
      </w:r>
      <w:r w:rsidRPr="0028108F">
        <w:rPr>
          <w:rFonts w:ascii="Arial" w:hAnsi="Arial" w:cs="Arial"/>
          <w:szCs w:val="24"/>
          <w:lang w:val="en-GB"/>
        </w:rPr>
        <w:t xml:space="preserve">.  Apart from the remarkable legal reform and/or judicial changes in Denmark, Ireland, Malta, Iceland, </w:t>
      </w:r>
      <w:r w:rsidR="00A7623F" w:rsidRPr="0028108F">
        <w:rPr>
          <w:rFonts w:ascii="Arial" w:hAnsi="Arial" w:cs="Arial"/>
          <w:szCs w:val="24"/>
          <w:lang w:val="en-GB"/>
        </w:rPr>
        <w:t xml:space="preserve">Norway, </w:t>
      </w:r>
      <w:r w:rsidRPr="0028108F">
        <w:rPr>
          <w:rFonts w:ascii="Arial" w:hAnsi="Arial" w:cs="Arial"/>
          <w:szCs w:val="24"/>
          <w:lang w:val="en-GB"/>
        </w:rPr>
        <w:t xml:space="preserve">France and the Netherlands noted above, Croatia has also amended its State Registries Law in June 2013 to include a provision under which a person can have their birth certificate amended with the preferred gender based on </w:t>
      </w:r>
      <w:r w:rsidRPr="0028108F">
        <w:rPr>
          <w:rFonts w:ascii="Arial" w:hAnsi="Arial" w:cs="Arial"/>
          <w:i/>
          <w:szCs w:val="24"/>
          <w:lang w:val="en-GB"/>
        </w:rPr>
        <w:t>“change of sex or life in a different gender identity</w:t>
      </w:r>
      <w:r w:rsidR="00725477" w:rsidRPr="0028108F">
        <w:rPr>
          <w:rFonts w:ascii="Arial" w:hAnsi="Arial" w:cs="Arial"/>
          <w:i/>
          <w:szCs w:val="24"/>
          <w:lang w:val="en-GB"/>
        </w:rPr>
        <w:t>”</w:t>
      </w:r>
      <w:r w:rsidRPr="0028108F">
        <w:rPr>
          <w:rFonts w:ascii="Arial" w:hAnsi="Arial" w:cs="Arial"/>
          <w:szCs w:val="24"/>
          <w:lang w:val="en-GB"/>
        </w:rPr>
        <w:t>;</w:t>
      </w:r>
      <w:r w:rsidRPr="00181CF2">
        <w:rPr>
          <w:rStyle w:val="FootnoteReference"/>
          <w:rFonts w:ascii="Arial" w:hAnsi="Arial" w:cs="Arial"/>
          <w:szCs w:val="24"/>
          <w:lang w:val="en-GB"/>
        </w:rPr>
        <w:footnoteReference w:id="330"/>
      </w:r>
      <w:r w:rsidRPr="00181CF2">
        <w:rPr>
          <w:rFonts w:ascii="Arial" w:hAnsi="Arial" w:cs="Arial"/>
          <w:szCs w:val="24"/>
          <w:lang w:val="en-GB"/>
        </w:rPr>
        <w:t xml:space="preserve"> Germany and </w:t>
      </w:r>
      <w:r w:rsidRPr="00181CF2">
        <w:rPr>
          <w:rFonts w:ascii="Arial" w:hAnsi="Arial" w:cs="Arial"/>
          <w:szCs w:val="24"/>
          <w:lang w:val="en-GB"/>
        </w:rPr>
        <w:lastRenderedPageBreak/>
        <w:t>Sweden have by court decisions in, respectively, January 2011</w:t>
      </w:r>
      <w:r w:rsidRPr="00181CF2">
        <w:rPr>
          <w:rStyle w:val="FootnoteReference"/>
          <w:rFonts w:ascii="Arial" w:hAnsi="Arial" w:cs="Arial"/>
          <w:szCs w:val="24"/>
          <w:lang w:val="en-GB"/>
        </w:rPr>
        <w:footnoteReference w:id="331"/>
      </w:r>
      <w:r w:rsidRPr="00181CF2">
        <w:rPr>
          <w:rFonts w:ascii="Arial" w:hAnsi="Arial" w:cs="Arial"/>
          <w:szCs w:val="24"/>
          <w:lang w:val="en-GB"/>
        </w:rPr>
        <w:t xml:space="preserve"> and July 2013,</w:t>
      </w:r>
      <w:r w:rsidRPr="00181CF2">
        <w:rPr>
          <w:rStyle w:val="FootnoteReference"/>
          <w:rFonts w:ascii="Arial" w:hAnsi="Arial" w:cs="Arial"/>
          <w:szCs w:val="24"/>
          <w:lang w:val="en-GB"/>
        </w:rPr>
        <w:footnoteReference w:id="332"/>
      </w:r>
      <w:r w:rsidRPr="00181CF2">
        <w:rPr>
          <w:rFonts w:ascii="Arial" w:hAnsi="Arial" w:cs="Arial"/>
          <w:szCs w:val="24"/>
          <w:lang w:val="en-GB"/>
        </w:rPr>
        <w:t xml:space="preserve"> dropped the sterilisation requirement from t</w:t>
      </w:r>
      <w:r w:rsidRPr="00C57CE1">
        <w:rPr>
          <w:rFonts w:ascii="Arial" w:hAnsi="Arial" w:cs="Arial"/>
          <w:szCs w:val="24"/>
          <w:lang w:val="en-GB"/>
        </w:rPr>
        <w:t xml:space="preserve">heir then gender recognition regimes.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181CF2" w:rsidRDefault="003D52D7" w:rsidP="00A81DE1">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is noted that not all legal developments in Europe in this area are trending towards reducing restrictions for gender recognition.  The Czech Republic, which apparently had been known for being relatively liberal with regard to </w:t>
      </w:r>
      <w:r w:rsidR="007003F5" w:rsidRPr="0028108F">
        <w:rPr>
          <w:rFonts w:ascii="Arial" w:hAnsi="Arial" w:cs="Arial"/>
          <w:szCs w:val="24"/>
          <w:lang w:val="en-GB"/>
        </w:rPr>
        <w:t xml:space="preserve">lesbian, gay, bisexual, transgender and intersex </w:t>
      </w:r>
      <w:r w:rsidR="007003F5">
        <w:rPr>
          <w:rFonts w:ascii="Arial" w:hAnsi="Arial" w:cs="Arial" w:hint="eastAsia"/>
          <w:szCs w:val="24"/>
          <w:lang w:val="en-GB"/>
        </w:rPr>
        <w:t>(</w:t>
      </w:r>
      <w:r w:rsidR="007003F5">
        <w:rPr>
          <w:rFonts w:ascii="Arial" w:hAnsi="Arial" w:cs="Arial"/>
          <w:szCs w:val="24"/>
          <w:lang w:val="en-GB"/>
        </w:rPr>
        <w:t>“</w:t>
      </w:r>
      <w:r w:rsidR="007003F5" w:rsidRPr="004533B9">
        <w:rPr>
          <w:rFonts w:ascii="Arial" w:hAnsi="Arial" w:cs="Arial"/>
          <w:i/>
          <w:szCs w:val="24"/>
          <w:lang w:val="en-GB"/>
        </w:rPr>
        <w:t>LGBTI</w:t>
      </w:r>
      <w:r w:rsidR="007003F5">
        <w:rPr>
          <w:rFonts w:ascii="Arial" w:hAnsi="Arial" w:cs="Arial"/>
          <w:szCs w:val="24"/>
          <w:lang w:val="en-GB"/>
        </w:rPr>
        <w:t>”</w:t>
      </w:r>
      <w:r w:rsidR="007003F5">
        <w:rPr>
          <w:rFonts w:ascii="Arial" w:hAnsi="Arial" w:cs="Arial" w:hint="eastAsia"/>
          <w:szCs w:val="24"/>
          <w:lang w:val="en-GB"/>
        </w:rPr>
        <w:t>)</w:t>
      </w:r>
      <w:r w:rsidRPr="00181CF2">
        <w:rPr>
          <w:rFonts w:ascii="Arial" w:hAnsi="Arial" w:cs="Arial"/>
          <w:szCs w:val="24"/>
          <w:lang w:val="en-GB"/>
        </w:rPr>
        <w:t xml:space="preserve"> issues, in January 2014 reinforced its requirements for </w:t>
      </w:r>
      <w:r w:rsidR="00153A58" w:rsidRPr="0028108F">
        <w:rPr>
          <w:rFonts w:ascii="Arial" w:hAnsi="Arial" w:cs="Arial"/>
          <w:szCs w:val="24"/>
          <w:lang w:val="en-GB"/>
        </w:rPr>
        <w:t xml:space="preserve">SRS </w:t>
      </w:r>
      <w:r w:rsidRPr="0028108F">
        <w:rPr>
          <w:rFonts w:ascii="Arial" w:hAnsi="Arial" w:cs="Arial"/>
          <w:szCs w:val="24"/>
          <w:lang w:val="en-GB"/>
        </w:rPr>
        <w:t>and mandatory divorce in relation to gender recognition.</w:t>
      </w:r>
      <w:r w:rsidRPr="00181CF2">
        <w:rPr>
          <w:rStyle w:val="FootnoteReference"/>
          <w:rFonts w:ascii="Arial" w:hAnsi="Arial" w:cs="Arial"/>
          <w:szCs w:val="24"/>
          <w:lang w:val="en-GB"/>
        </w:rPr>
        <w:footnoteReference w:id="333"/>
      </w:r>
      <w:r w:rsidRPr="00181CF2">
        <w:rPr>
          <w:rFonts w:ascii="Arial" w:hAnsi="Arial" w:cs="Arial"/>
          <w:szCs w:val="24"/>
          <w:lang w:val="en-GB"/>
        </w:rPr>
        <w:t xml:space="preserve">  Separately, </w:t>
      </w:r>
      <w:r w:rsidRPr="0028108F">
        <w:rPr>
          <w:rFonts w:ascii="Arial" w:hAnsi="Arial" w:cs="Arial"/>
          <w:szCs w:val="24"/>
          <w:lang w:val="en-GB"/>
        </w:rPr>
        <w:t xml:space="preserve">in </w:t>
      </w:r>
      <w:r w:rsidRPr="0028108F">
        <w:rPr>
          <w:rFonts w:ascii="Arial" w:hAnsi="Arial" w:cs="Arial"/>
          <w:i/>
          <w:szCs w:val="24"/>
          <w:lang w:val="en-GB"/>
        </w:rPr>
        <w:t>Hämäläinen v Finland</w:t>
      </w:r>
      <w:r w:rsidR="00C9791A" w:rsidRPr="0028108F">
        <w:rPr>
          <w:rFonts w:ascii="Arial" w:hAnsi="Arial" w:cs="Arial"/>
          <w:szCs w:val="24"/>
          <w:lang w:val="en-GB"/>
        </w:rPr>
        <w:t xml:space="preserve"> (2014)</w:t>
      </w:r>
      <w:r w:rsidR="00DB38A9">
        <w:rPr>
          <w:rFonts w:ascii="Arial" w:hAnsi="Arial" w:cs="Arial"/>
          <w:szCs w:val="24"/>
          <w:lang w:val="en-GB"/>
        </w:rPr>
        <w:t>,</w:t>
      </w:r>
      <w:r w:rsidR="00C9791A" w:rsidRPr="00181CF2">
        <w:rPr>
          <w:rStyle w:val="FootnoteReference"/>
          <w:rFonts w:ascii="Arial" w:hAnsi="Arial" w:cs="Arial"/>
          <w:szCs w:val="24"/>
          <w:lang w:val="en-GB"/>
        </w:rPr>
        <w:footnoteReference w:id="334"/>
      </w:r>
      <w:r w:rsidRPr="0028108F">
        <w:rPr>
          <w:rFonts w:ascii="Arial" w:hAnsi="Arial" w:cs="Arial"/>
          <w:szCs w:val="24"/>
          <w:lang w:val="en-GB"/>
        </w:rPr>
        <w:t xml:space="preserve"> </w:t>
      </w:r>
      <w:r w:rsidR="00C9791A" w:rsidRPr="0028108F">
        <w:rPr>
          <w:rFonts w:ascii="Arial" w:hAnsi="Arial" w:cs="Arial"/>
          <w:szCs w:val="24"/>
          <w:lang w:val="en-GB"/>
        </w:rPr>
        <w:t>the ECtHR</w:t>
      </w:r>
      <w:r w:rsidR="00C9791A" w:rsidRPr="00181CF2">
        <w:rPr>
          <w:rFonts w:ascii="Arial" w:hAnsi="Arial" w:cs="Arial"/>
          <w:szCs w:val="24"/>
          <w:lang w:val="en-GB"/>
        </w:rPr>
        <w:t xml:space="preserve"> affirmed </w:t>
      </w:r>
      <w:r w:rsidRPr="00C57CE1">
        <w:rPr>
          <w:rFonts w:ascii="Arial" w:hAnsi="Arial" w:cs="Arial"/>
          <w:szCs w:val="24"/>
          <w:lang w:val="en-GB"/>
        </w:rPr>
        <w:t xml:space="preserve">the Finnish government’s decision to </w:t>
      </w:r>
      <w:r w:rsidR="002922C1">
        <w:rPr>
          <w:rFonts w:ascii="Arial" w:hAnsi="Arial" w:cs="Arial"/>
          <w:szCs w:val="24"/>
          <w:lang w:val="en-GB"/>
        </w:rPr>
        <w:t>require</w:t>
      </w:r>
      <w:r w:rsidRPr="00C57CE1">
        <w:rPr>
          <w:rFonts w:ascii="Arial" w:hAnsi="Arial" w:cs="Arial"/>
          <w:szCs w:val="24"/>
          <w:lang w:val="en-GB"/>
        </w:rPr>
        <w:t xml:space="preserve"> a man, who had undergone </w:t>
      </w:r>
      <w:r w:rsidR="00153A58" w:rsidRPr="0028108F">
        <w:rPr>
          <w:rFonts w:ascii="Arial" w:hAnsi="Arial" w:cs="Arial"/>
          <w:szCs w:val="24"/>
          <w:lang w:val="en-GB"/>
        </w:rPr>
        <w:t>SRS</w:t>
      </w:r>
      <w:r w:rsidRPr="0028108F">
        <w:rPr>
          <w:rFonts w:ascii="Arial" w:hAnsi="Arial" w:cs="Arial"/>
          <w:szCs w:val="24"/>
          <w:lang w:val="en-GB"/>
        </w:rPr>
        <w:t xml:space="preserve">, to </w:t>
      </w:r>
      <w:r w:rsidR="002922C1">
        <w:rPr>
          <w:rFonts w:ascii="Arial" w:hAnsi="Arial" w:cs="Arial"/>
          <w:szCs w:val="24"/>
          <w:lang w:val="en-GB"/>
        </w:rPr>
        <w:t>transform</w:t>
      </w:r>
      <w:r w:rsidRPr="0028108F">
        <w:rPr>
          <w:rFonts w:ascii="Arial" w:hAnsi="Arial" w:cs="Arial"/>
          <w:szCs w:val="24"/>
          <w:lang w:val="en-GB"/>
        </w:rPr>
        <w:t xml:space="preserve"> his marriage</w:t>
      </w:r>
      <w:r w:rsidR="002922C1">
        <w:rPr>
          <w:rFonts w:ascii="Arial" w:hAnsi="Arial" w:cs="Arial"/>
          <w:szCs w:val="24"/>
          <w:lang w:val="en-GB"/>
        </w:rPr>
        <w:t xml:space="preserve"> into a civil partnership</w:t>
      </w:r>
      <w:r w:rsidRPr="0028108F">
        <w:rPr>
          <w:rFonts w:ascii="Arial" w:hAnsi="Arial" w:cs="Arial"/>
          <w:szCs w:val="24"/>
          <w:lang w:val="en-GB"/>
        </w:rPr>
        <w:t xml:space="preserve"> if he wanted to update his national and travel identity documents.</w:t>
      </w:r>
      <w:r w:rsidRPr="00181CF2">
        <w:rPr>
          <w:rFonts w:ascii="Arial" w:hAnsi="Arial" w:cs="Arial"/>
          <w:szCs w:val="24"/>
          <w:lang w:val="en-GB"/>
        </w:rPr>
        <w:t xml:space="preserve">  The scheme in Finland has imposed requirements on minimum ag</w:t>
      </w:r>
      <w:r w:rsidRPr="00C57CE1">
        <w:rPr>
          <w:rFonts w:ascii="Arial" w:hAnsi="Arial" w:cs="Arial"/>
          <w:szCs w:val="24"/>
          <w:lang w:val="en-GB"/>
        </w:rPr>
        <w:t xml:space="preserve">e, citizenship, marital status exclusion (unless with the spouse’s consent), a medical diagnosis requirement that the applicant </w:t>
      </w:r>
      <w:r w:rsidRPr="00C57CE1">
        <w:rPr>
          <w:rFonts w:ascii="Arial" w:hAnsi="Arial" w:cs="Arial"/>
          <w:i/>
          <w:szCs w:val="24"/>
          <w:lang w:val="en-GB"/>
        </w:rPr>
        <w:t>“permanently experiences being a member of the opposite sex”</w:t>
      </w:r>
      <w:r w:rsidRPr="0028108F">
        <w:rPr>
          <w:rFonts w:ascii="Arial" w:hAnsi="Arial" w:cs="Arial"/>
          <w:szCs w:val="24"/>
          <w:lang w:val="en-GB"/>
        </w:rPr>
        <w:t xml:space="preserve">, a </w:t>
      </w:r>
      <w:r w:rsidR="00043FD0" w:rsidRPr="0028108F">
        <w:rPr>
          <w:rFonts w:ascii="Arial" w:hAnsi="Arial" w:cs="Arial"/>
          <w:szCs w:val="24"/>
          <w:lang w:val="en-GB"/>
        </w:rPr>
        <w:t>real life test</w:t>
      </w:r>
      <w:r w:rsidRPr="0028108F">
        <w:rPr>
          <w:rFonts w:ascii="Arial" w:hAnsi="Arial" w:cs="Arial"/>
          <w:szCs w:val="24"/>
          <w:lang w:val="en-GB"/>
        </w:rPr>
        <w:t xml:space="preserve"> of six to twelve months, hormonal treatment, </w:t>
      </w:r>
      <w:r w:rsidR="00153A58" w:rsidRPr="0028108F">
        <w:rPr>
          <w:rFonts w:ascii="Arial" w:hAnsi="Arial" w:cs="Arial"/>
          <w:szCs w:val="24"/>
          <w:lang w:val="en-GB"/>
        </w:rPr>
        <w:t xml:space="preserve">SRS </w:t>
      </w:r>
      <w:r w:rsidRPr="0028108F">
        <w:rPr>
          <w:rFonts w:ascii="Arial" w:hAnsi="Arial" w:cs="Arial"/>
          <w:szCs w:val="24"/>
          <w:lang w:val="en-GB"/>
        </w:rPr>
        <w:t>and sterilisation.</w:t>
      </w:r>
      <w:r w:rsidRPr="00181CF2">
        <w:rPr>
          <w:rStyle w:val="FootnoteReference"/>
          <w:rFonts w:ascii="Arial" w:hAnsi="Arial" w:cs="Arial"/>
          <w:szCs w:val="24"/>
          <w:lang w:val="en-GB"/>
        </w:rPr>
        <w:footnoteReference w:id="335"/>
      </w:r>
    </w:p>
    <w:p w:rsidR="003D52D7" w:rsidRPr="00C57CE1"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8813DE" w:rsidRDefault="003D52D7" w:rsidP="003D52D7">
      <w:pPr>
        <w:pStyle w:val="ListParagraph"/>
        <w:tabs>
          <w:tab w:val="left" w:pos="1418"/>
        </w:tabs>
        <w:adjustRightInd w:val="0"/>
        <w:snapToGrid w:val="0"/>
        <w:ind w:leftChars="0" w:left="0"/>
        <w:jc w:val="both"/>
        <w:rPr>
          <w:rFonts w:ascii="Arial" w:hAnsi="Arial" w:cs="Arial"/>
          <w:sz w:val="28"/>
          <w:szCs w:val="28"/>
          <w:lang w:val="en-GB"/>
        </w:rPr>
      </w:pPr>
    </w:p>
    <w:p w:rsidR="003D52D7" w:rsidRPr="0028108F" w:rsidRDefault="003D52D7" w:rsidP="003D52D7">
      <w:pPr>
        <w:adjustRightInd w:val="0"/>
        <w:snapToGrid w:val="0"/>
        <w:jc w:val="both"/>
        <w:rPr>
          <w:rFonts w:ascii="Arial" w:hAnsi="Arial" w:cs="Arial"/>
          <w:szCs w:val="24"/>
          <w:lang w:val="en-GB"/>
        </w:rPr>
      </w:pPr>
      <w:r w:rsidRPr="008813DE">
        <w:rPr>
          <w:rFonts w:ascii="Arial" w:hAnsi="Arial" w:cs="Arial"/>
          <w:b/>
          <w:sz w:val="28"/>
          <w:szCs w:val="28"/>
          <w:lang w:val="en-GB"/>
        </w:rPr>
        <w:t>North America</w:t>
      </w:r>
      <w:r w:rsidRPr="0028108F">
        <w:rPr>
          <w:rFonts w:ascii="Arial" w:hAnsi="Arial" w:cs="Arial"/>
          <w:b/>
          <w:szCs w:val="24"/>
          <w:lang w:val="en-GB"/>
        </w:rPr>
        <w:t xml:space="preserve"> </w:t>
      </w:r>
    </w:p>
    <w:p w:rsidR="003D52D7" w:rsidRPr="0028108F" w:rsidRDefault="003D52D7" w:rsidP="003D52D7">
      <w:pPr>
        <w:adjustRightInd w:val="0"/>
        <w:snapToGrid w:val="0"/>
        <w:jc w:val="both"/>
        <w:rPr>
          <w:rFonts w:ascii="Arial" w:hAnsi="Arial" w:cs="Arial"/>
          <w:szCs w:val="24"/>
          <w:lang w:val="en-GB"/>
        </w:rPr>
      </w:pPr>
      <w:r w:rsidRPr="0028108F">
        <w:rPr>
          <w:rFonts w:ascii="Arial" w:hAnsi="Arial" w:cs="Arial"/>
          <w:szCs w:val="24"/>
          <w:lang w:val="en-GB"/>
        </w:rPr>
        <w:tab/>
      </w: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 xml:space="preserve">Overview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This paper has studied the gender recognition schemes in 60 jurisdictions across North America, including, in the United States</w:t>
      </w:r>
      <w:r w:rsidR="00BF0226" w:rsidRPr="0028108F">
        <w:rPr>
          <w:rFonts w:ascii="Arial" w:hAnsi="Arial" w:cs="Arial"/>
          <w:szCs w:val="24"/>
          <w:lang w:val="en-GB"/>
        </w:rPr>
        <w:t xml:space="preserve"> (“</w:t>
      </w:r>
      <w:r w:rsidR="00BF0226" w:rsidRPr="008813DE">
        <w:rPr>
          <w:rFonts w:ascii="Arial" w:hAnsi="Arial" w:cs="Arial"/>
          <w:i/>
          <w:szCs w:val="24"/>
          <w:lang w:val="en-GB"/>
        </w:rPr>
        <w:t>US</w:t>
      </w:r>
      <w:r w:rsidR="00BF0226" w:rsidRPr="00181CF2">
        <w:rPr>
          <w:rFonts w:ascii="Arial" w:hAnsi="Arial" w:cs="Arial"/>
          <w:szCs w:val="24"/>
          <w:lang w:val="en-GB"/>
        </w:rPr>
        <w:t>”)</w:t>
      </w:r>
      <w:r w:rsidRPr="00C57CE1">
        <w:rPr>
          <w:rFonts w:ascii="Arial" w:hAnsi="Arial" w:cs="Arial"/>
          <w:szCs w:val="24"/>
          <w:lang w:val="en-GB"/>
        </w:rPr>
        <w:t>, 46 states, the District of Columbia and New York Cit</w:t>
      </w:r>
      <w:r w:rsidRPr="0028108F">
        <w:rPr>
          <w:rFonts w:ascii="Arial" w:hAnsi="Arial" w:cs="Arial"/>
          <w:szCs w:val="24"/>
          <w:lang w:val="en-GB"/>
        </w:rPr>
        <w:t>y,</w:t>
      </w:r>
      <w:r w:rsidRPr="00181CF2">
        <w:rPr>
          <w:rFonts w:ascii="Arial" w:hAnsi="Arial" w:cs="Arial"/>
          <w:szCs w:val="24"/>
          <w:lang w:val="en-GB"/>
        </w:rPr>
        <w:t xml:space="preserve"> 10 Provinces and one Territory in Canada, together with the Federal District of Mexico (see </w:t>
      </w:r>
      <w:r w:rsidRPr="008813DE">
        <w:rPr>
          <w:rFonts w:ascii="Arial" w:hAnsi="Arial" w:cs="Arial"/>
          <w:szCs w:val="24"/>
          <w:lang w:val="en-GB"/>
        </w:rPr>
        <w:t>Annex A and Annex B</w:t>
      </w:r>
      <w:r w:rsidRPr="0028108F">
        <w:rPr>
          <w:rFonts w:ascii="Arial" w:hAnsi="Arial" w:cs="Arial"/>
          <w:szCs w:val="24"/>
          <w:lang w:val="en-GB"/>
        </w:rPr>
        <w:t xml:space="preserve"> of this paper for a full list of these jurisdictions).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r w:rsidRPr="0028108F">
        <w:rPr>
          <w:rFonts w:ascii="Arial" w:hAnsi="Arial" w:cs="Arial"/>
          <w:szCs w:val="24"/>
          <w:lang w:val="en-GB"/>
        </w:rPr>
        <w:t xml:space="preserve">  </w:t>
      </w: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None of the 60 North American jurisdictions examined has enacted a specific gender recognition law.  The gender recognition schemes in these jurisdictions are instead set out in their laws governing corrections to gender markers on, mainly, birth certificates and, in some states and provinces, other official documents such as drivers’ licences and passports.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This </w:t>
      </w:r>
      <w:r w:rsidR="00607C99">
        <w:rPr>
          <w:rFonts w:ascii="Arial" w:hAnsi="Arial" w:cs="Arial"/>
          <w:szCs w:val="24"/>
          <w:lang w:val="en-GB"/>
        </w:rPr>
        <w:t>c</w:t>
      </w:r>
      <w:r w:rsidR="00A42A11" w:rsidRPr="0028108F">
        <w:rPr>
          <w:rFonts w:ascii="Arial" w:hAnsi="Arial" w:cs="Arial"/>
          <w:szCs w:val="24"/>
          <w:lang w:val="en-GB"/>
        </w:rPr>
        <w:t>hapter</w:t>
      </w:r>
      <w:r w:rsidRPr="0028108F">
        <w:rPr>
          <w:rFonts w:ascii="Arial" w:hAnsi="Arial" w:cs="Arial"/>
          <w:szCs w:val="24"/>
          <w:lang w:val="en-GB"/>
        </w:rPr>
        <w:t xml:space="preserve"> focuses more specifically on birth certificates, which are widely used in both the U</w:t>
      </w:r>
      <w:r w:rsidR="00BF0226" w:rsidRPr="0028108F">
        <w:rPr>
          <w:rFonts w:ascii="Arial" w:hAnsi="Arial" w:cs="Arial"/>
          <w:szCs w:val="24"/>
          <w:lang w:val="en-GB"/>
        </w:rPr>
        <w:t>S</w:t>
      </w:r>
      <w:r w:rsidRPr="0028108F">
        <w:rPr>
          <w:rFonts w:ascii="Arial" w:hAnsi="Arial" w:cs="Arial"/>
          <w:szCs w:val="24"/>
          <w:lang w:val="en-GB"/>
        </w:rPr>
        <w:t xml:space="preserve"> and Canada as legal proof of citizenship, and in determining eligibility for employment, and the issuing of other identity documents such as driver’s licences, Social Security cards and passports, etc.</w:t>
      </w:r>
      <w:r w:rsidRPr="00181CF2">
        <w:rPr>
          <w:rStyle w:val="FootnoteReference"/>
          <w:rFonts w:ascii="Arial" w:hAnsi="Arial" w:cs="Arial"/>
          <w:szCs w:val="24"/>
          <w:lang w:val="en-GB"/>
        </w:rPr>
        <w:footnoteReference w:id="336"/>
      </w:r>
      <w:r w:rsidRPr="00181CF2">
        <w:rPr>
          <w:rFonts w:ascii="Arial" w:hAnsi="Arial" w:cs="Arial"/>
          <w:szCs w:val="24"/>
          <w:lang w:val="en-GB"/>
        </w:rPr>
        <w:t xml:space="preserve">  Birth certificates are also conclusive in law of a person</w:t>
      </w:r>
      <w:r w:rsidR="00607C99">
        <w:rPr>
          <w:rFonts w:ascii="Arial" w:hAnsi="Arial" w:cs="Arial"/>
          <w:szCs w:val="24"/>
          <w:lang w:val="en-GB"/>
        </w:rPr>
        <w:t>’</w:t>
      </w:r>
      <w:r w:rsidRPr="00181CF2">
        <w:rPr>
          <w:rFonts w:ascii="Arial" w:hAnsi="Arial" w:cs="Arial"/>
          <w:szCs w:val="24"/>
          <w:lang w:val="en-GB"/>
        </w:rPr>
        <w:t>s sex in Federal District of Mexico where a birth certificate is required to exercise civil and political rights (for example, a birth certificate is required to obtain a voter identification card</w:t>
      </w:r>
      <w:r w:rsidRPr="00181CF2">
        <w:rPr>
          <w:rStyle w:val="FootnoteReference"/>
          <w:rFonts w:ascii="Arial" w:hAnsi="Arial" w:cs="Arial"/>
          <w:szCs w:val="24"/>
          <w:lang w:val="en-GB"/>
        </w:rPr>
        <w:footnoteReference w:id="337"/>
      </w:r>
      <w:r w:rsidRPr="00181CF2">
        <w:rPr>
          <w:rFonts w:ascii="Arial" w:hAnsi="Arial" w:cs="Arial"/>
          <w:szCs w:val="24"/>
          <w:lang w:val="en-GB"/>
        </w:rPr>
        <w:t>).</w:t>
      </w:r>
    </w:p>
    <w:p w:rsidR="003D52D7" w:rsidRPr="00C57CE1" w:rsidRDefault="003D52D7" w:rsidP="003D52D7">
      <w:pPr>
        <w:pStyle w:val="ListParagraph"/>
        <w:snapToGrid w:val="0"/>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For citizens of the U</w:t>
      </w:r>
      <w:r w:rsidR="00BF0226" w:rsidRPr="0028108F">
        <w:rPr>
          <w:rFonts w:ascii="Arial" w:hAnsi="Arial" w:cs="Arial"/>
          <w:szCs w:val="24"/>
          <w:lang w:val="en-GB"/>
        </w:rPr>
        <w:t>S</w:t>
      </w:r>
      <w:r w:rsidRPr="0028108F">
        <w:rPr>
          <w:rFonts w:ascii="Arial" w:hAnsi="Arial" w:cs="Arial"/>
          <w:szCs w:val="24"/>
          <w:lang w:val="en-GB"/>
        </w:rPr>
        <w:t xml:space="preserve"> who were born overseas (thereby no birth record exists in the local </w:t>
      </w:r>
      <w:r w:rsidR="00512AC0" w:rsidRPr="0028108F">
        <w:rPr>
          <w:rFonts w:ascii="Arial" w:hAnsi="Arial" w:cs="Arial"/>
          <w:szCs w:val="24"/>
          <w:lang w:val="en-GB"/>
        </w:rPr>
        <w:t>US</w:t>
      </w:r>
      <w:r w:rsidRPr="0028108F">
        <w:rPr>
          <w:rFonts w:ascii="Arial" w:hAnsi="Arial" w:cs="Arial"/>
          <w:szCs w:val="24"/>
          <w:lang w:val="en-GB"/>
        </w:rPr>
        <w:t xml:space="preserve"> registries), they could obtain Consular Reports of Birth Abroad of </w:t>
      </w:r>
      <w:r w:rsidR="00512AC0" w:rsidRPr="0028108F">
        <w:rPr>
          <w:rFonts w:ascii="Arial" w:hAnsi="Arial" w:cs="Arial"/>
          <w:szCs w:val="24"/>
          <w:lang w:val="en-GB"/>
        </w:rPr>
        <w:t>US</w:t>
      </w:r>
      <w:r w:rsidRPr="0028108F">
        <w:rPr>
          <w:rFonts w:ascii="Arial" w:hAnsi="Arial" w:cs="Arial"/>
          <w:szCs w:val="24"/>
          <w:lang w:val="en-GB"/>
        </w:rPr>
        <w:t xml:space="preserve"> Citizens (CRBA), which are functionally equivalent to birth certificates for those born in the U</w:t>
      </w:r>
      <w:r w:rsidR="00BF0226" w:rsidRPr="0028108F">
        <w:rPr>
          <w:rFonts w:ascii="Arial" w:hAnsi="Arial" w:cs="Arial"/>
          <w:szCs w:val="24"/>
          <w:lang w:val="en-GB"/>
        </w:rPr>
        <w:t>S</w:t>
      </w:r>
      <w:r w:rsidRPr="0028108F">
        <w:rPr>
          <w:rFonts w:ascii="Arial" w:hAnsi="Arial" w:cs="Arial"/>
          <w:szCs w:val="24"/>
          <w:lang w:val="en-GB"/>
        </w:rPr>
        <w:t xml:space="preserve"> in providing citizenship, identity and other information about the individual’s circumstances of birth.  According to the new policy promulgated by the </w:t>
      </w:r>
      <w:r w:rsidR="00512AC0" w:rsidRPr="0028108F">
        <w:rPr>
          <w:rFonts w:ascii="Arial" w:hAnsi="Arial" w:cs="Arial"/>
          <w:szCs w:val="24"/>
          <w:lang w:val="en-GB"/>
        </w:rPr>
        <w:t>US</w:t>
      </w:r>
      <w:r w:rsidRPr="0028108F">
        <w:rPr>
          <w:rFonts w:ascii="Arial" w:hAnsi="Arial" w:cs="Arial"/>
          <w:szCs w:val="24"/>
          <w:lang w:val="en-GB"/>
        </w:rPr>
        <w:t xml:space="preserve"> Department of State in June 2010, the requirement of </w:t>
      </w:r>
      <w:r w:rsidRPr="0028108F">
        <w:rPr>
          <w:rFonts w:ascii="Arial" w:hAnsi="Arial" w:cs="Arial"/>
          <w:i/>
          <w:szCs w:val="24"/>
          <w:lang w:val="en-GB"/>
        </w:rPr>
        <w:t>“sex reassignment surgery”</w:t>
      </w:r>
      <w:r w:rsidRPr="0028108F">
        <w:rPr>
          <w:rFonts w:ascii="Arial" w:hAnsi="Arial" w:cs="Arial"/>
          <w:szCs w:val="24"/>
          <w:lang w:val="en-GB"/>
        </w:rPr>
        <w:t xml:space="preserve"> was abandoned and the applicant is now only required to provide a physician’s letter certifying that he or he </w:t>
      </w:r>
      <w:r w:rsidRPr="0028108F">
        <w:rPr>
          <w:rFonts w:ascii="Arial" w:hAnsi="Arial" w:cs="Arial"/>
          <w:i/>
          <w:szCs w:val="24"/>
          <w:lang w:val="en-GB"/>
        </w:rPr>
        <w:t>“has had appropriate clinical treatment for gender transition to the new gender”</w:t>
      </w:r>
      <w:r w:rsidRPr="0028108F">
        <w:rPr>
          <w:rFonts w:ascii="Arial" w:hAnsi="Arial" w:cs="Arial"/>
          <w:szCs w:val="24"/>
          <w:lang w:val="en-GB"/>
        </w:rPr>
        <w:t xml:space="preserve"> (terms not defined anywhere in legislation, etc).</w:t>
      </w:r>
      <w:r w:rsidRPr="00181CF2">
        <w:rPr>
          <w:rStyle w:val="FootnoteReference"/>
          <w:rFonts w:ascii="Arial" w:hAnsi="Arial" w:cs="Arial"/>
          <w:szCs w:val="24"/>
          <w:lang w:val="en-GB"/>
        </w:rPr>
        <w:footnoteReference w:id="338"/>
      </w:r>
      <w:r w:rsidRPr="00181CF2">
        <w:rPr>
          <w:rFonts w:ascii="Arial" w:hAnsi="Arial" w:cs="Arial"/>
          <w:szCs w:val="24"/>
          <w:lang w:val="en-GB"/>
        </w:rPr>
        <w:t xml:space="preserve">  </w:t>
      </w:r>
    </w:p>
    <w:p w:rsidR="003D52D7" w:rsidRPr="00C57CE1"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United States</w:t>
      </w:r>
      <w:r w:rsidRPr="0028108F">
        <w:rPr>
          <w:rStyle w:val="FootnoteReference"/>
          <w:rFonts w:ascii="Arial" w:hAnsi="Arial" w:cs="Arial"/>
          <w:szCs w:val="24"/>
          <w:lang w:val="en-GB"/>
        </w:rPr>
        <w:footnoteReference w:id="339"/>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Types of measures allowing rectification of official documents</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the U</w:t>
      </w:r>
      <w:r w:rsidR="00BF0226" w:rsidRPr="0028108F">
        <w:rPr>
          <w:rFonts w:ascii="Arial" w:hAnsi="Arial" w:cs="Arial"/>
          <w:szCs w:val="24"/>
          <w:lang w:val="en-GB"/>
        </w:rPr>
        <w:t>S</w:t>
      </w:r>
      <w:r w:rsidRPr="0028108F">
        <w:rPr>
          <w:rFonts w:ascii="Arial" w:hAnsi="Arial" w:cs="Arial"/>
          <w:szCs w:val="24"/>
          <w:lang w:val="en-GB"/>
        </w:rPr>
        <w:t>, a birth certificate is the primary means a person first uses as identity to obtain other legal documents.  Across the U</w:t>
      </w:r>
      <w:r w:rsidR="00BF0226" w:rsidRPr="0028108F">
        <w:rPr>
          <w:rFonts w:ascii="Arial" w:hAnsi="Arial" w:cs="Arial"/>
          <w:szCs w:val="24"/>
          <w:lang w:val="en-GB"/>
        </w:rPr>
        <w:t>S</w:t>
      </w:r>
      <w:r w:rsidRPr="0028108F">
        <w:rPr>
          <w:rFonts w:ascii="Arial" w:hAnsi="Arial" w:cs="Arial"/>
          <w:szCs w:val="24"/>
          <w:lang w:val="en-GB"/>
        </w:rPr>
        <w:t xml:space="preserve">, laws governing corrections to gender markers on birth certificates </w:t>
      </w:r>
      <w:r w:rsidRPr="008813DE">
        <w:rPr>
          <w:rFonts w:ascii="Arial" w:hAnsi="Arial" w:cs="Arial"/>
          <w:szCs w:val="24"/>
          <w:lang w:val="en-GB"/>
        </w:rPr>
        <w:t>vary from State to State</w:t>
      </w:r>
      <w:r w:rsidR="0031275D" w:rsidRPr="008813DE">
        <w:rPr>
          <w:rFonts w:ascii="Arial" w:hAnsi="Arial" w:cs="Arial"/>
          <w:szCs w:val="24"/>
          <w:lang w:val="en-GB"/>
        </w:rPr>
        <w:t>,</w:t>
      </w:r>
      <w:r w:rsidRPr="008813DE">
        <w:rPr>
          <w:rFonts w:ascii="Arial" w:hAnsi="Arial" w:cs="Arial"/>
          <w:szCs w:val="24"/>
          <w:lang w:val="en-GB"/>
        </w:rPr>
        <w:t xml:space="preserve"> </w:t>
      </w:r>
      <w:r w:rsidR="0031275D" w:rsidRPr="008813DE">
        <w:rPr>
          <w:rFonts w:ascii="Arial" w:hAnsi="Arial" w:cs="Arial"/>
          <w:szCs w:val="24"/>
          <w:lang w:val="en-GB"/>
        </w:rPr>
        <w:t xml:space="preserve">although they </w:t>
      </w:r>
      <w:r w:rsidRPr="008813DE">
        <w:rPr>
          <w:rFonts w:ascii="Arial" w:hAnsi="Arial" w:cs="Arial"/>
          <w:szCs w:val="24"/>
          <w:lang w:val="en-GB"/>
        </w:rPr>
        <w:t>are relatively</w:t>
      </w:r>
      <w:r w:rsidR="007C05D9">
        <w:rPr>
          <w:rFonts w:ascii="Arial" w:hAnsi="Arial" w:cs="Arial" w:hint="eastAsia"/>
          <w:szCs w:val="24"/>
          <w:lang w:val="en-GB"/>
        </w:rPr>
        <w:t xml:space="preserve"> similar</w:t>
      </w:r>
      <w:r w:rsidRPr="00181CF2">
        <w:rPr>
          <w:rFonts w:ascii="Arial" w:hAnsi="Arial" w:cs="Arial"/>
          <w:szCs w:val="24"/>
          <w:lang w:val="en-GB"/>
        </w:rPr>
        <w:t>, in large part because such laws i</w:t>
      </w:r>
      <w:r w:rsidRPr="00C57CE1">
        <w:rPr>
          <w:rFonts w:ascii="Arial" w:hAnsi="Arial" w:cs="Arial"/>
          <w:szCs w:val="24"/>
          <w:lang w:val="en-GB"/>
        </w:rPr>
        <w:t>n many jurisdictions have emanated from the relevant provisions of the 1977 revision of the Model State Vital Statistics Act (MSVSA).  The MSVSA, developed by the U</w:t>
      </w:r>
      <w:r w:rsidR="00BF0226" w:rsidRPr="0028108F">
        <w:rPr>
          <w:rFonts w:ascii="Arial" w:hAnsi="Arial" w:cs="Arial"/>
          <w:szCs w:val="24"/>
          <w:lang w:val="en-GB"/>
        </w:rPr>
        <w:t>S</w:t>
      </w:r>
      <w:r w:rsidRPr="0028108F">
        <w:rPr>
          <w:rFonts w:ascii="Arial" w:hAnsi="Arial" w:cs="Arial"/>
          <w:szCs w:val="24"/>
          <w:lang w:val="en-GB"/>
        </w:rPr>
        <w:t xml:space="preserve"> Department of Health and Human Services, recommended that corrections to gender markers on birth certificates be granted “</w:t>
      </w:r>
      <w:r w:rsidRPr="0028108F">
        <w:rPr>
          <w:rFonts w:ascii="Arial" w:hAnsi="Arial" w:cs="Arial"/>
          <w:i/>
          <w:szCs w:val="24"/>
          <w:lang w:val="en-GB"/>
        </w:rPr>
        <w:t>upon receipt of a certified copy of an order of a court of competent jurisdiction indicating the sex of an individual born in this State has been changed by surgical procedure”</w:t>
      </w:r>
      <w:r w:rsidRPr="0028108F">
        <w:rPr>
          <w:rFonts w:ascii="Arial" w:hAnsi="Arial" w:cs="Arial"/>
          <w:szCs w:val="24"/>
          <w:lang w:val="en-GB"/>
        </w:rPr>
        <w:t xml:space="preserve"> (terms not defined in the model statute nor in published case law).</w:t>
      </w:r>
      <w:r w:rsidRPr="00181CF2">
        <w:rPr>
          <w:rStyle w:val="FootnoteReference"/>
          <w:rFonts w:ascii="Arial" w:hAnsi="Arial" w:cs="Arial"/>
          <w:szCs w:val="24"/>
          <w:lang w:val="en-GB"/>
        </w:rPr>
        <w:footnoteReference w:id="340"/>
      </w:r>
      <w:r w:rsidRPr="00181CF2">
        <w:rPr>
          <w:rFonts w:ascii="Arial" w:hAnsi="Arial" w:cs="Arial"/>
          <w:szCs w:val="24"/>
          <w:lang w:val="en-GB"/>
        </w:rPr>
        <w:t xml:space="preserve"> </w:t>
      </w:r>
    </w:p>
    <w:p w:rsidR="003D52D7" w:rsidRPr="00C57CE1"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All the 48 jurisdictions in the U</w:t>
      </w:r>
      <w:r w:rsidR="00BF0226" w:rsidRPr="0028108F">
        <w:rPr>
          <w:rFonts w:ascii="Arial" w:hAnsi="Arial" w:cs="Arial"/>
          <w:szCs w:val="24"/>
          <w:lang w:val="en-GB"/>
        </w:rPr>
        <w:t>S</w:t>
      </w:r>
      <w:r w:rsidRPr="0028108F">
        <w:rPr>
          <w:rFonts w:ascii="Arial" w:hAnsi="Arial" w:cs="Arial"/>
          <w:szCs w:val="24"/>
          <w:lang w:val="en-GB"/>
        </w:rPr>
        <w:t xml:space="preserve"> studied in this paper permit people to correct their gender marker on birth certificates by virtue of the express statutory provisions, regulations, policies or court orders</w:t>
      </w:r>
      <w:r w:rsidR="000D6862" w:rsidRPr="0028108F">
        <w:rPr>
          <w:rFonts w:ascii="Arial" w:hAnsi="Arial" w:cs="Arial"/>
          <w:szCs w:val="24"/>
          <w:lang w:val="en-GB"/>
        </w:rPr>
        <w:t xml:space="preserve"> in those States</w:t>
      </w:r>
      <w:r w:rsidRPr="0028108F">
        <w:rPr>
          <w:rFonts w:ascii="Arial" w:hAnsi="Arial" w:cs="Arial"/>
          <w:szCs w:val="24"/>
          <w:lang w:val="en-GB"/>
        </w:rPr>
        <w:t>.  Six jurisdictions in the U</w:t>
      </w:r>
      <w:r w:rsidR="00BF0226" w:rsidRPr="0028108F">
        <w:rPr>
          <w:rFonts w:ascii="Arial" w:hAnsi="Arial" w:cs="Arial"/>
          <w:szCs w:val="24"/>
          <w:lang w:val="en-GB"/>
        </w:rPr>
        <w:t>S</w:t>
      </w:r>
      <w:r w:rsidRPr="0028108F">
        <w:rPr>
          <w:rFonts w:ascii="Arial" w:hAnsi="Arial" w:cs="Arial"/>
          <w:szCs w:val="24"/>
          <w:lang w:val="en-GB"/>
        </w:rPr>
        <w:t xml:space="preserve"> </w:t>
      </w:r>
      <w:r w:rsidR="00C27569" w:rsidRPr="0028108F">
        <w:rPr>
          <w:rFonts w:ascii="Arial" w:hAnsi="Arial" w:cs="Arial"/>
          <w:szCs w:val="24"/>
          <w:lang w:val="en-GB"/>
        </w:rPr>
        <w:t xml:space="preserve">not canvassed in this paper </w:t>
      </w:r>
      <w:r w:rsidRPr="0028108F">
        <w:rPr>
          <w:rFonts w:ascii="Arial" w:hAnsi="Arial" w:cs="Arial"/>
          <w:szCs w:val="24"/>
          <w:lang w:val="en-GB"/>
        </w:rPr>
        <w:t>do not follow this trend, however, as they either do not have clear policies on whether or not changes are allowed, or for various reasons deny individuals the right to correct their gender markers.</w:t>
      </w:r>
      <w:r w:rsidRPr="00181CF2">
        <w:rPr>
          <w:rStyle w:val="FootnoteReference"/>
          <w:rFonts w:ascii="Arial" w:hAnsi="Arial" w:cs="Arial"/>
          <w:szCs w:val="24"/>
          <w:lang w:val="en-GB"/>
        </w:rPr>
        <w:footnoteReference w:id="341"/>
      </w:r>
    </w:p>
    <w:p w:rsidR="003D52D7" w:rsidRPr="00C57CE1"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Authority to determine applications</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Of the 48 US jurisdictions studied, </w:t>
      </w:r>
      <w:r w:rsidR="004C56A7" w:rsidRPr="0028108F">
        <w:rPr>
          <w:rFonts w:ascii="Arial" w:hAnsi="Arial" w:cs="Arial"/>
          <w:szCs w:val="24"/>
          <w:lang w:val="en-GB"/>
        </w:rPr>
        <w:t xml:space="preserve">23 </w:t>
      </w:r>
      <w:r w:rsidRPr="0028108F">
        <w:rPr>
          <w:rFonts w:ascii="Arial" w:hAnsi="Arial" w:cs="Arial"/>
          <w:szCs w:val="24"/>
          <w:lang w:val="en-GB"/>
        </w:rPr>
        <w:t>require a court order confirming change of gender by surgical procedure, etc. before the administrative bureaus or entities (usually the local registrar for births or vital statistics) will approve the gender marker changes to birth certificates.</w:t>
      </w:r>
      <w:r w:rsidRPr="00181CF2">
        <w:rPr>
          <w:rStyle w:val="FootnoteReference"/>
          <w:rFonts w:ascii="Arial" w:hAnsi="Arial" w:cs="Arial"/>
          <w:szCs w:val="24"/>
          <w:lang w:val="en-GB"/>
        </w:rPr>
        <w:footnoteReference w:id="342"/>
      </w:r>
      <w:r w:rsidRPr="00181CF2">
        <w:rPr>
          <w:rFonts w:ascii="Arial" w:hAnsi="Arial" w:cs="Arial"/>
          <w:szCs w:val="24"/>
          <w:lang w:val="en-GB"/>
        </w:rPr>
        <w:t xml:space="preserve">  Twenty-two states utilise an administrative process,</w:t>
      </w:r>
      <w:r w:rsidRPr="00181CF2">
        <w:rPr>
          <w:rStyle w:val="FootnoteReference"/>
          <w:rFonts w:ascii="Arial" w:hAnsi="Arial" w:cs="Arial"/>
          <w:szCs w:val="24"/>
          <w:lang w:val="en-GB"/>
        </w:rPr>
        <w:footnoteReference w:id="343"/>
      </w:r>
      <w:r w:rsidRPr="00181CF2">
        <w:rPr>
          <w:rFonts w:ascii="Arial" w:hAnsi="Arial" w:cs="Arial"/>
          <w:szCs w:val="24"/>
          <w:lang w:val="en-GB"/>
        </w:rPr>
        <w:t xml:space="preserve"> and </w:t>
      </w:r>
      <w:r w:rsidR="00D06FB9" w:rsidRPr="0028108F">
        <w:rPr>
          <w:rFonts w:ascii="Arial" w:hAnsi="Arial" w:cs="Arial"/>
          <w:szCs w:val="24"/>
          <w:lang w:val="en-GB"/>
        </w:rPr>
        <w:t xml:space="preserve">three </w:t>
      </w:r>
      <w:r w:rsidRPr="0028108F">
        <w:rPr>
          <w:rFonts w:ascii="Arial" w:hAnsi="Arial" w:cs="Arial"/>
          <w:szCs w:val="24"/>
          <w:lang w:val="en-GB"/>
        </w:rPr>
        <w:t>allow either a judicial or administrative process.</w:t>
      </w:r>
      <w:r w:rsidRPr="00181CF2">
        <w:rPr>
          <w:rStyle w:val="FootnoteReference"/>
          <w:rFonts w:ascii="Arial" w:hAnsi="Arial" w:cs="Arial"/>
          <w:szCs w:val="24"/>
          <w:lang w:val="en-GB"/>
        </w:rPr>
        <w:footnoteReference w:id="344"/>
      </w:r>
      <w:r w:rsidRPr="00181CF2">
        <w:rPr>
          <w:rFonts w:ascii="Arial" w:hAnsi="Arial" w:cs="Arial"/>
          <w:szCs w:val="24"/>
          <w:lang w:val="en-GB"/>
        </w:rPr>
        <w:t xml:space="preserve">  It appears that no jurisdicti</w:t>
      </w:r>
      <w:r w:rsidRPr="00C57CE1">
        <w:rPr>
          <w:rFonts w:ascii="Arial" w:hAnsi="Arial" w:cs="Arial"/>
          <w:szCs w:val="24"/>
          <w:lang w:val="en-GB"/>
        </w:rPr>
        <w:t>on has established an expert panel or committee for assessing or determining the applications for gender marker change on birth certificates.</w:t>
      </w:r>
      <w:r w:rsidRPr="00181CF2">
        <w:rPr>
          <w:rStyle w:val="FootnoteReference"/>
          <w:rFonts w:ascii="Arial" w:hAnsi="Arial" w:cs="Arial"/>
          <w:szCs w:val="24"/>
          <w:lang w:val="en-GB"/>
        </w:rPr>
        <w:footnoteReference w:id="345"/>
      </w:r>
    </w:p>
    <w:p w:rsidR="003D52D7" w:rsidRDefault="003D52D7" w:rsidP="003D52D7">
      <w:pPr>
        <w:adjustRightInd w:val="0"/>
        <w:snapToGrid w:val="0"/>
        <w:jc w:val="both"/>
        <w:rPr>
          <w:rFonts w:ascii="Arial" w:hAnsi="Arial" w:cs="Arial"/>
          <w:szCs w:val="24"/>
          <w:lang w:val="en-GB"/>
        </w:rPr>
      </w:pPr>
    </w:p>
    <w:p w:rsidR="0095452E" w:rsidRDefault="0095452E" w:rsidP="003D52D7">
      <w:pPr>
        <w:adjustRightInd w:val="0"/>
        <w:snapToGrid w:val="0"/>
        <w:jc w:val="both"/>
        <w:rPr>
          <w:rFonts w:ascii="Arial" w:hAnsi="Arial" w:cs="Arial"/>
          <w:szCs w:val="24"/>
          <w:lang w:val="en-GB"/>
        </w:rPr>
      </w:pPr>
    </w:p>
    <w:p w:rsidR="0095452E" w:rsidRPr="0028108F" w:rsidRDefault="0095452E"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Sex or gender reassignment surgery</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FF0000"/>
          <w:szCs w:val="24"/>
          <w:lang w:val="en-GB"/>
        </w:rPr>
      </w:pPr>
      <w:r w:rsidRPr="0028108F">
        <w:rPr>
          <w:rFonts w:ascii="Arial" w:hAnsi="Arial" w:cs="Arial"/>
          <w:szCs w:val="24"/>
          <w:lang w:val="en-GB"/>
        </w:rPr>
        <w:t xml:space="preserve">In </w:t>
      </w:r>
      <w:r w:rsidR="007C05D9">
        <w:rPr>
          <w:rFonts w:ascii="Arial" w:hAnsi="Arial" w:cs="Arial" w:hint="eastAsia"/>
          <w:szCs w:val="24"/>
          <w:lang w:val="en-GB"/>
        </w:rPr>
        <w:t>various</w:t>
      </w:r>
      <w:r w:rsidRPr="0028108F">
        <w:rPr>
          <w:rFonts w:ascii="Arial" w:hAnsi="Arial" w:cs="Arial"/>
          <w:szCs w:val="24"/>
          <w:lang w:val="en-GB"/>
        </w:rPr>
        <w:t xml:space="preserve"> US states, the requirement of gender reassignment surgeries is a determinative legal standard.  For example:</w:t>
      </w:r>
    </w:p>
    <w:p w:rsidR="003D52D7" w:rsidRPr="0028108F" w:rsidRDefault="003D52D7" w:rsidP="003D52D7">
      <w:pPr>
        <w:adjustRightInd w:val="0"/>
        <w:snapToGrid w:val="0"/>
        <w:jc w:val="both"/>
        <w:rPr>
          <w:rFonts w:ascii="Arial" w:hAnsi="Arial" w:cs="Arial"/>
          <w:szCs w:val="24"/>
          <w:highlight w:val="yellow"/>
          <w:lang w:val="en-GB"/>
        </w:rPr>
      </w:pPr>
    </w:p>
    <w:p w:rsidR="003D52D7" w:rsidRPr="00C57CE1" w:rsidRDefault="003B58AE" w:rsidP="003D52D7">
      <w:pPr>
        <w:pStyle w:val="ListParagraph"/>
        <w:numPr>
          <w:ilvl w:val="0"/>
          <w:numId w:val="22"/>
        </w:numPr>
        <w:tabs>
          <w:tab w:val="left" w:pos="1418"/>
        </w:tabs>
        <w:adjustRightInd w:val="0"/>
        <w:snapToGrid w:val="0"/>
        <w:ind w:leftChars="354" w:left="1416" w:hangingChars="236" w:hanging="566"/>
        <w:jc w:val="both"/>
        <w:rPr>
          <w:rFonts w:ascii="Arial" w:hAnsi="Arial" w:cs="Arial"/>
          <w:color w:val="FF0000"/>
          <w:szCs w:val="24"/>
          <w:lang w:val="en-GB"/>
        </w:rPr>
      </w:pPr>
      <w:r w:rsidRPr="0028108F">
        <w:rPr>
          <w:rFonts w:ascii="Arial" w:hAnsi="Arial" w:cs="Arial"/>
          <w:szCs w:val="24"/>
          <w:lang w:val="en-GB"/>
        </w:rPr>
        <w:t xml:space="preserve">Fourteen </w:t>
      </w:r>
      <w:r w:rsidR="003D52D7" w:rsidRPr="0028108F">
        <w:rPr>
          <w:rFonts w:ascii="Arial" w:hAnsi="Arial" w:cs="Arial"/>
          <w:szCs w:val="24"/>
          <w:lang w:val="en-GB"/>
        </w:rPr>
        <w:t>jurisdictions have explicit surgical criteria (irreversible sterilisation is likely to be required) in legislation or official regulations or policies.</w:t>
      </w:r>
      <w:r w:rsidR="003D52D7" w:rsidRPr="00181CF2">
        <w:rPr>
          <w:rStyle w:val="FootnoteReference"/>
          <w:rFonts w:ascii="Arial" w:hAnsi="Arial" w:cs="Arial"/>
          <w:szCs w:val="24"/>
          <w:lang w:val="en-GB"/>
        </w:rPr>
        <w:footnoteReference w:id="346"/>
      </w:r>
      <w:r w:rsidR="003D52D7" w:rsidRPr="00181CF2">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color w:val="FF0000"/>
          <w:szCs w:val="24"/>
          <w:lang w:val="en-GB"/>
        </w:rPr>
      </w:pPr>
    </w:p>
    <w:p w:rsidR="003D52D7" w:rsidRPr="00C57CE1" w:rsidRDefault="003D52D7" w:rsidP="003D52D7">
      <w:pPr>
        <w:pStyle w:val="ListParagraph"/>
        <w:numPr>
          <w:ilvl w:val="0"/>
          <w:numId w:val="22"/>
        </w:numPr>
        <w:tabs>
          <w:tab w:val="left" w:pos="1418"/>
        </w:tabs>
        <w:adjustRightInd w:val="0"/>
        <w:snapToGrid w:val="0"/>
        <w:ind w:leftChars="354" w:left="1416" w:hangingChars="236" w:hanging="566"/>
        <w:jc w:val="both"/>
        <w:rPr>
          <w:rFonts w:ascii="Arial" w:hAnsi="Arial" w:cs="Arial"/>
          <w:color w:val="FF0000"/>
          <w:szCs w:val="24"/>
          <w:lang w:val="en-GB"/>
        </w:rPr>
      </w:pPr>
      <w:r w:rsidRPr="0028108F">
        <w:rPr>
          <w:rFonts w:ascii="Arial" w:hAnsi="Arial" w:cs="Arial"/>
          <w:szCs w:val="24"/>
          <w:lang w:val="en-GB"/>
        </w:rPr>
        <w:t>Eight jurisdictions have integrated into their statutes or regulations the language from the MSVSA (</w:t>
      </w:r>
      <w:r w:rsidR="00D6311F" w:rsidRPr="0028108F">
        <w:rPr>
          <w:rFonts w:ascii="Arial" w:hAnsi="Arial" w:cs="Arial"/>
          <w:szCs w:val="24"/>
          <w:lang w:val="en-GB"/>
        </w:rPr>
        <w:t>ie</w:t>
      </w:r>
      <w:r w:rsidRPr="0028108F">
        <w:rPr>
          <w:rFonts w:ascii="Arial" w:hAnsi="Arial" w:cs="Arial"/>
          <w:szCs w:val="24"/>
          <w:lang w:val="en-GB"/>
        </w:rPr>
        <w:t xml:space="preserve">, referring to </w:t>
      </w:r>
      <w:r w:rsidRPr="0028108F">
        <w:rPr>
          <w:rFonts w:ascii="Arial" w:hAnsi="Arial" w:cs="Arial"/>
          <w:i/>
          <w:szCs w:val="24"/>
          <w:lang w:val="en-GB"/>
        </w:rPr>
        <w:t>“surgical procedure”</w:t>
      </w:r>
      <w:r w:rsidRPr="0028108F">
        <w:rPr>
          <w:rFonts w:ascii="Arial" w:hAnsi="Arial" w:cs="Arial"/>
          <w:szCs w:val="24"/>
          <w:lang w:val="en-GB"/>
        </w:rPr>
        <w:t>) but do not specify that irreversible sterilisation must be achieved.</w:t>
      </w:r>
      <w:r w:rsidRPr="00181CF2">
        <w:rPr>
          <w:rStyle w:val="FootnoteReference"/>
          <w:rFonts w:ascii="Arial" w:hAnsi="Arial" w:cs="Arial"/>
          <w:szCs w:val="24"/>
          <w:lang w:val="en-GB"/>
        </w:rPr>
        <w:footnoteReference w:id="347"/>
      </w:r>
      <w:r w:rsidRPr="00181CF2">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22"/>
        </w:numPr>
        <w:tabs>
          <w:tab w:val="left" w:pos="1418"/>
        </w:tabs>
        <w:adjustRightInd w:val="0"/>
        <w:snapToGrid w:val="0"/>
        <w:ind w:leftChars="354" w:left="1416" w:hangingChars="236" w:hanging="566"/>
        <w:jc w:val="both"/>
        <w:rPr>
          <w:rFonts w:ascii="Arial" w:hAnsi="Arial" w:cs="Arial"/>
          <w:color w:val="FF0000"/>
          <w:szCs w:val="24"/>
          <w:lang w:val="en-GB"/>
        </w:rPr>
      </w:pPr>
      <w:r w:rsidRPr="0028108F">
        <w:rPr>
          <w:rFonts w:ascii="Arial" w:hAnsi="Arial" w:cs="Arial"/>
          <w:szCs w:val="24"/>
          <w:lang w:val="en-GB"/>
        </w:rPr>
        <w:t xml:space="preserve">Two jurisdictions leave the statutory language or official regulations </w:t>
      </w:r>
      <w:r w:rsidR="00AF2B01">
        <w:rPr>
          <w:rFonts w:ascii="Arial" w:hAnsi="Arial" w:cs="Arial"/>
          <w:szCs w:val="24"/>
          <w:lang w:val="en-GB"/>
        </w:rPr>
        <w:t xml:space="preserve">either not entirely clear </w:t>
      </w:r>
      <w:r w:rsidRPr="0028108F">
        <w:rPr>
          <w:rFonts w:ascii="Arial" w:hAnsi="Arial" w:cs="Arial"/>
          <w:szCs w:val="24"/>
          <w:lang w:val="en-GB"/>
        </w:rPr>
        <w:t>or silent with regard to whether surgery or sterilisation is required: Kansas (</w:t>
      </w:r>
      <w:r w:rsidR="006353BB" w:rsidRPr="0028108F">
        <w:rPr>
          <w:rFonts w:ascii="Arial" w:hAnsi="Arial" w:cs="Arial"/>
          <w:szCs w:val="24"/>
          <w:lang w:val="en-GB"/>
        </w:rPr>
        <w:t xml:space="preserve">affidavit that the sex was incorrectly recorded and medical records </w:t>
      </w:r>
      <w:r w:rsidRPr="0028108F">
        <w:rPr>
          <w:rFonts w:ascii="Arial" w:hAnsi="Arial" w:cs="Arial"/>
          <w:szCs w:val="24"/>
          <w:lang w:val="en-GB"/>
        </w:rPr>
        <w:t>“</w:t>
      </w:r>
      <w:r w:rsidR="006353BB" w:rsidRPr="0028108F">
        <w:rPr>
          <w:rFonts w:ascii="Arial" w:hAnsi="Arial" w:cs="Arial"/>
          <w:i/>
          <w:szCs w:val="24"/>
          <w:lang w:val="en-GB"/>
        </w:rPr>
        <w:t>substantiating the registrant’s sex at the time of birth</w:t>
      </w:r>
      <w:r w:rsidRPr="00181CF2">
        <w:rPr>
          <w:rFonts w:ascii="Arial" w:hAnsi="Arial" w:cs="Arial"/>
          <w:szCs w:val="24"/>
          <w:lang w:val="en-GB"/>
        </w:rPr>
        <w:t>”), South C</w:t>
      </w:r>
      <w:r w:rsidRPr="00C57CE1">
        <w:rPr>
          <w:rFonts w:ascii="Arial" w:hAnsi="Arial" w:cs="Arial"/>
          <w:szCs w:val="24"/>
          <w:lang w:val="en-GB"/>
        </w:rPr>
        <w:t xml:space="preserve">arolina (no relevant language).    </w:t>
      </w:r>
    </w:p>
    <w:p w:rsidR="003D52D7" w:rsidRPr="0028108F" w:rsidRDefault="003D52D7" w:rsidP="003D52D7">
      <w:pPr>
        <w:adjustRightInd w:val="0"/>
        <w:snapToGrid w:val="0"/>
        <w:jc w:val="both"/>
        <w:rPr>
          <w:rFonts w:ascii="Arial" w:hAnsi="Arial" w:cs="Arial"/>
          <w:szCs w:val="24"/>
          <w:lang w:val="en-GB"/>
        </w:rPr>
      </w:pPr>
    </w:p>
    <w:p w:rsidR="003D52D7" w:rsidRPr="0028108F" w:rsidRDefault="007B3EA1" w:rsidP="003D52D7">
      <w:pPr>
        <w:pStyle w:val="ListParagraph"/>
        <w:numPr>
          <w:ilvl w:val="0"/>
          <w:numId w:val="22"/>
        </w:numPr>
        <w:tabs>
          <w:tab w:val="left" w:pos="1418"/>
        </w:tabs>
        <w:adjustRightInd w:val="0"/>
        <w:snapToGrid w:val="0"/>
        <w:ind w:leftChars="354" w:left="1416" w:hangingChars="236" w:hanging="566"/>
        <w:jc w:val="both"/>
        <w:rPr>
          <w:rFonts w:ascii="Arial" w:hAnsi="Arial" w:cs="Arial"/>
          <w:szCs w:val="24"/>
          <w:lang w:val="en-GB"/>
        </w:rPr>
      </w:pPr>
      <w:r w:rsidRPr="0028108F">
        <w:rPr>
          <w:rFonts w:ascii="Arial" w:hAnsi="Arial" w:cs="Arial"/>
          <w:szCs w:val="24"/>
          <w:lang w:val="en-GB"/>
        </w:rPr>
        <w:t xml:space="preserve">Sixteen </w:t>
      </w:r>
      <w:r w:rsidR="003D52D7" w:rsidRPr="0028108F">
        <w:rPr>
          <w:rFonts w:ascii="Arial" w:hAnsi="Arial" w:cs="Arial"/>
          <w:szCs w:val="24"/>
          <w:lang w:val="en-GB"/>
        </w:rPr>
        <w:t>jurisdictions have explicitly repudiated surgical or hormonal requirements, either jettisoning by the courts the requirement of genital reconstruction surgery (Illinois and Missouri) or with language in statute or regulations noting that “</w:t>
      </w:r>
      <w:r w:rsidR="003D52D7" w:rsidRPr="00181CF2">
        <w:rPr>
          <w:rFonts w:ascii="Arial" w:hAnsi="Arial" w:cs="Arial"/>
          <w:i/>
          <w:szCs w:val="24"/>
          <w:lang w:val="en-GB"/>
        </w:rPr>
        <w:t>surgery or other treatment</w:t>
      </w:r>
      <w:r w:rsidR="003D52D7" w:rsidRPr="0028108F">
        <w:rPr>
          <w:rFonts w:ascii="Arial" w:hAnsi="Arial" w:cs="Arial"/>
          <w:szCs w:val="24"/>
          <w:lang w:val="en-GB"/>
        </w:rPr>
        <w:t>”</w:t>
      </w:r>
      <w:r w:rsidR="003D52D7" w:rsidRPr="00181CF2">
        <w:rPr>
          <w:rFonts w:ascii="Arial" w:hAnsi="Arial" w:cs="Arial"/>
          <w:szCs w:val="24"/>
          <w:lang w:val="en-GB"/>
        </w:rPr>
        <w:t xml:space="preserve"> (Iowa and District of Columbia), </w:t>
      </w:r>
      <w:r w:rsidR="003D52D7" w:rsidRPr="0028108F">
        <w:rPr>
          <w:rFonts w:ascii="Arial" w:hAnsi="Arial" w:cs="Arial"/>
          <w:szCs w:val="24"/>
          <w:lang w:val="en-GB"/>
        </w:rPr>
        <w:t>“</w:t>
      </w:r>
      <w:r w:rsidR="003D52D7" w:rsidRPr="00181CF2">
        <w:rPr>
          <w:rFonts w:ascii="Arial" w:hAnsi="Arial" w:cs="Arial"/>
          <w:i/>
          <w:szCs w:val="24"/>
          <w:lang w:val="en-GB"/>
        </w:rPr>
        <w:t>clinically appropriate treatment</w:t>
      </w:r>
      <w:r w:rsidR="003D52D7" w:rsidRPr="0028108F">
        <w:rPr>
          <w:rFonts w:ascii="Arial" w:hAnsi="Arial" w:cs="Arial"/>
          <w:szCs w:val="24"/>
          <w:lang w:val="en-GB"/>
        </w:rPr>
        <w:t>”</w:t>
      </w:r>
      <w:r w:rsidR="003D52D7" w:rsidRPr="00181CF2">
        <w:rPr>
          <w:rFonts w:ascii="Arial" w:hAnsi="Arial" w:cs="Arial"/>
          <w:szCs w:val="24"/>
          <w:lang w:val="en-GB"/>
        </w:rPr>
        <w:t xml:space="preserve"> </w:t>
      </w:r>
      <w:r w:rsidR="008D04A1" w:rsidRPr="0028108F">
        <w:rPr>
          <w:rFonts w:ascii="Arial" w:hAnsi="Arial" w:cs="Arial"/>
          <w:i/>
          <w:szCs w:val="24"/>
          <w:lang w:val="en-GB"/>
        </w:rPr>
        <w:t xml:space="preserve">/ </w:t>
      </w:r>
      <w:r w:rsidR="00396C40" w:rsidRPr="0028108F">
        <w:rPr>
          <w:rFonts w:ascii="Arial" w:hAnsi="Arial" w:cs="Arial"/>
          <w:szCs w:val="24"/>
          <w:lang w:val="en-GB"/>
        </w:rPr>
        <w:t>“</w:t>
      </w:r>
      <w:r w:rsidR="008D04A1" w:rsidRPr="0028108F">
        <w:rPr>
          <w:rFonts w:ascii="Arial" w:hAnsi="Arial" w:cs="Arial"/>
          <w:i/>
          <w:szCs w:val="24"/>
          <w:lang w:val="en-GB"/>
        </w:rPr>
        <w:t xml:space="preserve">appropriate </w:t>
      </w:r>
      <w:r w:rsidR="00396C40" w:rsidRPr="00181CF2">
        <w:rPr>
          <w:rFonts w:ascii="Arial" w:hAnsi="Arial" w:cs="Arial"/>
          <w:i/>
          <w:szCs w:val="24"/>
          <w:lang w:val="en-GB"/>
        </w:rPr>
        <w:t xml:space="preserve">clinical </w:t>
      </w:r>
      <w:r w:rsidR="008D04A1" w:rsidRPr="0028108F">
        <w:rPr>
          <w:rFonts w:ascii="Arial" w:hAnsi="Arial" w:cs="Arial"/>
          <w:i/>
          <w:szCs w:val="24"/>
          <w:lang w:val="en-GB"/>
        </w:rPr>
        <w:t>treatment</w:t>
      </w:r>
      <w:r w:rsidR="008D04A1" w:rsidRPr="00181CF2">
        <w:rPr>
          <w:rFonts w:ascii="Arial" w:hAnsi="Arial" w:cs="Arial"/>
          <w:szCs w:val="24"/>
          <w:lang w:val="en-GB"/>
        </w:rPr>
        <w:t>”</w:t>
      </w:r>
      <w:r w:rsidR="008D04A1" w:rsidRPr="00C57CE1">
        <w:rPr>
          <w:rFonts w:ascii="Arial" w:hAnsi="Arial" w:cs="Arial"/>
          <w:i/>
          <w:szCs w:val="24"/>
          <w:lang w:val="en-GB"/>
        </w:rPr>
        <w:t xml:space="preserve"> </w:t>
      </w:r>
      <w:r w:rsidR="003D52D7" w:rsidRPr="0028108F">
        <w:rPr>
          <w:rFonts w:ascii="Arial" w:hAnsi="Arial" w:cs="Arial"/>
          <w:szCs w:val="24"/>
          <w:lang w:val="en-GB"/>
        </w:rPr>
        <w:t xml:space="preserve">(California, </w:t>
      </w:r>
      <w:r w:rsidR="00745B7A" w:rsidRPr="0028108F">
        <w:rPr>
          <w:rFonts w:ascii="Arial" w:hAnsi="Arial" w:cs="Arial"/>
          <w:szCs w:val="24"/>
          <w:lang w:val="en-GB"/>
        </w:rPr>
        <w:t xml:space="preserve">Connecticut, </w:t>
      </w:r>
      <w:r w:rsidR="00AA0286" w:rsidRPr="0028108F">
        <w:rPr>
          <w:rFonts w:ascii="Arial" w:hAnsi="Arial" w:cs="Arial"/>
          <w:szCs w:val="24"/>
          <w:lang w:val="en-GB"/>
        </w:rPr>
        <w:t>Hawaii,</w:t>
      </w:r>
      <w:r w:rsidR="0028075F" w:rsidRPr="0028108F">
        <w:rPr>
          <w:rFonts w:ascii="Arial" w:hAnsi="Arial" w:cs="Arial"/>
          <w:szCs w:val="24"/>
          <w:lang w:val="en-GB"/>
        </w:rPr>
        <w:t xml:space="preserve"> Maryland,</w:t>
      </w:r>
      <w:r w:rsidR="00AA0286" w:rsidRPr="0028108F">
        <w:rPr>
          <w:rFonts w:ascii="Arial" w:hAnsi="Arial" w:cs="Arial"/>
          <w:szCs w:val="24"/>
          <w:lang w:val="en-GB"/>
        </w:rPr>
        <w:t xml:space="preserve"> </w:t>
      </w:r>
      <w:r w:rsidR="003D52D7" w:rsidRPr="0028108F">
        <w:rPr>
          <w:rFonts w:ascii="Arial" w:hAnsi="Arial" w:cs="Arial"/>
          <w:szCs w:val="24"/>
          <w:lang w:val="en-GB"/>
        </w:rPr>
        <w:t>Minnesota, New York State, Oregon</w:t>
      </w:r>
      <w:r w:rsidR="00435F9B">
        <w:rPr>
          <w:rFonts w:ascii="Arial" w:hAnsi="Arial" w:cs="Arial" w:hint="eastAsia"/>
          <w:szCs w:val="24"/>
          <w:lang w:val="en-GB"/>
        </w:rPr>
        <w:t xml:space="preserve"> and</w:t>
      </w:r>
      <w:r w:rsidR="00012981" w:rsidRPr="0028108F">
        <w:rPr>
          <w:rFonts w:ascii="Arial" w:hAnsi="Arial" w:cs="Arial"/>
          <w:szCs w:val="24"/>
          <w:lang w:val="en-GB"/>
        </w:rPr>
        <w:t xml:space="preserve"> Pennsylvania</w:t>
      </w:r>
      <w:r w:rsidR="003D52D7" w:rsidRPr="0028108F">
        <w:rPr>
          <w:rFonts w:ascii="Arial" w:hAnsi="Arial" w:cs="Arial"/>
          <w:szCs w:val="24"/>
          <w:lang w:val="en-GB"/>
        </w:rPr>
        <w:t>) or “</w:t>
      </w:r>
      <w:r w:rsidR="003D52D7" w:rsidRPr="00181CF2">
        <w:rPr>
          <w:rFonts w:ascii="Arial" w:hAnsi="Arial" w:cs="Arial"/>
          <w:i/>
          <w:szCs w:val="24"/>
          <w:lang w:val="en-GB"/>
        </w:rPr>
        <w:t>surgical, hormonal, or other treatment</w:t>
      </w:r>
      <w:r w:rsidR="003D52D7" w:rsidRPr="0028108F">
        <w:rPr>
          <w:rFonts w:ascii="Arial" w:hAnsi="Arial" w:cs="Arial"/>
          <w:szCs w:val="24"/>
          <w:lang w:val="en-GB"/>
        </w:rPr>
        <w:t>”</w:t>
      </w:r>
      <w:r w:rsidR="003D52D7" w:rsidRPr="00181CF2">
        <w:rPr>
          <w:rFonts w:ascii="Arial" w:hAnsi="Arial" w:cs="Arial"/>
          <w:szCs w:val="24"/>
          <w:lang w:val="en-GB"/>
        </w:rPr>
        <w:t xml:space="preserve"> (Rhode Island, Vermont and Washington) will suffice.  </w:t>
      </w:r>
      <w:r w:rsidR="00B47D27" w:rsidRPr="00C57CE1">
        <w:rPr>
          <w:rFonts w:ascii="Arial" w:hAnsi="Arial" w:cs="Arial"/>
          <w:szCs w:val="24"/>
          <w:lang w:val="en-GB"/>
        </w:rPr>
        <w:t>In New York City, what has to be shown is that the requested gender “</w:t>
      </w:r>
      <w:r w:rsidR="00B47D27" w:rsidRPr="0028108F">
        <w:rPr>
          <w:rFonts w:ascii="Arial" w:hAnsi="Arial" w:cs="Arial"/>
          <w:i/>
          <w:szCs w:val="24"/>
          <w:lang w:val="en-GB"/>
        </w:rPr>
        <w:t>more accurately reflects the applicant’s sex or gender identity</w:t>
      </w:r>
      <w:r w:rsidR="00B47D27" w:rsidRPr="0028108F">
        <w:rPr>
          <w:rFonts w:ascii="Arial" w:hAnsi="Arial" w:cs="Arial"/>
          <w:szCs w:val="24"/>
          <w:lang w:val="en-GB"/>
        </w:rPr>
        <w:t xml:space="preserve">”. </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22"/>
        </w:numPr>
        <w:tabs>
          <w:tab w:val="left" w:pos="1418"/>
        </w:tabs>
        <w:adjustRightInd w:val="0"/>
        <w:snapToGrid w:val="0"/>
        <w:ind w:leftChars="354" w:left="1416" w:hangingChars="236" w:hanging="566"/>
        <w:jc w:val="both"/>
        <w:rPr>
          <w:rFonts w:ascii="Arial" w:hAnsi="Arial" w:cs="Arial"/>
          <w:color w:val="FF0000"/>
          <w:szCs w:val="24"/>
          <w:lang w:val="en-GB"/>
        </w:rPr>
      </w:pPr>
      <w:r w:rsidRPr="0028108F">
        <w:rPr>
          <w:rFonts w:ascii="Arial" w:hAnsi="Arial" w:cs="Arial"/>
          <w:szCs w:val="24"/>
          <w:lang w:val="en-GB"/>
        </w:rPr>
        <w:t xml:space="preserve">In eight jurisdictions, a judge determines the standard because there is no </w:t>
      </w:r>
      <w:r w:rsidRPr="0028108F">
        <w:rPr>
          <w:rFonts w:ascii="Arial" w:hAnsi="Arial" w:cs="Arial"/>
          <w:i/>
          <w:szCs w:val="24"/>
          <w:lang w:val="en-GB"/>
        </w:rPr>
        <w:t>statutory</w:t>
      </w:r>
      <w:r w:rsidRPr="0028108F">
        <w:rPr>
          <w:rFonts w:ascii="Arial" w:hAnsi="Arial" w:cs="Arial"/>
          <w:szCs w:val="24"/>
          <w:lang w:val="en-GB"/>
        </w:rPr>
        <w:t xml:space="preserve"> or regulatory language, or the language is too vague.</w:t>
      </w:r>
      <w:r w:rsidRPr="00181CF2">
        <w:rPr>
          <w:rStyle w:val="FootnoteReference"/>
          <w:rFonts w:ascii="Arial" w:hAnsi="Arial" w:cs="Arial"/>
          <w:szCs w:val="24"/>
          <w:lang w:val="en-GB"/>
        </w:rPr>
        <w:footnoteReference w:id="348"/>
      </w:r>
    </w:p>
    <w:p w:rsidR="003D52D7" w:rsidRPr="00C57CE1"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Medical diagnosis and other requirements</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Medical diagnoses or other physical or psychiatric requirements (like the </w:t>
      </w:r>
      <w:r w:rsidRPr="0028108F">
        <w:rPr>
          <w:rFonts w:ascii="Arial" w:hAnsi="Arial" w:cs="Arial"/>
          <w:i/>
          <w:szCs w:val="24"/>
          <w:lang w:val="en-GB"/>
        </w:rPr>
        <w:t>“</w:t>
      </w:r>
      <w:r w:rsidR="00043FD0" w:rsidRPr="0028108F">
        <w:rPr>
          <w:rFonts w:ascii="Arial" w:hAnsi="Arial" w:cs="Arial"/>
          <w:i/>
          <w:szCs w:val="24"/>
          <w:lang w:val="en-GB"/>
        </w:rPr>
        <w:t>real life test</w:t>
      </w:r>
      <w:r w:rsidRPr="0028108F">
        <w:rPr>
          <w:rFonts w:ascii="Arial" w:hAnsi="Arial" w:cs="Arial"/>
          <w:i/>
          <w:szCs w:val="24"/>
          <w:lang w:val="en-GB"/>
        </w:rPr>
        <w:t>”</w:t>
      </w:r>
      <w:r w:rsidRPr="0028108F">
        <w:rPr>
          <w:rFonts w:ascii="Arial" w:hAnsi="Arial" w:cs="Arial"/>
          <w:szCs w:val="24"/>
          <w:lang w:val="en-GB"/>
        </w:rPr>
        <w:t xml:space="preserve"> and hormonal treatment) are not set out in the statutes or regulations or policies in most </w:t>
      </w:r>
      <w:r w:rsidR="00BF0226" w:rsidRPr="0028108F">
        <w:rPr>
          <w:rFonts w:ascii="Arial" w:hAnsi="Arial" w:cs="Arial"/>
          <w:szCs w:val="24"/>
          <w:lang w:val="en-GB"/>
        </w:rPr>
        <w:t xml:space="preserve">US </w:t>
      </w:r>
      <w:r w:rsidRPr="0028108F">
        <w:rPr>
          <w:rFonts w:ascii="Arial" w:hAnsi="Arial" w:cs="Arial"/>
          <w:szCs w:val="24"/>
          <w:lang w:val="en-GB"/>
        </w:rPr>
        <w:t xml:space="preserve">jurisdictions.  Only </w:t>
      </w:r>
      <w:r w:rsidR="00F258B8" w:rsidRPr="0028108F">
        <w:rPr>
          <w:rFonts w:ascii="Arial" w:hAnsi="Arial" w:cs="Arial"/>
          <w:szCs w:val="24"/>
          <w:lang w:val="en-GB"/>
        </w:rPr>
        <w:t xml:space="preserve">five </w:t>
      </w:r>
      <w:r w:rsidRPr="0028108F">
        <w:rPr>
          <w:rFonts w:ascii="Arial" w:hAnsi="Arial" w:cs="Arial"/>
          <w:szCs w:val="24"/>
          <w:lang w:val="en-GB"/>
        </w:rPr>
        <w:t>jurisdictions have a diagnosis standard</w:t>
      </w:r>
      <w:r w:rsidRPr="00181CF2">
        <w:rPr>
          <w:rStyle w:val="FootnoteReference"/>
          <w:rFonts w:ascii="Arial" w:hAnsi="Arial" w:cs="Arial"/>
          <w:szCs w:val="24"/>
          <w:lang w:val="en-GB"/>
        </w:rPr>
        <w:footnoteReference w:id="349"/>
      </w:r>
      <w:r w:rsidRPr="00181CF2">
        <w:rPr>
          <w:rFonts w:ascii="Arial" w:hAnsi="Arial" w:cs="Arial"/>
          <w:szCs w:val="24"/>
          <w:lang w:val="en-GB"/>
        </w:rPr>
        <w:t xml:space="preserve"> and only three of these make it clear that a diagnosis of gender dysphoria or transsexualism is mandatory.  </w:t>
      </w:r>
    </w:p>
    <w:p w:rsidR="003D52D7" w:rsidRPr="00C57CE1" w:rsidRDefault="003D52D7" w:rsidP="003D52D7">
      <w:pPr>
        <w:pStyle w:val="ListParagraph"/>
        <w:widowControl/>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Only New York State mentions that the applicant should have been living in the opposite gender preceding the application.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new statutory language in the District of Columbia, Vermont and Washington requires, unanimously, that the individual has undergone </w:t>
      </w:r>
      <w:r w:rsidRPr="0028108F">
        <w:rPr>
          <w:rFonts w:ascii="Arial" w:hAnsi="Arial" w:cs="Arial"/>
          <w:i/>
          <w:szCs w:val="24"/>
          <w:lang w:val="en-GB"/>
        </w:rPr>
        <w:t>“surgical, hormonal or other treatment appropriate for the purpose of gender transition”</w:t>
      </w:r>
      <w:r w:rsidRPr="0028108F">
        <w:rPr>
          <w:rFonts w:ascii="Arial" w:hAnsi="Arial" w:cs="Arial"/>
          <w:szCs w:val="24"/>
          <w:lang w:val="en-GB"/>
        </w:rPr>
        <w:t xml:space="preserve">, whereas a treatment </w:t>
      </w:r>
      <w:r w:rsidRPr="0028108F">
        <w:rPr>
          <w:rFonts w:ascii="Arial" w:hAnsi="Arial" w:cs="Arial"/>
          <w:i/>
          <w:szCs w:val="24"/>
          <w:lang w:val="en-GB"/>
        </w:rPr>
        <w:t>“appropriate”</w:t>
      </w:r>
      <w:r w:rsidRPr="0028108F">
        <w:rPr>
          <w:rFonts w:ascii="Arial" w:hAnsi="Arial" w:cs="Arial"/>
          <w:szCs w:val="24"/>
          <w:lang w:val="en-GB"/>
        </w:rPr>
        <w:t xml:space="preserve"> to an individual may be limited to living full-time in one’s new gender role.</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Requirements relating to pre-existing marriage</w:t>
      </w:r>
    </w:p>
    <w:p w:rsidR="003D52D7" w:rsidRPr="0028108F" w:rsidRDefault="003D52D7" w:rsidP="003D52D7">
      <w:pPr>
        <w:adjustRightInd w:val="0"/>
        <w:snapToGrid w:val="0"/>
        <w:jc w:val="both"/>
        <w:rPr>
          <w:rFonts w:ascii="Arial" w:hAnsi="Arial" w:cs="Arial"/>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eastAsia="Times New Roman" w:hAnsi="Arial" w:cs="Arial"/>
          <w:color w:val="333333"/>
          <w:kern w:val="0"/>
          <w:szCs w:val="24"/>
          <w:lang w:val="en-GB"/>
        </w:rPr>
      </w:pPr>
      <w:r w:rsidRPr="0028108F">
        <w:rPr>
          <w:rFonts w:ascii="Arial" w:hAnsi="Arial" w:cs="Arial"/>
          <w:szCs w:val="24"/>
          <w:lang w:val="en-GB"/>
        </w:rPr>
        <w:t>All the 48 jurisdictions studied do not stipulate whether an applicant has to be unmarried or the pre-existing marriage should be annulled upon gender recognition.  It was noted that a marriage involving a transgender spouse may be nullified by the courts in jurisdictions where same-sex marriages are prohibited, as illustrated in a handful of cases across the U</w:t>
      </w:r>
      <w:r w:rsidR="00BF0226" w:rsidRPr="0028108F">
        <w:rPr>
          <w:rFonts w:ascii="Arial" w:hAnsi="Arial" w:cs="Arial"/>
          <w:szCs w:val="24"/>
          <w:lang w:val="en-GB"/>
        </w:rPr>
        <w:t>S</w:t>
      </w:r>
      <w:r w:rsidRPr="0028108F">
        <w:rPr>
          <w:rFonts w:ascii="Arial" w:hAnsi="Arial" w:cs="Arial"/>
          <w:szCs w:val="24"/>
          <w:lang w:val="en-GB"/>
        </w:rPr>
        <w:t xml:space="preserve"> such as </w:t>
      </w:r>
      <w:r w:rsidRPr="0028108F">
        <w:rPr>
          <w:rFonts w:ascii="Arial" w:hAnsi="Arial" w:cs="Arial"/>
          <w:i/>
          <w:szCs w:val="24"/>
          <w:lang w:val="en-GB"/>
        </w:rPr>
        <w:t xml:space="preserve">Kantaras v Kantaras </w:t>
      </w:r>
      <w:r w:rsidRPr="0028108F">
        <w:rPr>
          <w:rFonts w:ascii="Arial" w:hAnsi="Arial" w:cs="Arial"/>
          <w:szCs w:val="24"/>
          <w:lang w:val="en-GB"/>
        </w:rPr>
        <w:t>(2004)</w:t>
      </w:r>
      <w:r w:rsidRPr="00181CF2">
        <w:rPr>
          <w:rFonts w:ascii="Arial" w:hAnsi="Arial" w:cs="Arial"/>
          <w:i/>
          <w:szCs w:val="24"/>
          <w:lang w:val="en-GB"/>
        </w:rPr>
        <w:t xml:space="preserve"> </w:t>
      </w:r>
      <w:r w:rsidRPr="00C57CE1">
        <w:rPr>
          <w:rFonts w:ascii="Arial" w:hAnsi="Arial" w:cs="Arial"/>
          <w:szCs w:val="24"/>
          <w:lang w:val="en-GB"/>
        </w:rPr>
        <w:t>in Florida</w:t>
      </w:r>
      <w:r w:rsidRPr="00181CF2">
        <w:rPr>
          <w:rStyle w:val="FootnoteReference"/>
          <w:rFonts w:ascii="Arial" w:hAnsi="Arial" w:cs="Arial"/>
          <w:i/>
          <w:szCs w:val="24"/>
          <w:lang w:val="en-GB"/>
        </w:rPr>
        <w:footnoteReference w:id="350"/>
      </w:r>
      <w:r w:rsidRPr="00181CF2">
        <w:rPr>
          <w:rFonts w:ascii="Arial" w:hAnsi="Arial" w:cs="Arial"/>
          <w:i/>
          <w:szCs w:val="24"/>
          <w:lang w:val="en-GB"/>
        </w:rPr>
        <w:t xml:space="preserve"> </w:t>
      </w:r>
      <w:r w:rsidRPr="00C57CE1">
        <w:rPr>
          <w:rFonts w:ascii="Arial" w:hAnsi="Arial" w:cs="Arial"/>
          <w:szCs w:val="24"/>
          <w:lang w:val="en-GB"/>
        </w:rPr>
        <w:t xml:space="preserve">and </w:t>
      </w:r>
      <w:r w:rsidRPr="0028108F">
        <w:rPr>
          <w:rFonts w:ascii="Arial" w:hAnsi="Arial" w:cs="Arial"/>
          <w:i/>
          <w:szCs w:val="24"/>
          <w:lang w:val="en-GB"/>
        </w:rPr>
        <w:t xml:space="preserve">re Lovo-Lara (2005) </w:t>
      </w:r>
      <w:r w:rsidRPr="0028108F">
        <w:rPr>
          <w:rFonts w:ascii="Arial" w:hAnsi="Arial" w:cs="Arial"/>
          <w:szCs w:val="24"/>
          <w:lang w:val="en-GB"/>
        </w:rPr>
        <w:t>in Nebraska.</w:t>
      </w:r>
      <w:r w:rsidRPr="00181CF2">
        <w:rPr>
          <w:rStyle w:val="FootnoteReference"/>
          <w:rFonts w:ascii="Arial" w:hAnsi="Arial" w:cs="Arial"/>
          <w:szCs w:val="24"/>
          <w:lang w:val="en-GB"/>
        </w:rPr>
        <w:footnoteReference w:id="351"/>
      </w:r>
      <w:r w:rsidRPr="00181CF2">
        <w:rPr>
          <w:rFonts w:ascii="Arial" w:hAnsi="Arial" w:cs="Arial"/>
          <w:szCs w:val="24"/>
          <w:lang w:val="en-GB"/>
        </w:rPr>
        <w:t xml:space="preserve">  However, on 26 June 2015 the </w:t>
      </w:r>
      <w:r w:rsidR="00512AC0" w:rsidRPr="0028108F">
        <w:rPr>
          <w:rFonts w:ascii="Arial" w:hAnsi="Arial" w:cs="Arial"/>
          <w:szCs w:val="24"/>
          <w:lang w:val="en-GB"/>
        </w:rPr>
        <w:t>US</w:t>
      </w:r>
      <w:r w:rsidRPr="0028108F">
        <w:rPr>
          <w:rFonts w:ascii="Arial" w:hAnsi="Arial" w:cs="Arial"/>
          <w:szCs w:val="24"/>
          <w:lang w:val="en-GB"/>
        </w:rPr>
        <w:t xml:space="preserve"> Supreme Court ruled that the </w:t>
      </w:r>
      <w:r w:rsidR="00512AC0" w:rsidRPr="0028108F">
        <w:rPr>
          <w:rFonts w:ascii="Arial" w:hAnsi="Arial" w:cs="Arial"/>
          <w:szCs w:val="24"/>
          <w:lang w:val="en-GB"/>
        </w:rPr>
        <w:t>US</w:t>
      </w:r>
      <w:r w:rsidRPr="0028108F">
        <w:rPr>
          <w:rFonts w:ascii="Arial" w:hAnsi="Arial" w:cs="Arial"/>
          <w:szCs w:val="24"/>
          <w:lang w:val="en-GB"/>
        </w:rPr>
        <w:t xml:space="preserve"> Constitution guarantees the right for same-sex couples to marry in all 50 </w:t>
      </w:r>
      <w:r w:rsidR="00512AC0" w:rsidRPr="0028108F">
        <w:rPr>
          <w:rFonts w:ascii="Arial" w:hAnsi="Arial" w:cs="Arial"/>
          <w:szCs w:val="24"/>
          <w:lang w:val="en-GB"/>
        </w:rPr>
        <w:t>US</w:t>
      </w:r>
      <w:r w:rsidRPr="0028108F">
        <w:rPr>
          <w:rFonts w:ascii="Arial" w:hAnsi="Arial" w:cs="Arial"/>
          <w:szCs w:val="24"/>
          <w:lang w:val="en-GB"/>
        </w:rPr>
        <w:t xml:space="preserve"> states.</w:t>
      </w:r>
      <w:r w:rsidRPr="00181CF2">
        <w:rPr>
          <w:rStyle w:val="FootnoteReference"/>
          <w:rFonts w:ascii="Arial" w:hAnsi="Arial" w:cs="Arial"/>
          <w:szCs w:val="24"/>
          <w:lang w:val="en-GB"/>
        </w:rPr>
        <w:footnoteReference w:id="352"/>
      </w:r>
      <w:r w:rsidRPr="00181CF2">
        <w:rPr>
          <w:rFonts w:ascii="Arial" w:hAnsi="Arial" w:cs="Arial"/>
          <w:szCs w:val="24"/>
          <w:lang w:val="en-GB"/>
        </w:rPr>
        <w:t xml:space="preserve">  Therefore, it seems that any marriage could remain valid unless and until one or both spouses get(s) a divorce or annulment.</w:t>
      </w:r>
      <w:r w:rsidRPr="00181CF2">
        <w:rPr>
          <w:rStyle w:val="FootnoteReference"/>
          <w:rFonts w:ascii="Arial" w:hAnsi="Arial" w:cs="Arial"/>
          <w:szCs w:val="24"/>
          <w:lang w:val="en-GB"/>
        </w:rPr>
        <w:footnoteReference w:id="353"/>
      </w:r>
    </w:p>
    <w:p w:rsidR="003D52D7" w:rsidRPr="00C57CE1" w:rsidRDefault="003D52D7" w:rsidP="003D52D7">
      <w:pPr>
        <w:adjustRightInd w:val="0"/>
        <w:snapToGrid w:val="0"/>
        <w:jc w:val="both"/>
        <w:rPr>
          <w:rFonts w:ascii="Arial" w:eastAsia="Times New Roman" w:hAnsi="Arial" w:cs="Arial"/>
          <w:color w:val="333333"/>
          <w:kern w:val="0"/>
          <w:szCs w:val="24"/>
          <w:lang w:val="en-GB"/>
        </w:rPr>
      </w:pPr>
    </w:p>
    <w:p w:rsidR="003D52D7" w:rsidRPr="0011697F" w:rsidRDefault="003D52D7" w:rsidP="003D52D7">
      <w:pPr>
        <w:adjustRightInd w:val="0"/>
        <w:snapToGrid w:val="0"/>
        <w:jc w:val="both"/>
        <w:rPr>
          <w:rFonts w:ascii="Arial" w:eastAsia="Times New Roman" w:hAnsi="Arial" w:cs="Arial"/>
          <w:i/>
          <w:color w:val="000000" w:themeColor="text1"/>
          <w:kern w:val="0"/>
          <w:szCs w:val="24"/>
          <w:lang w:val="en-GB"/>
        </w:rPr>
      </w:pPr>
      <w:r w:rsidRPr="0011697F">
        <w:rPr>
          <w:rFonts w:ascii="Arial" w:eastAsia="Times New Roman" w:hAnsi="Arial" w:cs="Arial"/>
          <w:i/>
          <w:color w:val="000000" w:themeColor="text1"/>
          <w:kern w:val="0"/>
          <w:szCs w:val="24"/>
          <w:lang w:val="en-GB"/>
        </w:rPr>
        <w:t>Minimum age requirements</w:t>
      </w:r>
    </w:p>
    <w:p w:rsidR="003D52D7" w:rsidRPr="0028108F" w:rsidRDefault="003D52D7" w:rsidP="003D52D7">
      <w:pPr>
        <w:adjustRightInd w:val="0"/>
        <w:snapToGrid w:val="0"/>
        <w:jc w:val="both"/>
        <w:rPr>
          <w:rFonts w:ascii="Arial" w:eastAsia="Times New Roman" w:hAnsi="Arial" w:cs="Arial"/>
          <w:color w:val="333333"/>
          <w:kern w:val="0"/>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Eight jurisdictions explicitly allow applications by minors with the consent of their parents or legal guardians or legal representatives.</w:t>
      </w:r>
      <w:r w:rsidRPr="00181CF2">
        <w:rPr>
          <w:rStyle w:val="FootnoteReference"/>
          <w:rFonts w:ascii="Arial" w:hAnsi="Arial" w:cs="Arial"/>
          <w:szCs w:val="24"/>
          <w:lang w:val="en-GB"/>
        </w:rPr>
        <w:footnoteReference w:id="354"/>
      </w:r>
      <w:r w:rsidRPr="00181CF2">
        <w:rPr>
          <w:rFonts w:ascii="Arial" w:hAnsi="Arial" w:cs="Arial"/>
          <w:szCs w:val="24"/>
          <w:lang w:val="en-GB"/>
        </w:rPr>
        <w:t xml:space="preserve"> </w:t>
      </w:r>
    </w:p>
    <w:p w:rsidR="003D52D7" w:rsidRPr="00C57CE1" w:rsidRDefault="00371FB8" w:rsidP="005C685F">
      <w:pPr>
        <w:pStyle w:val="ListParagraph"/>
        <w:keepNext/>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New York State</w:t>
      </w:r>
      <w:r w:rsidR="003D52D7" w:rsidRPr="0028108F">
        <w:rPr>
          <w:rFonts w:ascii="Arial" w:hAnsi="Arial" w:cs="Arial"/>
          <w:szCs w:val="24"/>
          <w:lang w:val="en-GB"/>
        </w:rPr>
        <w:t xml:space="preserve"> require</w:t>
      </w:r>
      <w:r w:rsidR="00252D4A" w:rsidRPr="0028108F">
        <w:rPr>
          <w:rFonts w:ascii="Arial" w:hAnsi="Arial" w:cs="Arial"/>
          <w:szCs w:val="24"/>
          <w:lang w:val="en-GB"/>
        </w:rPr>
        <w:t>s</w:t>
      </w:r>
      <w:r w:rsidR="003D52D7" w:rsidRPr="0028108F">
        <w:rPr>
          <w:rFonts w:ascii="Arial" w:hAnsi="Arial" w:cs="Arial"/>
          <w:szCs w:val="24"/>
          <w:lang w:val="en-GB"/>
        </w:rPr>
        <w:t xml:space="preserve"> the applicants to be at least 18 years of age.</w:t>
      </w:r>
      <w:r w:rsidR="003D52D7" w:rsidRPr="00181CF2">
        <w:rPr>
          <w:rFonts w:ascii="Arial" w:hAnsi="Arial" w:cs="Arial"/>
          <w:szCs w:val="24"/>
          <w:lang w:val="en-GB"/>
        </w:rPr>
        <w:t xml:space="preserve">  Thirty-</w:t>
      </w:r>
      <w:r w:rsidR="003D52D7" w:rsidRPr="00C57CE1">
        <w:rPr>
          <w:rFonts w:ascii="Arial" w:hAnsi="Arial" w:cs="Arial"/>
          <w:szCs w:val="24"/>
          <w:lang w:val="en-GB"/>
        </w:rPr>
        <w:t>eight jurisdictions are ambiguous in this context in their statutes or official regulations.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Foreign gender recognition or foreign gender reassignment surgery</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most </w:t>
      </w:r>
      <w:r w:rsidR="00BF0226" w:rsidRPr="0028108F">
        <w:rPr>
          <w:rFonts w:ascii="Arial" w:hAnsi="Arial" w:cs="Arial"/>
          <w:szCs w:val="24"/>
          <w:lang w:val="en-GB"/>
        </w:rPr>
        <w:t xml:space="preserve">US </w:t>
      </w:r>
      <w:r w:rsidRPr="0028108F">
        <w:rPr>
          <w:rFonts w:ascii="Arial" w:hAnsi="Arial" w:cs="Arial"/>
          <w:szCs w:val="24"/>
          <w:lang w:val="en-GB"/>
        </w:rPr>
        <w:t xml:space="preserve">jurisdictions, there is no statutory language relating to acceptance of foreign gender recognition or </w:t>
      </w:r>
      <w:r w:rsidR="00153A58" w:rsidRPr="0028108F">
        <w:rPr>
          <w:rFonts w:ascii="Arial" w:hAnsi="Arial" w:cs="Arial"/>
          <w:szCs w:val="24"/>
          <w:lang w:val="en-GB"/>
        </w:rPr>
        <w:t>S</w:t>
      </w:r>
      <w:r w:rsidRPr="0028108F">
        <w:rPr>
          <w:rFonts w:ascii="Arial" w:hAnsi="Arial" w:cs="Arial"/>
          <w:szCs w:val="24"/>
          <w:lang w:val="en-GB"/>
        </w:rPr>
        <w:t xml:space="preserve">RS performed in other jurisdictions.  Only Illinois and Utah have provisions permitting </w:t>
      </w:r>
      <w:r w:rsidR="00153A58" w:rsidRPr="0028108F">
        <w:rPr>
          <w:rFonts w:ascii="Arial" w:hAnsi="Arial" w:cs="Arial"/>
          <w:szCs w:val="24"/>
          <w:lang w:val="en-GB"/>
        </w:rPr>
        <w:t>S</w:t>
      </w:r>
      <w:r w:rsidRPr="0028108F">
        <w:rPr>
          <w:rFonts w:ascii="Arial" w:hAnsi="Arial" w:cs="Arial"/>
          <w:szCs w:val="24"/>
          <w:lang w:val="en-GB"/>
        </w:rPr>
        <w:t>RS or sex change performed outside the U</w:t>
      </w:r>
      <w:r w:rsidR="00BF0226" w:rsidRPr="0028108F">
        <w:rPr>
          <w:rFonts w:ascii="Arial" w:hAnsi="Arial" w:cs="Arial"/>
          <w:szCs w:val="24"/>
          <w:lang w:val="en-GB"/>
        </w:rPr>
        <w:t>S</w:t>
      </w:r>
      <w:r w:rsidRPr="0028108F">
        <w:rPr>
          <w:rFonts w:ascii="Arial" w:hAnsi="Arial" w:cs="Arial"/>
          <w:szCs w:val="24"/>
          <w:lang w:val="en-GB"/>
        </w:rPr>
        <w:t xml:space="preserve"> to be recognised, provided that it is verified by a </w:t>
      </w:r>
      <w:r w:rsidR="00512AC0" w:rsidRPr="0028108F">
        <w:rPr>
          <w:rFonts w:ascii="Arial" w:hAnsi="Arial" w:cs="Arial"/>
          <w:szCs w:val="24"/>
          <w:lang w:val="en-GB"/>
        </w:rPr>
        <w:t>US</w:t>
      </w:r>
      <w:r w:rsidRPr="0028108F">
        <w:rPr>
          <w:rFonts w:ascii="Arial" w:hAnsi="Arial" w:cs="Arial"/>
          <w:szCs w:val="24"/>
          <w:lang w:val="en-GB"/>
        </w:rPr>
        <w:t xml:space="preserve"> physician or court.  It is understood that Louisiana does not accept court orders or official recognition of name and gender changes from any other jurisdiction.</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Upon legal recognition of an applicant’s acquired gender, </w:t>
      </w:r>
      <w:r w:rsidR="00970733" w:rsidRPr="0028108F">
        <w:rPr>
          <w:rFonts w:ascii="Arial" w:hAnsi="Arial" w:cs="Arial"/>
          <w:szCs w:val="24"/>
          <w:lang w:val="en-GB"/>
        </w:rPr>
        <w:t>25</w:t>
      </w:r>
      <w:r w:rsidR="0063786B">
        <w:rPr>
          <w:rFonts w:ascii="Arial" w:hAnsi="Arial" w:cs="Arial" w:hint="eastAsia"/>
          <w:szCs w:val="24"/>
          <w:lang w:val="en-GB"/>
        </w:rPr>
        <w:t xml:space="preserve">　</w:t>
      </w:r>
      <w:r w:rsidRPr="0028108F">
        <w:rPr>
          <w:rFonts w:ascii="Arial" w:hAnsi="Arial" w:cs="Arial"/>
          <w:szCs w:val="24"/>
          <w:lang w:val="en-GB"/>
        </w:rPr>
        <w:t>jurisdictions will issue a new birth certificate,</w:t>
      </w:r>
      <w:r w:rsidRPr="00181CF2">
        <w:rPr>
          <w:rStyle w:val="FootnoteReference"/>
          <w:rFonts w:ascii="Arial" w:hAnsi="Arial" w:cs="Arial"/>
          <w:szCs w:val="24"/>
          <w:lang w:val="en-GB"/>
        </w:rPr>
        <w:footnoteReference w:id="355"/>
      </w:r>
      <w:r w:rsidRPr="00181CF2">
        <w:rPr>
          <w:rFonts w:ascii="Arial" w:hAnsi="Arial" w:cs="Arial"/>
          <w:szCs w:val="24"/>
          <w:lang w:val="en-GB"/>
        </w:rPr>
        <w:t xml:space="preserve"> while </w:t>
      </w:r>
      <w:r w:rsidR="009B23A1" w:rsidRPr="0028108F">
        <w:rPr>
          <w:rFonts w:ascii="Arial" w:hAnsi="Arial" w:cs="Arial"/>
          <w:szCs w:val="24"/>
          <w:lang w:val="en-GB"/>
        </w:rPr>
        <w:t xml:space="preserve">18 </w:t>
      </w:r>
      <w:r w:rsidRPr="0028108F">
        <w:rPr>
          <w:rFonts w:ascii="Arial" w:hAnsi="Arial" w:cs="Arial"/>
          <w:szCs w:val="24"/>
          <w:lang w:val="en-GB"/>
        </w:rPr>
        <w:t>will issue only an amended one.</w:t>
      </w:r>
      <w:r w:rsidRPr="00181CF2">
        <w:rPr>
          <w:rStyle w:val="FootnoteReference"/>
          <w:rFonts w:ascii="Arial" w:hAnsi="Arial" w:cs="Arial"/>
          <w:szCs w:val="24"/>
          <w:lang w:val="en-GB"/>
        </w:rPr>
        <w:footnoteReference w:id="356"/>
      </w:r>
      <w:r w:rsidRPr="00181CF2">
        <w:rPr>
          <w:rFonts w:ascii="Arial" w:hAnsi="Arial" w:cs="Arial"/>
          <w:szCs w:val="24"/>
          <w:lang w:val="en-GB"/>
        </w:rPr>
        <w:t xml:space="preserve">  It is unclear whether a new certificate or an amended one will be issued in Florida, Montana, Rhode Island</w:t>
      </w:r>
      <w:r w:rsidR="001F31F5" w:rsidRPr="00C57CE1">
        <w:rPr>
          <w:rFonts w:ascii="Arial" w:hAnsi="Arial" w:cs="Arial"/>
          <w:szCs w:val="24"/>
          <w:lang w:val="en-GB"/>
        </w:rPr>
        <w:t xml:space="preserve">, </w:t>
      </w:r>
      <w:r w:rsidRPr="0028108F">
        <w:rPr>
          <w:rFonts w:ascii="Arial" w:hAnsi="Arial" w:cs="Arial"/>
          <w:szCs w:val="24"/>
          <w:lang w:val="en-GB"/>
        </w:rPr>
        <w:t>Virginia</w:t>
      </w:r>
      <w:r w:rsidR="001F31F5" w:rsidRPr="0028108F">
        <w:rPr>
          <w:rFonts w:ascii="Arial" w:hAnsi="Arial" w:cs="Arial"/>
          <w:szCs w:val="24"/>
          <w:lang w:val="en-GB"/>
        </w:rPr>
        <w:t xml:space="preserve"> and Washington</w:t>
      </w:r>
      <w:r w:rsidRPr="0028108F">
        <w:rPr>
          <w:rFonts w:ascii="Arial" w:hAnsi="Arial" w:cs="Arial"/>
          <w:szCs w:val="24"/>
          <w:lang w:val="en-GB"/>
        </w:rPr>
        <w:t xml:space="preserve">. </w:t>
      </w:r>
    </w:p>
    <w:p w:rsidR="003D52D7" w:rsidRPr="0028108F" w:rsidRDefault="003D52D7" w:rsidP="003D52D7">
      <w:pPr>
        <w:pStyle w:val="ListParagraph"/>
        <w:rPr>
          <w:rFonts w:ascii="Arial" w:hAnsi="Arial" w:cs="Arial"/>
          <w:szCs w:val="24"/>
          <w:lang w:val="en-GB"/>
        </w:rPr>
      </w:pPr>
    </w:p>
    <w:p w:rsidR="003D52D7" w:rsidRPr="00181CF2" w:rsidRDefault="00265FB5"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Lisa Mottet, the Transgender Civil Rights Project Director at the National Gay and Lesbian Task Force in the US,</w:t>
      </w:r>
      <w:r w:rsidRPr="00181CF2">
        <w:rPr>
          <w:rStyle w:val="FootnoteReference"/>
          <w:rFonts w:ascii="Arial" w:hAnsi="Arial" w:cs="Arial"/>
          <w:szCs w:val="24"/>
          <w:lang w:val="en-GB"/>
        </w:rPr>
        <w:footnoteReference w:id="357"/>
      </w:r>
      <w:r>
        <w:rPr>
          <w:rFonts w:ascii="Arial" w:hAnsi="Arial" w:cs="Arial" w:hint="eastAsia"/>
          <w:szCs w:val="24"/>
          <w:lang w:val="en-GB"/>
        </w:rPr>
        <w:t xml:space="preserve"> </w:t>
      </w:r>
      <w:r w:rsidR="003D52D7" w:rsidRPr="0028108F">
        <w:rPr>
          <w:rFonts w:ascii="Arial" w:hAnsi="Arial" w:cs="Arial"/>
          <w:szCs w:val="24"/>
          <w:lang w:val="en-GB"/>
        </w:rPr>
        <w:t>has observed that jurisdictions in the U</w:t>
      </w:r>
      <w:r w:rsidR="00BF0226" w:rsidRPr="0028108F">
        <w:rPr>
          <w:rFonts w:ascii="Arial" w:hAnsi="Arial" w:cs="Arial"/>
          <w:szCs w:val="24"/>
          <w:lang w:val="en-GB"/>
        </w:rPr>
        <w:t>S</w:t>
      </w:r>
      <w:r w:rsidR="003D52D7" w:rsidRPr="0028108F">
        <w:rPr>
          <w:rFonts w:ascii="Arial" w:hAnsi="Arial" w:cs="Arial"/>
          <w:szCs w:val="24"/>
          <w:lang w:val="en-GB"/>
        </w:rPr>
        <w:t xml:space="preserve"> vary in their policies regarding access to registry information relating to birth certificates and other personal records.  </w:t>
      </w:r>
      <w:r w:rsidR="003D52D7" w:rsidRPr="0028108F">
        <w:rPr>
          <w:rFonts w:ascii="Arial" w:hAnsi="Arial" w:cs="Arial"/>
          <w:i/>
          <w:szCs w:val="24"/>
          <w:lang w:val="en-GB"/>
        </w:rPr>
        <w:t>“Most States restrict access to immediate family members, representatives, and those that have a proven property interest.  Some States allow either certified or informational copies of birth certificates to be provided to members of the public, and this would be unfavourable for the successful applicants who would not want their previous gender to be readily exposed.”</w:t>
      </w:r>
      <w:r w:rsidR="003D52D7" w:rsidRPr="00181CF2">
        <w:rPr>
          <w:rStyle w:val="FootnoteReference"/>
          <w:rFonts w:ascii="Arial" w:hAnsi="Arial" w:cs="Arial"/>
          <w:szCs w:val="24"/>
          <w:lang w:val="en-GB"/>
        </w:rPr>
        <w:footnoteReference w:id="358"/>
      </w:r>
    </w:p>
    <w:p w:rsidR="003D52D7" w:rsidRPr="00C57CE1" w:rsidRDefault="003D52D7" w:rsidP="003D52D7">
      <w:pPr>
        <w:adjustRightInd w:val="0"/>
        <w:snapToGrid w:val="0"/>
        <w:jc w:val="both"/>
        <w:rPr>
          <w:rFonts w:ascii="Arial" w:hAnsi="Arial" w:cs="Arial"/>
          <w:szCs w:val="24"/>
          <w:lang w:val="en-GB"/>
        </w:rPr>
      </w:pPr>
    </w:p>
    <w:p w:rsidR="003D52D7" w:rsidRPr="0085261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Presumably, changing the gender marker on one</w:t>
      </w:r>
      <w:r w:rsidR="00AF2B01">
        <w:rPr>
          <w:rFonts w:ascii="Arial" w:hAnsi="Arial" w:cs="Arial"/>
          <w:szCs w:val="24"/>
          <w:lang w:val="en-GB"/>
        </w:rPr>
        <w:t>’</w:t>
      </w:r>
      <w:r w:rsidRPr="0028108F">
        <w:rPr>
          <w:rFonts w:ascii="Arial" w:hAnsi="Arial" w:cs="Arial"/>
          <w:szCs w:val="24"/>
          <w:lang w:val="en-GB"/>
        </w:rPr>
        <w:t xml:space="preserve">s birth certificate should put to rest once and for all the question of his or her legal gender for any legal purposes.  However, the marker shown on the amended certificates and the paucity of privacy in some jurisdictions (mentioned above) </w:t>
      </w:r>
      <w:r w:rsidRPr="00852612">
        <w:rPr>
          <w:rFonts w:ascii="Arial" w:hAnsi="Arial" w:cs="Arial"/>
          <w:szCs w:val="24"/>
          <w:lang w:val="en-GB"/>
        </w:rPr>
        <w:t>may prevent the transgender persons, even after the legal change is effected, from living as entirely normal as other people in the community, in particular as far as matters like employment and marriages are concerned.</w:t>
      </w:r>
      <w:r w:rsidRPr="00852612">
        <w:rPr>
          <w:rStyle w:val="FootnoteReference"/>
          <w:rFonts w:ascii="Arial" w:hAnsi="Arial" w:cs="Arial"/>
          <w:szCs w:val="24"/>
          <w:lang w:val="en-GB"/>
        </w:rPr>
        <w:footnoteReference w:id="359"/>
      </w:r>
      <w:r w:rsidRPr="00852612">
        <w:rPr>
          <w:rFonts w:ascii="Arial" w:hAnsi="Arial" w:cs="Arial"/>
          <w:szCs w:val="24"/>
          <w:lang w:val="en-GB"/>
        </w:rPr>
        <w:t xml:space="preserve">  </w:t>
      </w:r>
    </w:p>
    <w:p w:rsidR="003D52D7" w:rsidRPr="00852612" w:rsidRDefault="003D52D7" w:rsidP="003D52D7">
      <w:pPr>
        <w:pStyle w:val="ListParagraph"/>
        <w:snapToGrid w:val="0"/>
        <w:rPr>
          <w:rFonts w:ascii="Arial" w:hAnsi="Arial" w:cs="Arial"/>
          <w:szCs w:val="24"/>
          <w:lang w:val="en-GB"/>
        </w:rPr>
      </w:pPr>
    </w:p>
    <w:p w:rsidR="003D52D7" w:rsidRPr="0085261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852612">
        <w:rPr>
          <w:rFonts w:ascii="Arial" w:hAnsi="Arial" w:cs="Arial"/>
          <w:szCs w:val="24"/>
          <w:lang w:val="en-GB"/>
        </w:rPr>
        <w:t xml:space="preserve">It should be noted, however, that the issuing of a new birth certificate may not </w:t>
      </w:r>
      <w:r w:rsidR="007C05D9" w:rsidRPr="00852612">
        <w:rPr>
          <w:rFonts w:ascii="Arial" w:hAnsi="Arial" w:cs="Arial" w:hint="eastAsia"/>
          <w:szCs w:val="24"/>
          <w:lang w:val="en-GB"/>
        </w:rPr>
        <w:t xml:space="preserve">be a </w:t>
      </w:r>
      <w:r w:rsidRPr="00852612">
        <w:rPr>
          <w:rFonts w:ascii="Arial" w:hAnsi="Arial" w:cs="Arial"/>
          <w:szCs w:val="24"/>
          <w:lang w:val="en-GB"/>
        </w:rPr>
        <w:t xml:space="preserve">guarantee </w:t>
      </w:r>
      <w:r w:rsidR="007C05D9" w:rsidRPr="00852612">
        <w:rPr>
          <w:rFonts w:ascii="Arial" w:hAnsi="Arial" w:cs="Arial" w:hint="eastAsia"/>
          <w:szCs w:val="24"/>
          <w:lang w:val="en-GB"/>
        </w:rPr>
        <w:t>of</w:t>
      </w:r>
      <w:r w:rsidR="007C05D9" w:rsidRPr="00852612">
        <w:rPr>
          <w:rFonts w:ascii="Arial" w:hAnsi="Arial" w:cs="Arial"/>
          <w:szCs w:val="24"/>
          <w:lang w:val="en-GB"/>
        </w:rPr>
        <w:t xml:space="preserve"> </w:t>
      </w:r>
      <w:r w:rsidRPr="00852612">
        <w:rPr>
          <w:rFonts w:ascii="Arial" w:hAnsi="Arial" w:cs="Arial"/>
          <w:szCs w:val="24"/>
          <w:lang w:val="en-GB"/>
        </w:rPr>
        <w:t>full legal effect in every jurisdiction.  There have been cases, usually involving marriages, where courts have ignored the corrected (either new or amended) birth certificates, such as the courts in Florida and Nebraska which have considered only the birth-assigned sex when ruling on a person</w:t>
      </w:r>
      <w:r w:rsidR="00AF2B01" w:rsidRPr="00852612">
        <w:rPr>
          <w:rFonts w:ascii="Arial" w:hAnsi="Arial" w:cs="Arial"/>
          <w:szCs w:val="24"/>
          <w:lang w:val="en-GB"/>
        </w:rPr>
        <w:t>’</w:t>
      </w:r>
      <w:r w:rsidRPr="00852612">
        <w:rPr>
          <w:rFonts w:ascii="Arial" w:hAnsi="Arial" w:cs="Arial"/>
          <w:szCs w:val="24"/>
          <w:lang w:val="en-GB"/>
        </w:rPr>
        <w:t xml:space="preserve">s sex for the purpose of deciding on the validity of his or her marriage (see earlier discussion).  Similarly, the appellate court of Illinois remarked in its ruling in </w:t>
      </w:r>
      <w:r w:rsidRPr="00852612">
        <w:rPr>
          <w:rFonts w:ascii="Arial" w:hAnsi="Arial" w:cs="Arial"/>
          <w:i/>
          <w:szCs w:val="24"/>
          <w:lang w:val="en-GB"/>
        </w:rPr>
        <w:t>re Marriage of Simmons</w:t>
      </w:r>
      <w:r w:rsidRPr="00852612">
        <w:rPr>
          <w:rStyle w:val="FootnoteReference"/>
          <w:rFonts w:ascii="Arial" w:hAnsi="Arial" w:cs="Arial"/>
          <w:i/>
          <w:szCs w:val="24"/>
          <w:lang w:val="en-GB"/>
        </w:rPr>
        <w:footnoteReference w:id="360"/>
      </w:r>
      <w:r w:rsidRPr="00852612">
        <w:rPr>
          <w:rFonts w:ascii="Arial" w:hAnsi="Arial" w:cs="Arial"/>
          <w:szCs w:val="24"/>
          <w:lang w:val="en-GB"/>
        </w:rPr>
        <w:t xml:space="preserve"> that, in determining the validity of a marriage, the issuance of marriage licences and new birth certificates should not be put much weight as they are “</w:t>
      </w:r>
      <w:r w:rsidRPr="00852612">
        <w:rPr>
          <w:rFonts w:ascii="Arial" w:hAnsi="Arial" w:cs="Arial"/>
          <w:i/>
          <w:szCs w:val="24"/>
          <w:lang w:val="en-GB"/>
        </w:rPr>
        <w:t>ministerial acts that generally do not involve fact-finding</w:t>
      </w:r>
      <w:r w:rsidRPr="00852612">
        <w:rPr>
          <w:rFonts w:ascii="Arial" w:hAnsi="Arial" w:cs="Arial"/>
          <w:szCs w:val="24"/>
          <w:lang w:val="en-GB"/>
        </w:rPr>
        <w:t>” whereas “</w:t>
      </w:r>
      <w:r w:rsidRPr="00852612">
        <w:rPr>
          <w:rFonts w:ascii="Arial" w:hAnsi="Arial" w:cs="Arial"/>
          <w:i/>
          <w:szCs w:val="24"/>
          <w:lang w:val="en-GB"/>
        </w:rPr>
        <w:t>[t]he courts, on the other hand, are fact-finding bodies</w:t>
      </w:r>
      <w:r w:rsidRPr="00852612">
        <w:rPr>
          <w:rFonts w:ascii="Arial" w:hAnsi="Arial" w:cs="Arial"/>
          <w:szCs w:val="24"/>
          <w:lang w:val="en-GB"/>
        </w:rPr>
        <w:t>”.</w:t>
      </w:r>
    </w:p>
    <w:p w:rsidR="003D52D7" w:rsidRPr="00852612"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85261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852612">
        <w:rPr>
          <w:rFonts w:ascii="Arial" w:hAnsi="Arial" w:cs="Arial"/>
          <w:szCs w:val="24"/>
          <w:lang w:val="en-GB"/>
        </w:rPr>
        <w:t>In contrast, a court in New Jersey recognised a transgender woman</w:t>
      </w:r>
      <w:r w:rsidR="00431C1C" w:rsidRPr="00852612">
        <w:rPr>
          <w:rFonts w:ascii="Arial" w:hAnsi="Arial" w:cs="Arial"/>
          <w:szCs w:val="24"/>
          <w:lang w:val="en-GB"/>
        </w:rPr>
        <w:t>’</w:t>
      </w:r>
      <w:r w:rsidRPr="00852612">
        <w:rPr>
          <w:rFonts w:ascii="Arial" w:hAnsi="Arial" w:cs="Arial"/>
          <w:szCs w:val="24"/>
          <w:lang w:val="en-GB"/>
        </w:rPr>
        <w:t>s gender identity, which was also reflected on her birth certificate, when determining the validity of her marriage with a man.  Additionally, the Board of Immigration Appeals approved a visa based on marriage to a man for a transgender woman whose North Carolina birth certificate had a female gender marker.</w:t>
      </w:r>
      <w:r w:rsidRPr="00852612">
        <w:rPr>
          <w:rStyle w:val="FootnoteReference"/>
          <w:rFonts w:ascii="Arial" w:hAnsi="Arial" w:cs="Arial"/>
          <w:szCs w:val="24"/>
          <w:lang w:val="en-GB"/>
        </w:rPr>
        <w:footnoteReference w:id="361"/>
      </w:r>
    </w:p>
    <w:p w:rsidR="003D52D7" w:rsidRPr="00852612" w:rsidRDefault="003D52D7" w:rsidP="003D52D7">
      <w:pPr>
        <w:pStyle w:val="ListParagraph"/>
        <w:snapToGrid w:val="0"/>
        <w:rPr>
          <w:rFonts w:ascii="Arial" w:hAnsi="Arial" w:cs="Arial"/>
          <w:szCs w:val="24"/>
          <w:lang w:val="en-GB"/>
        </w:rPr>
      </w:pPr>
    </w:p>
    <w:p w:rsidR="003D52D7" w:rsidRPr="0085261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852612">
        <w:rPr>
          <w:rFonts w:ascii="Arial" w:hAnsi="Arial" w:cs="Arial"/>
          <w:szCs w:val="24"/>
          <w:lang w:val="en-GB"/>
        </w:rPr>
        <w:t>In many jurisdictions in the U</w:t>
      </w:r>
      <w:r w:rsidR="00BF0226" w:rsidRPr="00852612">
        <w:rPr>
          <w:rFonts w:ascii="Arial" w:hAnsi="Arial" w:cs="Arial"/>
          <w:szCs w:val="24"/>
          <w:lang w:val="en-GB"/>
        </w:rPr>
        <w:t>S</w:t>
      </w:r>
      <w:r w:rsidRPr="00852612">
        <w:rPr>
          <w:rFonts w:ascii="Arial" w:hAnsi="Arial" w:cs="Arial"/>
          <w:szCs w:val="24"/>
          <w:lang w:val="en-GB"/>
        </w:rPr>
        <w:t xml:space="preserve">, laws governing corrections to gender markers on birth certificates are written in brief and potentially vague terms.  By comparison, California, District of Columbia and New York State could be said to have sophisticated and nuanced schemes which are examined in Annex A.  The scheme in New York State (where </w:t>
      </w:r>
      <w:r w:rsidR="000B2250" w:rsidRPr="00852612">
        <w:rPr>
          <w:rFonts w:ascii="Arial" w:hAnsi="Arial" w:cs="Arial"/>
          <w:szCs w:val="24"/>
          <w:lang w:val="en-GB"/>
        </w:rPr>
        <w:t>some</w:t>
      </w:r>
      <w:r w:rsidRPr="00852612">
        <w:rPr>
          <w:rFonts w:ascii="Arial" w:hAnsi="Arial" w:cs="Arial"/>
          <w:szCs w:val="24"/>
          <w:lang w:val="en-GB"/>
        </w:rPr>
        <w:t xml:space="preserve"> recent developments on gender recognition in the </w:t>
      </w:r>
      <w:r w:rsidR="00512AC0" w:rsidRPr="00852612">
        <w:rPr>
          <w:rFonts w:ascii="Arial" w:hAnsi="Arial" w:cs="Arial"/>
          <w:szCs w:val="24"/>
          <w:lang w:val="en-GB"/>
        </w:rPr>
        <w:t>US</w:t>
      </w:r>
      <w:r w:rsidRPr="00852612">
        <w:rPr>
          <w:rFonts w:ascii="Arial" w:hAnsi="Arial" w:cs="Arial"/>
          <w:szCs w:val="24"/>
          <w:lang w:val="en-GB"/>
        </w:rPr>
        <w:t xml:space="preserve"> have taken place) is illustrated below. </w:t>
      </w:r>
    </w:p>
    <w:p w:rsidR="003D52D7" w:rsidRPr="00852612" w:rsidRDefault="003D52D7" w:rsidP="003D52D7">
      <w:pPr>
        <w:adjustRightInd w:val="0"/>
        <w:snapToGrid w:val="0"/>
        <w:jc w:val="both"/>
        <w:rPr>
          <w:rFonts w:ascii="Arial" w:hAnsi="Arial" w:cs="Arial"/>
          <w:b/>
          <w:i/>
          <w:szCs w:val="24"/>
          <w:lang w:val="en-GB"/>
        </w:rPr>
      </w:pPr>
    </w:p>
    <w:p w:rsidR="003D52D7" w:rsidRPr="00852612" w:rsidRDefault="003D52D7" w:rsidP="003D52D7">
      <w:pPr>
        <w:adjustRightInd w:val="0"/>
        <w:snapToGrid w:val="0"/>
        <w:jc w:val="both"/>
        <w:rPr>
          <w:rFonts w:ascii="Arial" w:hAnsi="Arial" w:cs="Arial"/>
          <w:b/>
          <w:i/>
          <w:szCs w:val="24"/>
          <w:lang w:val="en-GB"/>
        </w:rPr>
      </w:pPr>
      <w:r w:rsidRPr="00852612">
        <w:rPr>
          <w:rFonts w:ascii="Arial" w:hAnsi="Arial" w:cs="Arial"/>
          <w:b/>
          <w:i/>
          <w:szCs w:val="24"/>
          <w:lang w:val="en-GB"/>
        </w:rPr>
        <w:t>New York State</w:t>
      </w:r>
    </w:p>
    <w:p w:rsidR="003D52D7" w:rsidRPr="00852612" w:rsidRDefault="003D52D7" w:rsidP="003D52D7">
      <w:pPr>
        <w:adjustRightInd w:val="0"/>
        <w:snapToGrid w:val="0"/>
        <w:jc w:val="both"/>
        <w:rPr>
          <w:rFonts w:ascii="Arial" w:hAnsi="Arial" w:cs="Arial"/>
          <w:b/>
          <w:szCs w:val="24"/>
          <w:lang w:val="en-GB"/>
        </w:rPr>
      </w:pPr>
    </w:p>
    <w:p w:rsidR="003D52D7" w:rsidRPr="00852612" w:rsidRDefault="003D52D7" w:rsidP="003D52D7">
      <w:pPr>
        <w:adjustRightInd w:val="0"/>
        <w:snapToGrid w:val="0"/>
        <w:jc w:val="both"/>
        <w:rPr>
          <w:rFonts w:ascii="Arial" w:hAnsi="Arial" w:cs="Arial"/>
          <w:i/>
          <w:szCs w:val="24"/>
          <w:lang w:val="en-GB"/>
        </w:rPr>
      </w:pPr>
      <w:r w:rsidRPr="00852612">
        <w:rPr>
          <w:rFonts w:ascii="Arial" w:hAnsi="Arial" w:cs="Arial"/>
          <w:i/>
          <w:szCs w:val="24"/>
          <w:lang w:val="en-GB"/>
        </w:rPr>
        <w:t>Types of measures allowing rectification of official documents</w:t>
      </w:r>
    </w:p>
    <w:p w:rsidR="003D52D7" w:rsidRPr="00852612" w:rsidRDefault="003D52D7" w:rsidP="003D52D7">
      <w:pPr>
        <w:adjustRightInd w:val="0"/>
        <w:snapToGrid w:val="0"/>
        <w:jc w:val="both"/>
        <w:rPr>
          <w:rFonts w:ascii="Arial" w:hAnsi="Arial" w:cs="Arial"/>
          <w:b/>
          <w:szCs w:val="24"/>
          <w:lang w:val="en-GB"/>
        </w:rPr>
      </w:pPr>
    </w:p>
    <w:p w:rsidR="003D52D7" w:rsidRPr="00181CF2"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852612">
        <w:rPr>
          <w:rFonts w:ascii="Arial" w:hAnsi="Arial" w:cs="Arial"/>
          <w:szCs w:val="24"/>
          <w:lang w:val="en-GB"/>
        </w:rPr>
        <w:t xml:space="preserve">Any defect on a birth certificate can be rectified in accordance with section 4176 of the New York Public Health Law, but this regulation does not provide legal standards or procedures for transgender people to make corrections to the gender marker on a birth certificate, which would only be found in administrative guidelines for changing the gender marker on birth certificates.  These guidelines were updated in mid-2014 by the New York </w:t>
      </w:r>
      <w:r w:rsidRPr="0028108F">
        <w:rPr>
          <w:rFonts w:ascii="Arial" w:hAnsi="Arial" w:cs="Arial"/>
          <w:szCs w:val="24"/>
          <w:lang w:val="en-GB"/>
        </w:rPr>
        <w:t>State Department of Health, and commenced on 5 June 2014.</w:t>
      </w:r>
      <w:r w:rsidRPr="00181CF2">
        <w:rPr>
          <w:rStyle w:val="FootnoteReference"/>
          <w:rFonts w:ascii="Arial" w:hAnsi="Arial" w:cs="Arial"/>
          <w:szCs w:val="24"/>
          <w:lang w:val="en-GB"/>
        </w:rPr>
        <w:footnoteReference w:id="362"/>
      </w:r>
      <w:r w:rsidRPr="00181CF2">
        <w:rPr>
          <w:rFonts w:ascii="Arial" w:hAnsi="Arial" w:cs="Arial"/>
          <w:szCs w:val="24"/>
          <w:lang w:val="en-GB"/>
        </w:rPr>
        <w:t xml:space="preserve">  The amendments lifted the previous demand for proof of surgery, and provided a more detailed administrative procedure for applications.</w:t>
      </w:r>
      <w:r w:rsidRPr="00181CF2">
        <w:rPr>
          <w:rStyle w:val="FootnoteReference"/>
          <w:rFonts w:ascii="Arial" w:hAnsi="Arial" w:cs="Arial"/>
          <w:szCs w:val="24"/>
          <w:lang w:val="en-GB"/>
        </w:rPr>
        <w:footnoteReference w:id="363"/>
      </w:r>
    </w:p>
    <w:p w:rsidR="003D52D7" w:rsidRPr="00181CF2"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C57CE1" w:rsidRDefault="003D52D7" w:rsidP="003D52D7">
      <w:pPr>
        <w:adjustRightInd w:val="0"/>
        <w:snapToGrid w:val="0"/>
        <w:jc w:val="both"/>
        <w:rPr>
          <w:rFonts w:ascii="Arial" w:hAnsi="Arial" w:cs="Arial"/>
          <w:i/>
          <w:szCs w:val="24"/>
          <w:lang w:val="en-GB"/>
        </w:rPr>
      </w:pPr>
      <w:r w:rsidRPr="00C57CE1">
        <w:rPr>
          <w:rFonts w:ascii="Arial" w:hAnsi="Arial" w:cs="Arial"/>
          <w:i/>
          <w:szCs w:val="24"/>
          <w:lang w:val="en-GB"/>
        </w:rPr>
        <w:t>Authority to determine applications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Under the emerging guidelines, the New York State Department of Health, Bureau of Vital Records (the Department) has the responsibility of adjudicating applications.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szCs w:val="24"/>
          <w:lang w:val="en-GB"/>
        </w:rPr>
      </w:pPr>
      <w:r w:rsidRPr="0028108F">
        <w:rPr>
          <w:rFonts w:ascii="Arial" w:hAnsi="Arial" w:cs="Arial"/>
          <w:i/>
          <w:szCs w:val="24"/>
          <w:lang w:val="en-GB"/>
        </w:rPr>
        <w:t>Evidential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It is provided that the following documents should be submitted in an application: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3"/>
        </w:numPr>
        <w:tabs>
          <w:tab w:val="left" w:pos="1418"/>
        </w:tabs>
        <w:adjustRightInd w:val="0"/>
        <w:snapToGrid w:val="0"/>
        <w:ind w:leftChars="295" w:left="1414" w:hangingChars="294" w:hanging="706"/>
        <w:jc w:val="both"/>
        <w:rPr>
          <w:rFonts w:ascii="Arial" w:hAnsi="Arial" w:cs="Arial"/>
          <w:szCs w:val="24"/>
          <w:lang w:val="en-GB"/>
        </w:rPr>
      </w:pPr>
      <w:r w:rsidRPr="0028108F">
        <w:rPr>
          <w:rFonts w:ascii="Arial" w:hAnsi="Arial" w:cs="Arial"/>
          <w:szCs w:val="24"/>
          <w:lang w:val="en-GB"/>
        </w:rPr>
        <w:t>a completed Application for Correction of Certificate of Birth (DOH-297) signed by the applicant, indicating:</w:t>
      </w:r>
    </w:p>
    <w:p w:rsidR="003D52D7" w:rsidRPr="0028108F" w:rsidRDefault="003D52D7" w:rsidP="003D52D7">
      <w:pPr>
        <w:pStyle w:val="ListParagraph"/>
        <w:tabs>
          <w:tab w:val="left" w:pos="1418"/>
          <w:tab w:val="left" w:pos="1701"/>
        </w:tabs>
        <w:adjustRightInd w:val="0"/>
        <w:ind w:leftChars="295" w:left="1414" w:hangingChars="294" w:hanging="706"/>
        <w:jc w:val="both"/>
        <w:rPr>
          <w:rFonts w:ascii="Arial" w:hAnsi="Arial" w:cs="Arial"/>
          <w:szCs w:val="24"/>
          <w:lang w:val="en-GB"/>
        </w:rPr>
      </w:pPr>
    </w:p>
    <w:p w:rsidR="003D52D7" w:rsidRPr="0028108F" w:rsidRDefault="003D52D7" w:rsidP="003D52D7">
      <w:pPr>
        <w:pStyle w:val="ListParagraph"/>
        <w:numPr>
          <w:ilvl w:val="0"/>
          <w:numId w:val="25"/>
        </w:numPr>
        <w:tabs>
          <w:tab w:val="left" w:pos="2127"/>
        </w:tabs>
        <w:adjustRightInd w:val="0"/>
        <w:snapToGrid w:val="0"/>
        <w:ind w:leftChars="590" w:left="2126" w:hangingChars="296" w:hanging="710"/>
        <w:jc w:val="both"/>
        <w:rPr>
          <w:rFonts w:ascii="Arial" w:hAnsi="Arial" w:cs="Arial"/>
          <w:szCs w:val="24"/>
          <w:lang w:val="en-GB"/>
        </w:rPr>
      </w:pPr>
      <w:r w:rsidRPr="0028108F">
        <w:rPr>
          <w:rFonts w:ascii="Arial" w:hAnsi="Arial" w:cs="Arial"/>
          <w:szCs w:val="24"/>
          <w:lang w:val="en-GB"/>
        </w:rPr>
        <w:t>the applicant’s name, date of birth, parents’ names on existing birth certificate, and place of birth, and</w:t>
      </w:r>
    </w:p>
    <w:p w:rsidR="003D52D7" w:rsidRPr="0028108F" w:rsidRDefault="003D52D7" w:rsidP="003D52D7">
      <w:pPr>
        <w:pStyle w:val="ListParagraph"/>
        <w:tabs>
          <w:tab w:val="left" w:pos="1171"/>
          <w:tab w:val="left" w:pos="2127"/>
        </w:tabs>
        <w:adjustRightInd w:val="0"/>
        <w:ind w:leftChars="590" w:left="2126" w:hangingChars="296" w:hanging="710"/>
        <w:jc w:val="both"/>
        <w:rPr>
          <w:rFonts w:ascii="Arial" w:hAnsi="Arial" w:cs="Arial"/>
          <w:szCs w:val="24"/>
          <w:lang w:val="en-GB"/>
        </w:rPr>
      </w:pPr>
    </w:p>
    <w:p w:rsidR="003D52D7" w:rsidRPr="0028108F" w:rsidRDefault="003D52D7" w:rsidP="003D52D7">
      <w:pPr>
        <w:pStyle w:val="ListParagraph"/>
        <w:numPr>
          <w:ilvl w:val="0"/>
          <w:numId w:val="25"/>
        </w:numPr>
        <w:tabs>
          <w:tab w:val="left" w:pos="2127"/>
        </w:tabs>
        <w:adjustRightInd w:val="0"/>
        <w:snapToGrid w:val="0"/>
        <w:ind w:leftChars="590" w:left="2126" w:hangingChars="296" w:hanging="710"/>
        <w:jc w:val="both"/>
        <w:rPr>
          <w:rFonts w:ascii="Arial" w:hAnsi="Arial" w:cs="Arial"/>
          <w:szCs w:val="24"/>
          <w:lang w:val="en-GB"/>
        </w:rPr>
      </w:pPr>
      <w:r w:rsidRPr="0028108F">
        <w:rPr>
          <w:rFonts w:ascii="Arial" w:hAnsi="Arial" w:cs="Arial"/>
          <w:szCs w:val="24"/>
          <w:lang w:val="en-GB"/>
        </w:rPr>
        <w:t>the change being requested, including the corrected gender designation and, if applicable, name change.</w:t>
      </w:r>
    </w:p>
    <w:p w:rsidR="003D52D7" w:rsidRPr="0028108F" w:rsidRDefault="003D52D7" w:rsidP="00DF2E83">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3"/>
        </w:numPr>
        <w:tabs>
          <w:tab w:val="left" w:pos="1418"/>
        </w:tabs>
        <w:adjustRightInd w:val="0"/>
        <w:snapToGrid w:val="0"/>
        <w:ind w:leftChars="295" w:left="1414" w:hangingChars="294" w:hanging="706"/>
        <w:jc w:val="both"/>
        <w:rPr>
          <w:rFonts w:ascii="Arial" w:hAnsi="Arial" w:cs="Arial"/>
          <w:szCs w:val="24"/>
          <w:lang w:val="en-GB"/>
        </w:rPr>
      </w:pPr>
      <w:r w:rsidRPr="0028108F">
        <w:rPr>
          <w:rFonts w:ascii="Arial" w:hAnsi="Arial" w:cs="Arial"/>
          <w:szCs w:val="24"/>
          <w:lang w:val="en-GB"/>
        </w:rPr>
        <w:t>A certified copy of the applicant’s current birth certificate or a notarised affidavit from the applicant confirming that they are 18 years of age or older.  In each case they need to submit a Notarised Affidavit of Gender Error attesting that the applicant has been living in their correct gender immediately preceding the application.</w:t>
      </w:r>
    </w:p>
    <w:p w:rsidR="003D52D7" w:rsidRPr="0028108F" w:rsidRDefault="003D52D7" w:rsidP="00DF2E83">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adjustRightInd w:val="0"/>
        <w:snapToGrid w:val="0"/>
        <w:ind w:leftChars="295" w:left="1414" w:hangingChars="294" w:hanging="706"/>
        <w:jc w:val="both"/>
        <w:rPr>
          <w:rFonts w:ascii="Arial" w:hAnsi="Arial" w:cs="Arial"/>
          <w:szCs w:val="24"/>
          <w:lang w:val="en-GB"/>
        </w:rPr>
      </w:pPr>
      <w:r w:rsidRPr="0028108F">
        <w:rPr>
          <w:rFonts w:ascii="Arial" w:hAnsi="Arial" w:cs="Arial"/>
          <w:szCs w:val="24"/>
          <w:lang w:val="en-GB"/>
        </w:rPr>
        <w:tab/>
        <w:t>and either (c) or (d):</w:t>
      </w:r>
    </w:p>
    <w:p w:rsidR="003D52D7" w:rsidRPr="0028108F" w:rsidRDefault="003D52D7" w:rsidP="003D52D7">
      <w:pPr>
        <w:tabs>
          <w:tab w:val="left" w:pos="746"/>
          <w:tab w:val="left" w:pos="1418"/>
        </w:tabs>
        <w:adjustRightInd w:val="0"/>
        <w:snapToGrid w:val="0"/>
        <w:ind w:leftChars="295" w:left="1414" w:hangingChars="294" w:hanging="706"/>
        <w:jc w:val="both"/>
        <w:rPr>
          <w:rFonts w:ascii="Arial" w:hAnsi="Arial" w:cs="Arial"/>
          <w:szCs w:val="24"/>
          <w:lang w:val="en-GB"/>
        </w:rPr>
      </w:pPr>
    </w:p>
    <w:p w:rsidR="003D52D7" w:rsidRPr="0028108F" w:rsidRDefault="003D52D7" w:rsidP="003D52D7">
      <w:pPr>
        <w:pStyle w:val="ListParagraph"/>
        <w:numPr>
          <w:ilvl w:val="0"/>
          <w:numId w:val="23"/>
        </w:numPr>
        <w:tabs>
          <w:tab w:val="left" w:pos="1418"/>
        </w:tabs>
        <w:adjustRightInd w:val="0"/>
        <w:snapToGrid w:val="0"/>
        <w:ind w:leftChars="295" w:left="1414" w:hangingChars="294" w:hanging="706"/>
        <w:jc w:val="both"/>
        <w:rPr>
          <w:rFonts w:ascii="Arial" w:hAnsi="Arial" w:cs="Arial"/>
          <w:szCs w:val="24"/>
          <w:lang w:val="en-GB"/>
        </w:rPr>
      </w:pPr>
      <w:r w:rsidRPr="0028108F">
        <w:rPr>
          <w:rFonts w:ascii="Arial" w:hAnsi="Arial" w:cs="Arial"/>
          <w:szCs w:val="24"/>
          <w:lang w:val="en-GB"/>
        </w:rPr>
        <w:t>A notarised affidavit from a physician or nurse practitioner or physician assistant, confirming that surgical procedures have been performed on the applicant to complete sex reassignment.</w:t>
      </w:r>
    </w:p>
    <w:p w:rsidR="003D52D7" w:rsidRPr="0028108F" w:rsidRDefault="003D52D7" w:rsidP="00DF2E83">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3"/>
        </w:numPr>
        <w:tabs>
          <w:tab w:val="left" w:pos="1418"/>
        </w:tabs>
        <w:adjustRightInd w:val="0"/>
        <w:snapToGrid w:val="0"/>
        <w:ind w:leftChars="295" w:left="1414" w:hangingChars="294" w:hanging="706"/>
        <w:jc w:val="both"/>
        <w:rPr>
          <w:rFonts w:ascii="Arial" w:hAnsi="Arial" w:cs="Arial"/>
          <w:szCs w:val="24"/>
          <w:lang w:val="en-GB"/>
        </w:rPr>
      </w:pPr>
      <w:r w:rsidRPr="0028108F">
        <w:rPr>
          <w:rFonts w:ascii="Arial" w:hAnsi="Arial" w:cs="Arial"/>
          <w:szCs w:val="24"/>
          <w:lang w:val="en-GB"/>
        </w:rPr>
        <w:t>A notarised affidavit on professional letterhead from a physician or nurse practitioner or physician assistant, licensed in the U</w:t>
      </w:r>
      <w:r w:rsidR="00BF0226" w:rsidRPr="0028108F">
        <w:rPr>
          <w:rFonts w:ascii="Arial" w:hAnsi="Arial" w:cs="Arial"/>
          <w:szCs w:val="24"/>
          <w:lang w:val="en-GB"/>
        </w:rPr>
        <w:t>S</w:t>
      </w:r>
      <w:r w:rsidRPr="0028108F">
        <w:rPr>
          <w:rFonts w:ascii="Arial" w:hAnsi="Arial" w:cs="Arial"/>
          <w:szCs w:val="24"/>
          <w:lang w:val="en-GB"/>
        </w:rPr>
        <w:t xml:space="preserve"> that have treated, or reviewed and evaluated, the gender-related medical history of the applicant.  The notarised affidavit must include a statement noting that the provider is making his/her findings upon independent and unbiased review and evaluation and is not related to the applicant. The letter must include:</w:t>
      </w:r>
    </w:p>
    <w:p w:rsidR="003D52D7" w:rsidRPr="0028108F" w:rsidRDefault="003D52D7" w:rsidP="00DF2E83">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4"/>
        </w:numPr>
        <w:tabs>
          <w:tab w:val="left" w:pos="1276"/>
          <w:tab w:val="left" w:pos="2127"/>
        </w:tabs>
        <w:adjustRightInd w:val="0"/>
        <w:snapToGrid w:val="0"/>
        <w:ind w:leftChars="590" w:left="2124" w:hangingChars="295" w:hanging="708"/>
        <w:jc w:val="both"/>
        <w:rPr>
          <w:rFonts w:ascii="Arial" w:hAnsi="Arial" w:cs="Arial"/>
          <w:szCs w:val="24"/>
          <w:lang w:val="en-GB"/>
        </w:rPr>
      </w:pPr>
      <w:r w:rsidRPr="0028108F">
        <w:rPr>
          <w:rFonts w:ascii="Arial" w:hAnsi="Arial" w:cs="Arial"/>
          <w:szCs w:val="24"/>
          <w:lang w:val="en-GB"/>
        </w:rPr>
        <w:t>the physician or nurse practitioner or physician assistant’s license number; and</w:t>
      </w:r>
    </w:p>
    <w:p w:rsidR="003D52D7" w:rsidRPr="0028108F" w:rsidRDefault="003D52D7" w:rsidP="00DF2E83">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4"/>
        </w:numPr>
        <w:tabs>
          <w:tab w:val="left" w:pos="1276"/>
          <w:tab w:val="left" w:pos="2127"/>
        </w:tabs>
        <w:adjustRightInd w:val="0"/>
        <w:snapToGrid w:val="0"/>
        <w:ind w:leftChars="590" w:left="2124" w:hangingChars="295" w:hanging="708"/>
        <w:jc w:val="both"/>
        <w:rPr>
          <w:rFonts w:ascii="Arial" w:hAnsi="Arial" w:cs="Arial"/>
          <w:szCs w:val="24"/>
          <w:lang w:val="en-GB"/>
        </w:rPr>
      </w:pPr>
      <w:r w:rsidRPr="0028108F">
        <w:rPr>
          <w:rFonts w:ascii="Arial" w:hAnsi="Arial" w:cs="Arial"/>
          <w:szCs w:val="24"/>
          <w:lang w:val="en-GB"/>
        </w:rPr>
        <w:t xml:space="preserve">language stating that the applicant has undergone </w:t>
      </w:r>
      <w:r w:rsidRPr="0028108F">
        <w:rPr>
          <w:rFonts w:ascii="Arial" w:hAnsi="Arial" w:cs="Arial"/>
          <w:i/>
          <w:szCs w:val="24"/>
          <w:lang w:val="en-GB"/>
        </w:rPr>
        <w:t xml:space="preserve">appropriate clinical treatment </w:t>
      </w:r>
      <w:r w:rsidRPr="0028108F">
        <w:rPr>
          <w:rFonts w:ascii="Arial" w:hAnsi="Arial" w:cs="Arial"/>
          <w:szCs w:val="24"/>
          <w:lang w:val="en-GB"/>
        </w:rPr>
        <w:t xml:space="preserve">for a person diagnosed with </w:t>
      </w:r>
      <w:r w:rsidRPr="0028108F">
        <w:rPr>
          <w:rFonts w:ascii="Arial" w:hAnsi="Arial" w:cs="Arial"/>
          <w:i/>
          <w:szCs w:val="24"/>
          <w:lang w:val="en-GB"/>
        </w:rPr>
        <w:t>Gender Dysphoria</w:t>
      </w:r>
      <w:r w:rsidRPr="0028108F">
        <w:rPr>
          <w:rFonts w:ascii="Arial" w:hAnsi="Arial" w:cs="Arial"/>
          <w:szCs w:val="24"/>
          <w:lang w:val="en-GB"/>
        </w:rPr>
        <w:t xml:space="preserve"> as defined in the most current edition of the Diagnostic and Statistical Manual of Mental Disorders </w:t>
      </w:r>
      <w:r w:rsidRPr="0028108F">
        <w:rPr>
          <w:rFonts w:ascii="Arial" w:hAnsi="Arial" w:cs="Arial"/>
          <w:i/>
          <w:szCs w:val="24"/>
          <w:lang w:val="en-GB"/>
        </w:rPr>
        <w:t>or</w:t>
      </w:r>
      <w:r w:rsidRPr="0028108F">
        <w:rPr>
          <w:rFonts w:ascii="Arial" w:hAnsi="Arial" w:cs="Arial"/>
          <w:szCs w:val="24"/>
          <w:lang w:val="en-GB"/>
        </w:rPr>
        <w:t xml:space="preserve"> language stating that the applicant has undergone </w:t>
      </w:r>
      <w:r w:rsidRPr="0028108F">
        <w:rPr>
          <w:rFonts w:ascii="Arial" w:hAnsi="Arial" w:cs="Arial"/>
          <w:i/>
          <w:szCs w:val="24"/>
          <w:lang w:val="en-GB"/>
        </w:rPr>
        <w:t>appropriate clinical treatment</w:t>
      </w:r>
      <w:r w:rsidRPr="0028108F">
        <w:rPr>
          <w:rFonts w:ascii="Arial" w:hAnsi="Arial" w:cs="Arial"/>
          <w:szCs w:val="24"/>
          <w:lang w:val="en-GB"/>
        </w:rPr>
        <w:t xml:space="preserve"> for a person diagnosed with </w:t>
      </w:r>
      <w:r w:rsidRPr="0028108F">
        <w:rPr>
          <w:rFonts w:ascii="Arial" w:hAnsi="Arial" w:cs="Arial"/>
          <w:i/>
          <w:szCs w:val="24"/>
          <w:lang w:val="en-GB"/>
        </w:rPr>
        <w:t>Transsexualism</w:t>
      </w:r>
      <w:r w:rsidRPr="0028108F">
        <w:rPr>
          <w:rFonts w:ascii="Arial" w:hAnsi="Arial" w:cs="Arial"/>
          <w:szCs w:val="24"/>
          <w:lang w:val="en-GB"/>
        </w:rPr>
        <w:t xml:space="preserve"> as defined in the most current edition of International Statistical Classification of Diseases and Related Health Problems; or as these diagnoses may be referred to in future editions </w:t>
      </w:r>
      <w:r w:rsidRPr="0028108F">
        <w:rPr>
          <w:rFonts w:ascii="Arial" w:hAnsi="Arial" w:cs="Arial"/>
          <w:i/>
          <w:szCs w:val="24"/>
          <w:lang w:val="en-GB"/>
        </w:rPr>
        <w:t>(emphasis added)</w:t>
      </w:r>
      <w:r w:rsidRPr="0028108F">
        <w:rPr>
          <w:rFonts w:ascii="Arial" w:hAnsi="Arial" w:cs="Arial"/>
          <w:szCs w:val="24"/>
          <w:lang w:val="en-GB"/>
        </w:rPr>
        <w:t>.</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i/>
          <w:szCs w:val="24"/>
          <w:lang w:val="en-GB"/>
        </w:rPr>
      </w:pPr>
      <w:r w:rsidRPr="0028108F">
        <w:rPr>
          <w:rFonts w:ascii="Arial" w:hAnsi="Arial" w:cs="Arial"/>
          <w:szCs w:val="24"/>
          <w:lang w:val="en-GB"/>
        </w:rPr>
        <w:t>The guidelines also provide that all documentation submitted would be delivered to the Department’s legal and medical staff for review.  Processing takes approximately 3 months.  In order to change the name on a birth certificate, a certified copy of a court order is required by section 4138 of the public Health Law.</w:t>
      </w:r>
    </w:p>
    <w:p w:rsidR="003D52D7" w:rsidRPr="0028108F" w:rsidRDefault="003D52D7" w:rsidP="003D52D7">
      <w:pPr>
        <w:pStyle w:val="ListParagraph"/>
        <w:widowControl/>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Medical treatment requirements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It is specifically noted in the guidelines that, in reviewing an application, the Department shall not require proof of any particular treatment or request any documents other than those listed above.</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Requirements relating to pre-existing marriage</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C57CE1"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As same-sex marriage has been legally allowed in New York State since 24 July 2011 when the Marriage Equality Act took effect,</w:t>
      </w:r>
      <w:r w:rsidRPr="00181CF2">
        <w:rPr>
          <w:rStyle w:val="FootnoteReference"/>
          <w:rFonts w:ascii="Arial" w:hAnsi="Arial" w:cs="Arial"/>
          <w:szCs w:val="24"/>
          <w:lang w:val="en-GB"/>
        </w:rPr>
        <w:footnoteReference w:id="364"/>
      </w:r>
      <w:r w:rsidRPr="00181CF2">
        <w:rPr>
          <w:rFonts w:ascii="Arial" w:hAnsi="Arial" w:cs="Arial"/>
          <w:szCs w:val="24"/>
          <w:lang w:val="en-GB"/>
        </w:rPr>
        <w:t xml:space="preserve"> it is likely that an applicant for corrections to the gender marker on his or her birth certificate does not have to be unmarried, or a marriage involving him o</w:t>
      </w:r>
      <w:r w:rsidRPr="00C57CE1">
        <w:rPr>
          <w:rFonts w:ascii="Arial" w:hAnsi="Arial" w:cs="Arial"/>
          <w:szCs w:val="24"/>
          <w:lang w:val="en-GB"/>
        </w:rPr>
        <w:t>r her does not need to be annulled upon recognition pursuant to the guidelines.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guidelines also provide that upon a successful application, the Department will issue a new birth certificate reflecting the requested changes of gender marker and name (if applicable), and the new certificate will not indicate that there was a change in the original sex or name, as the case may be.  Presumably, this ensures that the gender change under this scheme is recognised for all legal purposes. </w:t>
      </w: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Confidentiality is further assured under the new guidelines, which direct that: (a) the original certificate and all other documents relating to the changes should be retained in a sealed file, (b) the new certificate will substitute the old one in the file of the local registry, (c) the registrar shall hold the contents of the original local record confidential, and (d) the original state record and the local record will not be released or otherwise divulged except by order of a court of competent jurisdiction.</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 xml:space="preserve">Canada </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Types of measures allowing rectification of official documents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laws governing corrections to gender markers on birth certificates in all the 10 provinces and one territory of Canada examined in this paper are based on their respective Vital Statistics Act, or Civil Code (in Québec)</w:t>
      </w:r>
      <w:r w:rsidR="00CC54ED" w:rsidRPr="0028108F">
        <w:rPr>
          <w:rFonts w:ascii="Arial" w:hAnsi="Arial" w:cs="Arial"/>
          <w:szCs w:val="24"/>
          <w:lang w:val="en-GB"/>
        </w:rPr>
        <w:t xml:space="preserve"> as amended from time to time</w:t>
      </w:r>
      <w:r w:rsidRPr="0028108F">
        <w:rPr>
          <w:rFonts w:ascii="Arial" w:hAnsi="Arial" w:cs="Arial"/>
          <w:szCs w:val="24"/>
          <w:lang w:val="en-GB"/>
        </w:rPr>
        <w:t>.</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Authority to determine applications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authority to determine applications in each Province is,</w:t>
      </w:r>
      <w:r w:rsidR="008D09C8" w:rsidRPr="0028108F">
        <w:rPr>
          <w:rFonts w:ascii="Arial" w:hAnsi="Arial" w:cs="Arial"/>
          <w:szCs w:val="24"/>
          <w:lang w:val="en-GB"/>
        </w:rPr>
        <w:t xml:space="preserve"> </w:t>
      </w:r>
      <w:r w:rsidR="005D4185" w:rsidRPr="0028108F">
        <w:rPr>
          <w:rFonts w:ascii="Arial" w:hAnsi="Arial" w:cs="Arial"/>
          <w:szCs w:val="24"/>
          <w:lang w:val="en-GB"/>
        </w:rPr>
        <w:t>uniformly</w:t>
      </w:r>
      <w:r w:rsidRPr="0028108F">
        <w:rPr>
          <w:rFonts w:ascii="Arial" w:hAnsi="Arial" w:cs="Arial"/>
          <w:szCs w:val="24"/>
          <w:lang w:val="en-GB"/>
        </w:rPr>
        <w:t>, the local registrar of vital statistics or similar agency.  No expert panel or committee is set up in any province.</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Sex or gender reassignment surgery/procedure requirements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All the 11 jurisdictions have had legislative reforms on gender marker corrections in the past few years.  Following this, the previous requirements for </w:t>
      </w:r>
      <w:r w:rsidR="00153A58" w:rsidRPr="0028108F">
        <w:rPr>
          <w:rFonts w:ascii="Arial" w:hAnsi="Arial" w:cs="Arial"/>
          <w:szCs w:val="24"/>
          <w:lang w:val="en-GB"/>
        </w:rPr>
        <w:t xml:space="preserve">SRS </w:t>
      </w:r>
      <w:r w:rsidRPr="0028108F">
        <w:rPr>
          <w:rFonts w:ascii="Arial" w:hAnsi="Arial" w:cs="Arial"/>
          <w:szCs w:val="24"/>
          <w:lang w:val="en-GB"/>
        </w:rPr>
        <w:t xml:space="preserve">and sterilisation were abolished in </w:t>
      </w:r>
      <w:r w:rsidR="00636244" w:rsidRPr="0028108F">
        <w:rPr>
          <w:rFonts w:ascii="Arial" w:hAnsi="Arial" w:cs="Arial"/>
          <w:szCs w:val="24"/>
          <w:lang w:val="en-GB"/>
        </w:rPr>
        <w:t xml:space="preserve">nine </w:t>
      </w:r>
      <w:r w:rsidRPr="0028108F">
        <w:rPr>
          <w:rFonts w:ascii="Arial" w:hAnsi="Arial" w:cs="Arial"/>
          <w:szCs w:val="24"/>
          <w:lang w:val="en-GB"/>
        </w:rPr>
        <w:t>jurisdictions: Alberta, British Columbia, Manitoba</w:t>
      </w:r>
      <w:r w:rsidR="00B37B63" w:rsidRPr="0028108F">
        <w:rPr>
          <w:rFonts w:ascii="Arial" w:hAnsi="Arial" w:cs="Arial"/>
          <w:szCs w:val="24"/>
          <w:lang w:val="en-GB"/>
        </w:rPr>
        <w:t>, Newfoundland and</w:t>
      </w:r>
      <w:r w:rsidRPr="0028108F">
        <w:rPr>
          <w:rFonts w:ascii="Arial" w:hAnsi="Arial" w:cs="Arial"/>
          <w:szCs w:val="24"/>
          <w:lang w:val="en-GB"/>
        </w:rPr>
        <w:t xml:space="preserve"> </w:t>
      </w:r>
      <w:r w:rsidR="00B37B63" w:rsidRPr="0028108F">
        <w:rPr>
          <w:rFonts w:ascii="Arial" w:hAnsi="Arial" w:cs="Arial"/>
          <w:szCs w:val="24"/>
          <w:lang w:val="en-GB"/>
        </w:rPr>
        <w:t xml:space="preserve">Labrador, Nova Scotia, </w:t>
      </w:r>
      <w:r w:rsidRPr="0028108F">
        <w:rPr>
          <w:rFonts w:ascii="Arial" w:hAnsi="Arial" w:cs="Arial"/>
          <w:szCs w:val="24"/>
          <w:lang w:val="en-GB"/>
        </w:rPr>
        <w:t>Ontario</w:t>
      </w:r>
      <w:r w:rsidR="00B37B63" w:rsidRPr="0028108F">
        <w:rPr>
          <w:rFonts w:ascii="Arial" w:hAnsi="Arial" w:cs="Arial"/>
          <w:szCs w:val="24"/>
          <w:lang w:val="en-GB"/>
        </w:rPr>
        <w:t>, Prince Edward Island, Quebec, and Saskatchewan</w:t>
      </w:r>
      <w:r w:rsidRPr="0028108F">
        <w:rPr>
          <w:rFonts w:ascii="Arial" w:hAnsi="Arial" w:cs="Arial"/>
          <w:szCs w:val="24"/>
          <w:lang w:val="en-GB"/>
        </w:rPr>
        <w:t>.  In the case of Alberta and Ontario, this originated from court decisions</w:t>
      </w:r>
      <w:r w:rsidR="009A0F27" w:rsidRPr="0028108F">
        <w:rPr>
          <w:rFonts w:ascii="Arial" w:hAnsi="Arial" w:cs="Arial"/>
          <w:szCs w:val="24"/>
          <w:lang w:val="en-GB"/>
        </w:rPr>
        <w:t>.</w:t>
      </w:r>
      <w:r w:rsidRPr="0028108F">
        <w:rPr>
          <w:rStyle w:val="FootnoteReference"/>
          <w:rFonts w:ascii="Arial" w:hAnsi="Arial" w:cs="Arial"/>
          <w:szCs w:val="24"/>
          <w:lang w:val="en-GB"/>
        </w:rPr>
        <w:footnoteReference w:id="365"/>
      </w:r>
      <w:r w:rsidRPr="0028108F">
        <w:rPr>
          <w:rFonts w:ascii="Arial" w:hAnsi="Arial" w:cs="Arial"/>
          <w:szCs w:val="24"/>
          <w:lang w:val="en-GB"/>
        </w:rPr>
        <w:t xml:space="preserve"> </w:t>
      </w:r>
      <w:r w:rsidR="009A0F27" w:rsidRPr="0028108F">
        <w:rPr>
          <w:rFonts w:ascii="Arial" w:hAnsi="Arial" w:cs="Arial"/>
          <w:szCs w:val="24"/>
          <w:lang w:val="en-GB"/>
        </w:rPr>
        <w:t xml:space="preserve"> T</w:t>
      </w:r>
      <w:r w:rsidRPr="0028108F">
        <w:rPr>
          <w:rFonts w:ascii="Arial" w:hAnsi="Arial" w:cs="Arial"/>
          <w:szCs w:val="24"/>
          <w:lang w:val="en-GB"/>
        </w:rPr>
        <w:t>he legislative amendment in Alberta</w:t>
      </w:r>
      <w:r w:rsidRPr="0028108F">
        <w:rPr>
          <w:rStyle w:val="FootnoteReference"/>
          <w:rFonts w:ascii="Arial" w:hAnsi="Arial" w:cs="Arial"/>
          <w:szCs w:val="24"/>
          <w:lang w:val="en-GB"/>
        </w:rPr>
        <w:footnoteReference w:id="366"/>
      </w:r>
      <w:r w:rsidRPr="0028108F">
        <w:rPr>
          <w:rFonts w:ascii="Arial" w:hAnsi="Arial" w:cs="Arial"/>
          <w:szCs w:val="24"/>
          <w:lang w:val="en-GB"/>
        </w:rPr>
        <w:t xml:space="preserve"> did not directly follow the related court ruling to </w:t>
      </w:r>
      <w:r w:rsidR="009A0F27" w:rsidRPr="0028108F">
        <w:rPr>
          <w:rFonts w:ascii="Arial" w:hAnsi="Arial" w:cs="Arial"/>
          <w:szCs w:val="24"/>
          <w:lang w:val="en-GB"/>
        </w:rPr>
        <w:t xml:space="preserve">express </w:t>
      </w:r>
      <w:r w:rsidRPr="0028108F">
        <w:rPr>
          <w:rFonts w:ascii="Arial" w:hAnsi="Arial" w:cs="Arial"/>
          <w:szCs w:val="24"/>
          <w:lang w:val="en-GB"/>
        </w:rPr>
        <w:t xml:space="preserve">that proof of surgery was no longer required.  Instead, the statute included a new proviso relating to gender change, which stated, </w:t>
      </w:r>
      <w:r w:rsidRPr="0028108F">
        <w:rPr>
          <w:rFonts w:ascii="Arial" w:hAnsi="Arial" w:cs="Arial"/>
          <w:i/>
          <w:szCs w:val="24"/>
          <w:lang w:val="en-GB"/>
        </w:rPr>
        <w:t>“[amendment of the sex on a person’s record of birth may be allowed] in a circumstance provided for in the regulations and subject to any conditions in the regulations.”</w:t>
      </w:r>
      <w:r w:rsidRPr="0028108F">
        <w:rPr>
          <w:rFonts w:ascii="Arial" w:hAnsi="Arial" w:cs="Arial"/>
          <w:szCs w:val="24"/>
          <w:lang w:val="en-GB"/>
        </w:rPr>
        <w:t xml:space="preserve">  </w:t>
      </w:r>
      <w:r w:rsidR="009A0F27" w:rsidRPr="0028108F">
        <w:rPr>
          <w:rFonts w:ascii="Arial" w:hAnsi="Arial" w:cs="Arial"/>
          <w:szCs w:val="24"/>
          <w:lang w:val="en-GB"/>
        </w:rPr>
        <w:t xml:space="preserve">The related regulations </w:t>
      </w:r>
      <w:r w:rsidR="00FC20D3" w:rsidRPr="0028108F">
        <w:rPr>
          <w:rFonts w:ascii="Arial" w:hAnsi="Arial" w:cs="Arial"/>
          <w:szCs w:val="24"/>
          <w:lang w:val="en-GB"/>
        </w:rPr>
        <w:t xml:space="preserve">require, </w:t>
      </w:r>
      <w:r w:rsidR="00FC20D3" w:rsidRPr="0028108F">
        <w:rPr>
          <w:rFonts w:ascii="Arial" w:hAnsi="Arial" w:cs="Arial"/>
          <w:i/>
          <w:szCs w:val="24"/>
          <w:lang w:val="en-GB"/>
        </w:rPr>
        <w:t>inter alia</w:t>
      </w:r>
      <w:r w:rsidR="00FC20D3" w:rsidRPr="0028108F">
        <w:rPr>
          <w:rFonts w:ascii="Arial" w:hAnsi="Arial" w:cs="Arial"/>
          <w:szCs w:val="24"/>
          <w:lang w:val="en-GB"/>
        </w:rPr>
        <w:t>, medical confirmation that the applicant “</w:t>
      </w:r>
      <w:r w:rsidR="00FC20D3" w:rsidRPr="0028108F">
        <w:rPr>
          <w:rFonts w:ascii="Arial" w:hAnsi="Arial" w:cs="Arial"/>
          <w:i/>
          <w:szCs w:val="24"/>
          <w:lang w:val="en-GB"/>
        </w:rPr>
        <w:t>identifies with and is maintaining the gender identity that corresponds with the requested amendment to the sex on the record of birth</w:t>
      </w:r>
      <w:r w:rsidR="00FC20D3" w:rsidRPr="00181CF2">
        <w:rPr>
          <w:rFonts w:ascii="Arial" w:hAnsi="Arial" w:cs="Arial"/>
          <w:szCs w:val="24"/>
          <w:lang w:val="en-GB"/>
        </w:rPr>
        <w:t>.”</w:t>
      </w:r>
      <w:r w:rsidR="00FC20D3" w:rsidRPr="00C57CE1">
        <w:rPr>
          <w:rStyle w:val="FootnoteReference"/>
          <w:rFonts w:ascii="Arial" w:hAnsi="Arial" w:cs="Arial"/>
          <w:szCs w:val="24"/>
          <w:lang w:val="en-GB"/>
        </w:rPr>
        <w:footnoteReference w:id="367"/>
      </w:r>
      <w:r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2254C3"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Pr>
          <w:rFonts w:ascii="Arial" w:hAnsi="Arial" w:cs="Arial" w:hint="eastAsia"/>
          <w:szCs w:val="24"/>
          <w:lang w:val="en-GB"/>
        </w:rPr>
        <w:t>Two</w:t>
      </w:r>
      <w:r w:rsidRPr="0028108F">
        <w:rPr>
          <w:rFonts w:ascii="Arial" w:hAnsi="Arial" w:cs="Arial"/>
          <w:szCs w:val="24"/>
          <w:lang w:val="en-GB"/>
        </w:rPr>
        <w:t xml:space="preserve"> </w:t>
      </w:r>
      <w:r w:rsidR="003D52D7" w:rsidRPr="0028108F">
        <w:rPr>
          <w:rFonts w:ascii="Arial" w:hAnsi="Arial" w:cs="Arial"/>
          <w:szCs w:val="24"/>
          <w:lang w:val="en-GB"/>
        </w:rPr>
        <w:t xml:space="preserve">jurisdictions in Canada </w:t>
      </w:r>
      <w:r w:rsidR="004C3395" w:rsidRPr="0028108F">
        <w:rPr>
          <w:rFonts w:ascii="Arial" w:hAnsi="Arial" w:cs="Arial"/>
          <w:szCs w:val="24"/>
          <w:lang w:val="en-GB"/>
        </w:rPr>
        <w:t>have</w:t>
      </w:r>
      <w:r w:rsidR="003D52D7" w:rsidRPr="0028108F">
        <w:rPr>
          <w:rFonts w:ascii="Arial" w:hAnsi="Arial" w:cs="Arial"/>
          <w:szCs w:val="24"/>
          <w:lang w:val="en-GB"/>
        </w:rPr>
        <w:t xml:space="preserve"> surgical requirements, </w:t>
      </w:r>
      <w:r w:rsidR="00BC2646" w:rsidRPr="0028108F">
        <w:rPr>
          <w:rFonts w:ascii="Arial" w:hAnsi="Arial" w:cs="Arial"/>
          <w:szCs w:val="24"/>
          <w:lang w:val="en-GB"/>
        </w:rPr>
        <w:t>namely</w:t>
      </w:r>
      <w:r w:rsidR="00A76ECB" w:rsidRPr="0028108F">
        <w:rPr>
          <w:rFonts w:ascii="Arial" w:hAnsi="Arial" w:cs="Arial"/>
          <w:szCs w:val="24"/>
          <w:lang w:val="en-GB"/>
        </w:rPr>
        <w:t xml:space="preserve">, </w:t>
      </w:r>
      <w:r w:rsidR="00BC2646" w:rsidRPr="0028108F">
        <w:rPr>
          <w:rFonts w:ascii="Arial" w:hAnsi="Arial" w:cs="Arial"/>
          <w:szCs w:val="24"/>
          <w:lang w:val="en-GB"/>
        </w:rPr>
        <w:t>New Brunswick</w:t>
      </w:r>
      <w:r w:rsidR="003D52D7" w:rsidRPr="0028108F">
        <w:rPr>
          <w:rFonts w:ascii="Arial" w:hAnsi="Arial" w:cs="Arial"/>
          <w:szCs w:val="24"/>
          <w:lang w:val="en-GB"/>
        </w:rPr>
        <w:t xml:space="preserve"> </w:t>
      </w:r>
      <w:r w:rsidR="00BC2646" w:rsidRPr="0028108F">
        <w:rPr>
          <w:rFonts w:ascii="Arial" w:hAnsi="Arial" w:cs="Arial"/>
          <w:szCs w:val="24"/>
          <w:lang w:val="en-GB"/>
        </w:rPr>
        <w:t xml:space="preserve">(which requires </w:t>
      </w:r>
      <w:r w:rsidR="003D52D7" w:rsidRPr="0028108F">
        <w:rPr>
          <w:rFonts w:ascii="Arial" w:hAnsi="Arial" w:cs="Arial"/>
          <w:i/>
          <w:szCs w:val="24"/>
          <w:lang w:val="en-GB"/>
        </w:rPr>
        <w:t>“transsexual surgery”</w:t>
      </w:r>
      <w:r w:rsidR="00BC2646" w:rsidRPr="0028108F">
        <w:rPr>
          <w:rFonts w:ascii="Arial" w:hAnsi="Arial" w:cs="Arial"/>
          <w:szCs w:val="24"/>
          <w:lang w:val="en-GB"/>
        </w:rPr>
        <w:t>)</w:t>
      </w:r>
      <w:r w:rsidR="003D52D7" w:rsidRPr="0028108F">
        <w:rPr>
          <w:rFonts w:ascii="Arial" w:hAnsi="Arial" w:cs="Arial"/>
          <w:szCs w:val="24"/>
          <w:lang w:val="en-GB"/>
        </w:rPr>
        <w:t xml:space="preserve"> </w:t>
      </w:r>
      <w:r w:rsidR="00BC2646" w:rsidRPr="0028108F">
        <w:rPr>
          <w:rFonts w:ascii="Arial" w:hAnsi="Arial" w:cs="Arial"/>
          <w:szCs w:val="24"/>
          <w:lang w:val="en-GB"/>
        </w:rPr>
        <w:t xml:space="preserve">and Yukon Territory (which requires a </w:t>
      </w:r>
      <w:r w:rsidR="003D52D7" w:rsidRPr="0028108F">
        <w:rPr>
          <w:rFonts w:ascii="Arial" w:hAnsi="Arial" w:cs="Arial"/>
          <w:i/>
          <w:szCs w:val="24"/>
          <w:lang w:val="en-GB"/>
        </w:rPr>
        <w:t>“change of the anatomical sex structure”</w:t>
      </w:r>
      <w:r w:rsidR="00BC2646" w:rsidRPr="0028108F">
        <w:rPr>
          <w:rFonts w:ascii="Arial" w:hAnsi="Arial" w:cs="Arial"/>
          <w:szCs w:val="24"/>
          <w:lang w:val="en-GB"/>
        </w:rPr>
        <w:t>)</w:t>
      </w:r>
      <w:r w:rsidR="004C3395" w:rsidRPr="0028108F">
        <w:rPr>
          <w:rFonts w:ascii="Arial" w:hAnsi="Arial" w:cs="Arial"/>
          <w:szCs w:val="24"/>
          <w:lang w:val="en-GB"/>
        </w:rPr>
        <w:t>,</w:t>
      </w:r>
      <w:r w:rsidR="00A76ECB" w:rsidRPr="0028108F">
        <w:rPr>
          <w:rFonts w:ascii="Arial" w:hAnsi="Arial" w:cs="Arial"/>
          <w:szCs w:val="24"/>
          <w:lang w:val="en-GB"/>
        </w:rPr>
        <w:t xml:space="preserve"> and </w:t>
      </w:r>
      <w:r w:rsidR="003D52D7" w:rsidRPr="0028108F">
        <w:rPr>
          <w:rFonts w:ascii="Arial" w:hAnsi="Arial" w:cs="Arial"/>
          <w:szCs w:val="24"/>
          <w:lang w:val="en-GB"/>
        </w:rPr>
        <w:t>in each case to be verified by medical practitioners.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Medical diagnosis and “</w:t>
      </w:r>
      <w:r w:rsidR="00043FD0" w:rsidRPr="0028108F">
        <w:rPr>
          <w:rFonts w:ascii="Arial" w:hAnsi="Arial" w:cs="Arial"/>
          <w:i/>
          <w:szCs w:val="24"/>
          <w:lang w:val="en-GB"/>
        </w:rPr>
        <w:t>real life test</w:t>
      </w:r>
      <w:r w:rsidRPr="0028108F">
        <w:rPr>
          <w:rFonts w:ascii="Arial" w:hAnsi="Arial" w:cs="Arial"/>
          <w:i/>
          <w:szCs w:val="24"/>
          <w:lang w:val="en-GB"/>
        </w:rPr>
        <w:t>” requirements</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 medical diagnosis is currently required in </w:t>
      </w:r>
      <w:r w:rsidR="00E7513F" w:rsidRPr="0028108F">
        <w:rPr>
          <w:rFonts w:ascii="Arial" w:hAnsi="Arial" w:cs="Arial"/>
          <w:szCs w:val="24"/>
          <w:lang w:val="en-GB"/>
        </w:rPr>
        <w:t xml:space="preserve">eight </w:t>
      </w:r>
      <w:r w:rsidRPr="0028108F">
        <w:rPr>
          <w:rFonts w:ascii="Arial" w:hAnsi="Arial" w:cs="Arial"/>
          <w:szCs w:val="24"/>
          <w:lang w:val="en-GB"/>
        </w:rPr>
        <w:t xml:space="preserve">jurisdictions, namely </w:t>
      </w:r>
      <w:r w:rsidR="00D96C05" w:rsidRPr="0028108F">
        <w:rPr>
          <w:rFonts w:ascii="Arial" w:hAnsi="Arial" w:cs="Arial"/>
          <w:szCs w:val="24"/>
          <w:lang w:val="en-GB"/>
        </w:rPr>
        <w:t xml:space="preserve">Alberta, </w:t>
      </w:r>
      <w:r w:rsidRPr="0028108F">
        <w:rPr>
          <w:rFonts w:ascii="Arial" w:hAnsi="Arial" w:cs="Arial"/>
          <w:szCs w:val="24"/>
          <w:lang w:val="en-GB"/>
        </w:rPr>
        <w:t>British Columbia, Manitoba</w:t>
      </w:r>
      <w:r w:rsidR="00D96C05" w:rsidRPr="0028108F">
        <w:rPr>
          <w:rFonts w:ascii="Arial" w:hAnsi="Arial" w:cs="Arial"/>
          <w:szCs w:val="24"/>
          <w:lang w:val="en-GB"/>
        </w:rPr>
        <w:t>, Newfoundland and Labrador,</w:t>
      </w:r>
      <w:r w:rsidRPr="0028108F">
        <w:rPr>
          <w:rFonts w:ascii="Arial" w:hAnsi="Arial" w:cs="Arial"/>
          <w:szCs w:val="24"/>
          <w:lang w:val="en-GB"/>
        </w:rPr>
        <w:t xml:space="preserve"> </w:t>
      </w:r>
      <w:r w:rsidR="00AA79F1" w:rsidRPr="0028108F">
        <w:rPr>
          <w:rFonts w:ascii="Arial" w:hAnsi="Arial" w:cs="Arial"/>
          <w:szCs w:val="24"/>
          <w:lang w:val="en-GB"/>
        </w:rPr>
        <w:t xml:space="preserve">Nova Scotia, </w:t>
      </w:r>
      <w:r w:rsidR="00F24CE1" w:rsidRPr="0028108F">
        <w:rPr>
          <w:rFonts w:ascii="Arial" w:hAnsi="Arial" w:cs="Arial"/>
          <w:szCs w:val="24"/>
          <w:lang w:val="en-GB"/>
        </w:rPr>
        <w:t>Prince Edward Island</w:t>
      </w:r>
      <w:r w:rsidR="00E7513F" w:rsidRPr="0028108F">
        <w:rPr>
          <w:rFonts w:ascii="Arial" w:hAnsi="Arial" w:cs="Arial"/>
          <w:szCs w:val="24"/>
          <w:lang w:val="en-GB"/>
        </w:rPr>
        <w:t xml:space="preserve">, </w:t>
      </w:r>
      <w:r w:rsidRPr="0028108F">
        <w:rPr>
          <w:rFonts w:ascii="Arial" w:hAnsi="Arial" w:cs="Arial"/>
          <w:szCs w:val="24"/>
          <w:lang w:val="en-GB"/>
        </w:rPr>
        <w:t xml:space="preserve">Ontario, </w:t>
      </w:r>
      <w:r w:rsidR="00E7513F" w:rsidRPr="0028108F">
        <w:rPr>
          <w:rFonts w:ascii="Arial" w:hAnsi="Arial" w:cs="Arial"/>
          <w:szCs w:val="24"/>
          <w:lang w:val="en-GB"/>
        </w:rPr>
        <w:t xml:space="preserve">and Saskatchewan, </w:t>
      </w:r>
      <w:r w:rsidRPr="0028108F">
        <w:rPr>
          <w:rFonts w:ascii="Arial" w:hAnsi="Arial" w:cs="Arial"/>
          <w:szCs w:val="24"/>
          <w:lang w:val="en-GB"/>
        </w:rPr>
        <w:t xml:space="preserve">all of which have similar official language to the effect that the applicant should provide proof that the sex designation on his or her </w:t>
      </w:r>
      <w:r w:rsidR="00050B75" w:rsidRPr="0028108F">
        <w:rPr>
          <w:rFonts w:ascii="Arial" w:hAnsi="Arial" w:cs="Arial"/>
          <w:szCs w:val="24"/>
          <w:lang w:val="en-GB"/>
        </w:rPr>
        <w:t xml:space="preserve">original </w:t>
      </w:r>
      <w:r w:rsidRPr="0028108F">
        <w:rPr>
          <w:rFonts w:ascii="Arial" w:hAnsi="Arial" w:cs="Arial"/>
          <w:szCs w:val="24"/>
          <w:lang w:val="en-GB"/>
        </w:rPr>
        <w:t>birth registration does not correspond with his or her gender identity, and</w:t>
      </w:r>
      <w:r w:rsidR="00D96C05" w:rsidRPr="0028108F">
        <w:rPr>
          <w:rFonts w:ascii="Arial" w:hAnsi="Arial" w:cs="Arial"/>
          <w:szCs w:val="24"/>
          <w:lang w:val="en-GB"/>
        </w:rPr>
        <w:t>/or</w:t>
      </w:r>
      <w:r w:rsidR="00511D22" w:rsidRPr="0028108F">
        <w:rPr>
          <w:rFonts w:ascii="Arial" w:hAnsi="Arial" w:cs="Arial"/>
          <w:szCs w:val="24"/>
          <w:lang w:val="en-GB"/>
        </w:rPr>
        <w:t xml:space="preserve"> that the</w:t>
      </w:r>
      <w:r w:rsidRPr="0028108F">
        <w:rPr>
          <w:rFonts w:ascii="Arial" w:hAnsi="Arial" w:cs="Arial"/>
          <w:szCs w:val="24"/>
          <w:lang w:val="en-GB"/>
        </w:rPr>
        <w:t xml:space="preserve"> sex designation requested by the applicant is consistent with </w:t>
      </w:r>
      <w:r w:rsidR="00E7513F" w:rsidRPr="0028108F">
        <w:rPr>
          <w:rFonts w:ascii="Arial" w:hAnsi="Arial" w:cs="Arial"/>
          <w:szCs w:val="24"/>
          <w:lang w:val="en-GB"/>
        </w:rPr>
        <w:t>the</w:t>
      </w:r>
      <w:r w:rsidRPr="0028108F">
        <w:rPr>
          <w:rFonts w:ascii="Arial" w:hAnsi="Arial" w:cs="Arial"/>
          <w:szCs w:val="24"/>
          <w:lang w:val="en-GB"/>
        </w:rPr>
        <w:t xml:space="preserve"> gender identity</w:t>
      </w:r>
      <w:r w:rsidR="00E7513F" w:rsidRPr="0028108F">
        <w:rPr>
          <w:rFonts w:ascii="Arial" w:hAnsi="Arial" w:cs="Arial"/>
          <w:szCs w:val="24"/>
          <w:lang w:val="en-GB"/>
        </w:rPr>
        <w:t xml:space="preserve"> he or she identifies with</w:t>
      </w:r>
      <w:r w:rsidRPr="0028108F">
        <w:rPr>
          <w:rFonts w:ascii="Arial" w:hAnsi="Arial" w:cs="Arial"/>
          <w:szCs w:val="24"/>
          <w:lang w:val="en-GB"/>
        </w:rPr>
        <w:t xml:space="preserve">.  Manitoba and Ontario additionally require the applicant to live full-time in the requested gender identity (similar to a </w:t>
      </w:r>
      <w:r w:rsidRPr="0028108F">
        <w:rPr>
          <w:rFonts w:ascii="Arial" w:hAnsi="Arial" w:cs="Arial"/>
          <w:i/>
          <w:szCs w:val="24"/>
          <w:lang w:val="en-GB"/>
        </w:rPr>
        <w:t>“</w:t>
      </w:r>
      <w:r w:rsidR="00043FD0" w:rsidRPr="0028108F">
        <w:rPr>
          <w:rFonts w:ascii="Arial" w:hAnsi="Arial" w:cs="Arial"/>
          <w:i/>
          <w:szCs w:val="24"/>
          <w:lang w:val="en-GB"/>
        </w:rPr>
        <w:t>real life test</w:t>
      </w:r>
      <w:r w:rsidRPr="0028108F">
        <w:rPr>
          <w:rFonts w:ascii="Arial" w:hAnsi="Arial" w:cs="Arial"/>
          <w:i/>
          <w:szCs w:val="24"/>
          <w:lang w:val="en-GB"/>
        </w:rPr>
        <w:t>”</w:t>
      </w:r>
      <w:r w:rsidRPr="0028108F">
        <w:rPr>
          <w:rFonts w:ascii="Arial" w:hAnsi="Arial" w:cs="Arial"/>
          <w:szCs w:val="24"/>
          <w:lang w:val="en-GB"/>
        </w:rPr>
        <w:t xml:space="preserve"> requirement).  British Columbia</w:t>
      </w:r>
      <w:r w:rsidR="00D96C05" w:rsidRPr="0028108F">
        <w:rPr>
          <w:rFonts w:ascii="Arial" w:hAnsi="Arial" w:cs="Arial"/>
          <w:szCs w:val="24"/>
          <w:lang w:val="en-GB"/>
        </w:rPr>
        <w:t>,</w:t>
      </w:r>
      <w:r w:rsidRPr="0028108F">
        <w:rPr>
          <w:rFonts w:ascii="Arial" w:hAnsi="Arial" w:cs="Arial"/>
          <w:szCs w:val="24"/>
          <w:lang w:val="en-GB"/>
        </w:rPr>
        <w:t xml:space="preserve"> Manitoba</w:t>
      </w:r>
      <w:r w:rsidR="00D96C05" w:rsidRPr="0028108F">
        <w:rPr>
          <w:rFonts w:ascii="Arial" w:hAnsi="Arial" w:cs="Arial"/>
          <w:szCs w:val="24"/>
          <w:lang w:val="en-GB"/>
        </w:rPr>
        <w:t xml:space="preserve">, Newfoundland and Labrador, </w:t>
      </w:r>
      <w:r w:rsidR="00D942B3" w:rsidRPr="0028108F">
        <w:rPr>
          <w:rFonts w:ascii="Arial" w:hAnsi="Arial" w:cs="Arial"/>
          <w:szCs w:val="24"/>
          <w:lang w:val="en-GB"/>
        </w:rPr>
        <w:t>Nova Scotia,</w:t>
      </w:r>
      <w:r w:rsidR="00F24CE1" w:rsidRPr="0028108F">
        <w:rPr>
          <w:rFonts w:ascii="Arial" w:hAnsi="Arial" w:cs="Arial"/>
          <w:szCs w:val="24"/>
          <w:lang w:val="en-GB"/>
        </w:rPr>
        <w:t xml:space="preserve"> Prince Edward Island</w:t>
      </w:r>
      <w:r w:rsidR="00E7513F" w:rsidRPr="0028108F">
        <w:rPr>
          <w:rFonts w:ascii="Arial" w:hAnsi="Arial" w:cs="Arial"/>
          <w:szCs w:val="24"/>
          <w:lang w:val="en-GB"/>
        </w:rPr>
        <w:t xml:space="preserve"> and Saskatchewan</w:t>
      </w:r>
      <w:r w:rsidRPr="0028108F">
        <w:rPr>
          <w:rFonts w:ascii="Arial" w:hAnsi="Arial" w:cs="Arial"/>
          <w:szCs w:val="24"/>
          <w:lang w:val="en-GB"/>
        </w:rPr>
        <w:t xml:space="preserve"> require the applicant</w:t>
      </w:r>
      <w:r w:rsidR="004C3395" w:rsidRPr="0028108F">
        <w:rPr>
          <w:rFonts w:ascii="Arial" w:hAnsi="Arial" w:cs="Arial"/>
          <w:szCs w:val="24"/>
          <w:lang w:val="en-GB"/>
        </w:rPr>
        <w:t xml:space="preserve"> to manifest an</w:t>
      </w:r>
      <w:r w:rsidRPr="0028108F">
        <w:rPr>
          <w:rFonts w:ascii="Arial" w:hAnsi="Arial" w:cs="Arial"/>
          <w:szCs w:val="24"/>
          <w:lang w:val="en-GB"/>
        </w:rPr>
        <w:t xml:space="preserve"> intention to maintain the </w:t>
      </w:r>
      <w:r w:rsidR="00E2165D" w:rsidRPr="0028108F">
        <w:rPr>
          <w:rFonts w:ascii="Arial" w:hAnsi="Arial" w:cs="Arial"/>
          <w:szCs w:val="24"/>
          <w:lang w:val="en-GB"/>
        </w:rPr>
        <w:t xml:space="preserve">requested </w:t>
      </w:r>
      <w:r w:rsidRPr="0028108F">
        <w:rPr>
          <w:rFonts w:ascii="Arial" w:hAnsi="Arial" w:cs="Arial"/>
          <w:szCs w:val="24"/>
          <w:lang w:val="en-GB"/>
        </w:rPr>
        <w:t xml:space="preserve">gender identity to be verified in the form of a declaration.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Minimum age requirements</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4C3395"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There is a m</w:t>
      </w:r>
      <w:r w:rsidR="00325C0C" w:rsidRPr="0028108F">
        <w:rPr>
          <w:rFonts w:ascii="Arial" w:hAnsi="Arial" w:cs="Arial"/>
          <w:szCs w:val="24"/>
          <w:lang w:val="en-GB"/>
        </w:rPr>
        <w:t xml:space="preserve">inimum age requirement </w:t>
      </w:r>
      <w:r w:rsidRPr="0028108F">
        <w:rPr>
          <w:rFonts w:ascii="Arial" w:hAnsi="Arial" w:cs="Arial"/>
          <w:szCs w:val="24"/>
          <w:lang w:val="en-GB"/>
        </w:rPr>
        <w:t xml:space="preserve">for gender recognition </w:t>
      </w:r>
      <w:r w:rsidR="00325C0C" w:rsidRPr="0028108F">
        <w:rPr>
          <w:rFonts w:ascii="Arial" w:hAnsi="Arial" w:cs="Arial"/>
          <w:szCs w:val="24"/>
          <w:lang w:val="en-GB"/>
        </w:rPr>
        <w:t xml:space="preserve">in </w:t>
      </w:r>
      <w:r w:rsidR="003D52D7" w:rsidRPr="0028108F">
        <w:rPr>
          <w:rFonts w:ascii="Arial" w:hAnsi="Arial" w:cs="Arial"/>
          <w:szCs w:val="24"/>
          <w:lang w:val="en-GB"/>
        </w:rPr>
        <w:t>Ontario</w:t>
      </w:r>
      <w:r w:rsidRPr="0028108F">
        <w:rPr>
          <w:rFonts w:ascii="Arial" w:hAnsi="Arial" w:cs="Arial"/>
          <w:szCs w:val="24"/>
          <w:lang w:val="en-GB"/>
        </w:rPr>
        <w:t xml:space="preserve"> (18 years old)</w:t>
      </w:r>
      <w:r w:rsidR="00325C0C" w:rsidRPr="0028108F">
        <w:rPr>
          <w:rFonts w:ascii="Arial" w:hAnsi="Arial" w:cs="Arial"/>
          <w:szCs w:val="24"/>
          <w:lang w:val="en-GB"/>
        </w:rPr>
        <w:t>,</w:t>
      </w:r>
      <w:r w:rsidR="003D52D7" w:rsidRPr="0028108F">
        <w:rPr>
          <w:rFonts w:ascii="Arial" w:hAnsi="Arial" w:cs="Arial"/>
          <w:szCs w:val="24"/>
          <w:lang w:val="en-GB"/>
        </w:rPr>
        <w:t xml:space="preserve"> </w:t>
      </w:r>
      <w:r w:rsidR="0076241D" w:rsidRPr="0028108F">
        <w:rPr>
          <w:rFonts w:ascii="Arial" w:hAnsi="Arial" w:cs="Arial"/>
          <w:szCs w:val="24"/>
          <w:lang w:val="en-GB"/>
        </w:rPr>
        <w:t>Saskatchewan</w:t>
      </w:r>
      <w:r w:rsidR="003D52D7" w:rsidRPr="0028108F">
        <w:rPr>
          <w:rFonts w:ascii="Arial" w:hAnsi="Arial" w:cs="Arial"/>
          <w:szCs w:val="24"/>
          <w:lang w:val="en-GB"/>
        </w:rPr>
        <w:t xml:space="preserve"> (18 years old)</w:t>
      </w:r>
      <w:r w:rsidR="00325C0C" w:rsidRPr="0028108F">
        <w:rPr>
          <w:rFonts w:ascii="Arial" w:hAnsi="Arial" w:cs="Arial"/>
          <w:szCs w:val="24"/>
          <w:lang w:val="en-GB"/>
        </w:rPr>
        <w:t xml:space="preserve">, </w:t>
      </w:r>
      <w:r w:rsidR="008E3551" w:rsidRPr="0028108F">
        <w:rPr>
          <w:rFonts w:ascii="Arial" w:hAnsi="Arial" w:cs="Arial"/>
          <w:szCs w:val="24"/>
          <w:lang w:val="en-GB"/>
        </w:rPr>
        <w:t xml:space="preserve">and </w:t>
      </w:r>
      <w:r w:rsidR="00325C0C" w:rsidRPr="0028108F">
        <w:rPr>
          <w:rFonts w:ascii="Arial" w:hAnsi="Arial" w:cs="Arial"/>
          <w:szCs w:val="24"/>
          <w:lang w:val="en-GB"/>
        </w:rPr>
        <w:t>Newfoundland and Labrador (16 years old)</w:t>
      </w:r>
      <w:r w:rsidR="003D52D7" w:rsidRPr="0028108F">
        <w:rPr>
          <w:rFonts w:ascii="Arial" w:hAnsi="Arial" w:cs="Arial"/>
          <w:szCs w:val="24"/>
          <w:lang w:val="en-GB"/>
        </w:rPr>
        <w:t xml:space="preserve">.  </w:t>
      </w:r>
      <w:r w:rsidR="007739E3" w:rsidRPr="0028108F">
        <w:rPr>
          <w:rFonts w:ascii="Arial" w:hAnsi="Arial" w:cs="Arial"/>
          <w:szCs w:val="24"/>
          <w:lang w:val="en-GB"/>
        </w:rPr>
        <w:t xml:space="preserve">Alberta, </w:t>
      </w:r>
      <w:r w:rsidR="003D52D7" w:rsidRPr="0028108F">
        <w:rPr>
          <w:rFonts w:ascii="Arial" w:hAnsi="Arial" w:cs="Arial"/>
          <w:szCs w:val="24"/>
          <w:lang w:val="en-GB"/>
        </w:rPr>
        <w:t>British Columbia</w:t>
      </w:r>
      <w:r w:rsidR="00533276" w:rsidRPr="0028108F">
        <w:rPr>
          <w:rFonts w:ascii="Arial" w:hAnsi="Arial" w:cs="Arial"/>
          <w:szCs w:val="24"/>
          <w:lang w:val="en-GB"/>
        </w:rPr>
        <w:t>, Nova Scotia</w:t>
      </w:r>
      <w:r w:rsidRPr="0028108F">
        <w:rPr>
          <w:rFonts w:ascii="Arial" w:hAnsi="Arial" w:cs="Arial"/>
          <w:szCs w:val="24"/>
          <w:lang w:val="en-GB"/>
        </w:rPr>
        <w:t xml:space="preserve"> and</w:t>
      </w:r>
      <w:r w:rsidR="00DF3804" w:rsidRPr="0028108F">
        <w:rPr>
          <w:rFonts w:ascii="Arial" w:hAnsi="Arial" w:cs="Arial"/>
          <w:szCs w:val="24"/>
          <w:lang w:val="en-GB"/>
        </w:rPr>
        <w:t xml:space="preserve"> Quebec</w:t>
      </w:r>
      <w:r w:rsidR="003D52D7" w:rsidRPr="0028108F">
        <w:rPr>
          <w:rFonts w:ascii="Arial" w:hAnsi="Arial" w:cs="Arial"/>
          <w:szCs w:val="24"/>
          <w:lang w:val="en-GB"/>
        </w:rPr>
        <w:t xml:space="preserve"> permit minors to make the application with consent of the parents and the guardians.  Other </w:t>
      </w:r>
      <w:r w:rsidR="008E3551" w:rsidRPr="0028108F">
        <w:rPr>
          <w:rFonts w:ascii="Arial" w:hAnsi="Arial" w:cs="Arial"/>
          <w:szCs w:val="24"/>
          <w:lang w:val="en-GB"/>
        </w:rPr>
        <w:t xml:space="preserve">four </w:t>
      </w:r>
      <w:r w:rsidR="003D52D7" w:rsidRPr="0028108F">
        <w:rPr>
          <w:rFonts w:ascii="Arial" w:hAnsi="Arial" w:cs="Arial"/>
          <w:szCs w:val="24"/>
          <w:lang w:val="en-GB"/>
        </w:rPr>
        <w:t xml:space="preserve">jurisdictions do not </w:t>
      </w:r>
      <w:r w:rsidRPr="0028108F">
        <w:rPr>
          <w:rFonts w:ascii="Arial" w:hAnsi="Arial" w:cs="Arial"/>
          <w:szCs w:val="24"/>
          <w:lang w:val="en-GB"/>
        </w:rPr>
        <w:t>have relevant express provisions</w:t>
      </w:r>
      <w:r w:rsidR="003D52D7" w:rsidRPr="0028108F">
        <w:rPr>
          <w:rFonts w:ascii="Arial" w:hAnsi="Arial" w:cs="Arial"/>
          <w:szCs w:val="24"/>
          <w:lang w:val="en-GB"/>
        </w:rPr>
        <w:t>.</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Requirements relating to pre-existing marriage</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Alberta allows a spouse to a monogamous marriage to correct the gender marker on his or her birth certificate with the consent of the other party to the marriage.  In British Columbia, the law was amended in 2014 to, amongst other things, revoke the exclusion of married applicants. </w:t>
      </w:r>
      <w:r w:rsidR="004C3395" w:rsidRPr="0028108F">
        <w:rPr>
          <w:rFonts w:ascii="Arial" w:hAnsi="Arial" w:cs="Arial"/>
          <w:szCs w:val="24"/>
          <w:lang w:val="en-GB"/>
        </w:rPr>
        <w:t xml:space="preserve"> </w:t>
      </w:r>
      <w:r w:rsidRPr="0028108F">
        <w:rPr>
          <w:rFonts w:ascii="Arial" w:hAnsi="Arial" w:cs="Arial"/>
          <w:szCs w:val="24"/>
          <w:lang w:val="en-GB"/>
        </w:rPr>
        <w:t xml:space="preserve">Similarly, the laws in </w:t>
      </w:r>
      <w:r w:rsidR="00F57E8B" w:rsidRPr="0028108F">
        <w:rPr>
          <w:rFonts w:ascii="Arial" w:hAnsi="Arial" w:cs="Arial"/>
          <w:szCs w:val="24"/>
          <w:lang w:val="en-GB"/>
        </w:rPr>
        <w:t xml:space="preserve">Manitoba, </w:t>
      </w:r>
      <w:r w:rsidRPr="0028108F">
        <w:rPr>
          <w:rFonts w:ascii="Arial" w:hAnsi="Arial" w:cs="Arial"/>
          <w:szCs w:val="24"/>
          <w:lang w:val="en-GB"/>
        </w:rPr>
        <w:t>Newfoundland</w:t>
      </w:r>
      <w:r w:rsidR="00F57E8B" w:rsidRPr="0028108F">
        <w:rPr>
          <w:rFonts w:ascii="Arial" w:hAnsi="Arial" w:cs="Arial"/>
          <w:szCs w:val="24"/>
          <w:lang w:val="en-GB"/>
        </w:rPr>
        <w:t xml:space="preserve"> and Labrador</w:t>
      </w:r>
      <w:r w:rsidRPr="0028108F">
        <w:rPr>
          <w:rFonts w:ascii="Arial" w:hAnsi="Arial" w:cs="Arial"/>
          <w:szCs w:val="24"/>
          <w:lang w:val="en-GB"/>
        </w:rPr>
        <w:t xml:space="preserve">, Nova Scotia and Yukon Territory are explicit that marriage is not a bar.  The other </w:t>
      </w:r>
      <w:r w:rsidR="00CF0C80" w:rsidRPr="0028108F">
        <w:rPr>
          <w:rFonts w:ascii="Arial" w:hAnsi="Arial" w:cs="Arial"/>
          <w:szCs w:val="24"/>
          <w:lang w:val="en-GB"/>
        </w:rPr>
        <w:t xml:space="preserve">five </w:t>
      </w:r>
      <w:r w:rsidRPr="0028108F">
        <w:rPr>
          <w:rFonts w:ascii="Arial" w:hAnsi="Arial" w:cs="Arial"/>
          <w:szCs w:val="24"/>
          <w:lang w:val="en-GB"/>
        </w:rPr>
        <w:t>jurisdictions (</w:t>
      </w:r>
      <w:r w:rsidR="00D6311F" w:rsidRPr="0028108F">
        <w:rPr>
          <w:rFonts w:ascii="Arial" w:hAnsi="Arial" w:cs="Arial"/>
          <w:szCs w:val="24"/>
          <w:lang w:val="en-GB"/>
        </w:rPr>
        <w:t>ie</w:t>
      </w:r>
      <w:r w:rsidRPr="0028108F">
        <w:rPr>
          <w:rFonts w:ascii="Arial" w:hAnsi="Arial" w:cs="Arial"/>
          <w:szCs w:val="24"/>
          <w:lang w:val="en-GB"/>
        </w:rPr>
        <w:t>, New Brunswick, Ontario, Prince Edward Island, Québec and Saskatchewan) do not have a stipulation in their laws referring to an applicant’s marital status.  Notably, all the 11 jurisdictions in Canada allow same-sex marriage,</w:t>
      </w:r>
      <w:r w:rsidRPr="0028108F">
        <w:rPr>
          <w:rStyle w:val="FootnoteReference"/>
          <w:rFonts w:ascii="Arial" w:hAnsi="Arial" w:cs="Arial"/>
          <w:szCs w:val="24"/>
          <w:lang w:val="en-GB"/>
        </w:rPr>
        <w:footnoteReference w:id="368"/>
      </w:r>
      <w:r w:rsidRPr="0028108F">
        <w:rPr>
          <w:rFonts w:ascii="Arial" w:hAnsi="Arial" w:cs="Arial"/>
          <w:szCs w:val="24"/>
          <w:lang w:val="en-GB"/>
        </w:rPr>
        <w:t xml:space="preserve"> which </w:t>
      </w:r>
      <w:r w:rsidR="00F57E8B" w:rsidRPr="0028108F">
        <w:rPr>
          <w:rFonts w:ascii="Arial" w:hAnsi="Arial" w:cs="Arial"/>
          <w:szCs w:val="24"/>
          <w:lang w:val="en-GB"/>
        </w:rPr>
        <w:t xml:space="preserve">appears to </w:t>
      </w:r>
      <w:r w:rsidRPr="0028108F">
        <w:rPr>
          <w:rFonts w:ascii="Arial" w:hAnsi="Arial" w:cs="Arial"/>
          <w:szCs w:val="24"/>
          <w:lang w:val="en-GB"/>
        </w:rPr>
        <w:t>reinforce that one’s marital status should not be a factor for a gender change in Canada.</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 xml:space="preserve">Foreign gender recognition or foreign </w:t>
      </w:r>
      <w:r w:rsidR="000739A9" w:rsidRPr="0028108F">
        <w:rPr>
          <w:rFonts w:ascii="Arial" w:hAnsi="Arial" w:cs="Arial"/>
          <w:i/>
          <w:szCs w:val="24"/>
          <w:lang w:val="en-GB"/>
        </w:rPr>
        <w:t>medical intervention</w:t>
      </w:r>
    </w:p>
    <w:p w:rsidR="003D52D7" w:rsidRPr="0028108F" w:rsidRDefault="003D52D7" w:rsidP="003D52D7">
      <w:pPr>
        <w:tabs>
          <w:tab w:val="left" w:pos="1418"/>
        </w:tabs>
        <w:adjustRightInd w:val="0"/>
        <w:snapToGrid w:val="0"/>
        <w:jc w:val="both"/>
        <w:rPr>
          <w:rFonts w:ascii="Arial" w:hAnsi="Arial" w:cs="Arial"/>
          <w:szCs w:val="24"/>
          <w:lang w:val="en-GB"/>
        </w:rPr>
      </w:pPr>
    </w:p>
    <w:p w:rsidR="00F57E8B" w:rsidRPr="0028108F" w:rsidRDefault="00153A58"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SRS </w:t>
      </w:r>
      <w:r w:rsidR="000739A9" w:rsidRPr="0028108F">
        <w:rPr>
          <w:rFonts w:ascii="Arial" w:hAnsi="Arial" w:cs="Arial"/>
          <w:szCs w:val="24"/>
          <w:lang w:val="en-GB"/>
        </w:rPr>
        <w:t xml:space="preserve">or medical intervention </w:t>
      </w:r>
      <w:r w:rsidR="003D52D7" w:rsidRPr="0028108F">
        <w:rPr>
          <w:rFonts w:ascii="Arial" w:hAnsi="Arial" w:cs="Arial"/>
          <w:szCs w:val="24"/>
          <w:lang w:val="en-GB"/>
        </w:rPr>
        <w:t>performed in foreign jurisdictions may be recognised in New Brunswick</w:t>
      </w:r>
      <w:r w:rsidR="000739A9" w:rsidRPr="0028108F">
        <w:rPr>
          <w:rFonts w:ascii="Arial" w:hAnsi="Arial" w:cs="Arial"/>
          <w:szCs w:val="24"/>
          <w:lang w:val="en-GB"/>
        </w:rPr>
        <w:t xml:space="preserve"> (requires foreign medical practitioner’s confirmation that the transsexual surgery has been performed)</w:t>
      </w:r>
      <w:r w:rsidR="003D52D7" w:rsidRPr="0028108F">
        <w:rPr>
          <w:rFonts w:ascii="Arial" w:hAnsi="Arial" w:cs="Arial"/>
          <w:szCs w:val="24"/>
          <w:lang w:val="en-GB"/>
        </w:rPr>
        <w:t>,</w:t>
      </w:r>
      <w:r w:rsidR="003620FD">
        <w:rPr>
          <w:rFonts w:ascii="Arial" w:hAnsi="Arial" w:cs="Arial" w:hint="eastAsia"/>
          <w:szCs w:val="24"/>
          <w:lang w:val="en-GB"/>
        </w:rPr>
        <w:t xml:space="preserve"> </w:t>
      </w:r>
      <w:r w:rsidR="003620FD" w:rsidRPr="0028108F">
        <w:rPr>
          <w:rFonts w:ascii="Arial" w:hAnsi="Arial" w:cs="Arial"/>
          <w:szCs w:val="24"/>
          <w:lang w:val="en-GB"/>
        </w:rPr>
        <w:t>British Columbia</w:t>
      </w:r>
      <w:r w:rsidR="003620FD">
        <w:rPr>
          <w:rFonts w:ascii="Arial" w:hAnsi="Arial" w:cs="Arial" w:hint="eastAsia"/>
          <w:szCs w:val="24"/>
          <w:lang w:val="en-GB"/>
        </w:rPr>
        <w:t>,</w:t>
      </w:r>
      <w:r w:rsidR="003620FD" w:rsidRPr="0028108F">
        <w:rPr>
          <w:rFonts w:ascii="Arial" w:hAnsi="Arial" w:cs="Arial"/>
          <w:szCs w:val="24"/>
          <w:lang w:val="en-GB"/>
        </w:rPr>
        <w:t xml:space="preserve"> </w:t>
      </w:r>
      <w:r w:rsidR="00CF0C80" w:rsidRPr="0028108F">
        <w:rPr>
          <w:rFonts w:ascii="Arial" w:hAnsi="Arial" w:cs="Arial"/>
          <w:szCs w:val="24"/>
          <w:lang w:val="en-GB"/>
        </w:rPr>
        <w:t>Nova Scotia</w:t>
      </w:r>
      <w:r w:rsidR="005877EC" w:rsidRPr="0028108F">
        <w:rPr>
          <w:rFonts w:ascii="Arial" w:hAnsi="Arial" w:cs="Arial"/>
          <w:szCs w:val="24"/>
          <w:lang w:val="en-GB"/>
        </w:rPr>
        <w:t>,</w:t>
      </w:r>
      <w:r w:rsidR="000739A9" w:rsidRPr="0028108F">
        <w:rPr>
          <w:rFonts w:ascii="Arial" w:hAnsi="Arial" w:cs="Arial"/>
          <w:szCs w:val="24"/>
          <w:lang w:val="en-GB"/>
        </w:rPr>
        <w:t xml:space="preserve"> Ontario</w:t>
      </w:r>
      <w:r w:rsidR="005877EC" w:rsidRPr="0028108F">
        <w:rPr>
          <w:rFonts w:ascii="Arial" w:hAnsi="Arial" w:cs="Arial"/>
          <w:szCs w:val="24"/>
          <w:lang w:val="en-GB"/>
        </w:rPr>
        <w:t xml:space="preserve"> and Saskatchewan</w:t>
      </w:r>
      <w:r w:rsidR="000739A9" w:rsidRPr="00181CF2">
        <w:rPr>
          <w:rFonts w:ascii="Arial" w:hAnsi="Arial" w:cs="Arial"/>
          <w:szCs w:val="24"/>
          <w:lang w:val="en-GB"/>
        </w:rPr>
        <w:t xml:space="preserve"> (</w:t>
      </w:r>
      <w:r w:rsidR="005877EC" w:rsidRPr="00C57CE1">
        <w:rPr>
          <w:rFonts w:ascii="Arial" w:hAnsi="Arial" w:cs="Arial"/>
          <w:szCs w:val="24"/>
          <w:lang w:val="en-GB"/>
        </w:rPr>
        <w:t xml:space="preserve">these </w:t>
      </w:r>
      <w:r w:rsidR="003620FD">
        <w:rPr>
          <w:rFonts w:ascii="Arial" w:hAnsi="Arial" w:cs="Arial" w:hint="eastAsia"/>
          <w:szCs w:val="24"/>
          <w:lang w:val="en-GB"/>
        </w:rPr>
        <w:t>four</w:t>
      </w:r>
      <w:r w:rsidR="005877EC" w:rsidRPr="00C57CE1">
        <w:rPr>
          <w:rFonts w:ascii="Arial" w:hAnsi="Arial" w:cs="Arial"/>
          <w:szCs w:val="24"/>
          <w:lang w:val="en-GB"/>
        </w:rPr>
        <w:t xml:space="preserve"> jurisdictions</w:t>
      </w:r>
      <w:r w:rsidR="005877EC" w:rsidRPr="0028108F">
        <w:rPr>
          <w:rFonts w:ascii="Arial" w:hAnsi="Arial" w:cs="Arial"/>
          <w:szCs w:val="24"/>
          <w:lang w:val="en-GB"/>
        </w:rPr>
        <w:t xml:space="preserve"> have similar requirement of</w:t>
      </w:r>
      <w:r w:rsidR="000739A9" w:rsidRPr="0028108F">
        <w:rPr>
          <w:rFonts w:ascii="Arial" w:hAnsi="Arial" w:cs="Arial"/>
          <w:szCs w:val="24"/>
          <w:lang w:val="en-GB"/>
        </w:rPr>
        <w:t xml:space="preserve"> foreign medical evidence that the applicant’s gender identity does not accord with the sex designation on his/her birth registration)</w:t>
      </w:r>
      <w:r w:rsidR="003D52D7" w:rsidRPr="0028108F">
        <w:rPr>
          <w:rFonts w:ascii="Arial" w:hAnsi="Arial" w:cs="Arial"/>
          <w:szCs w:val="24"/>
          <w:lang w:val="en-GB"/>
        </w:rPr>
        <w:t xml:space="preserve">.  </w:t>
      </w:r>
    </w:p>
    <w:p w:rsidR="00F57E8B" w:rsidRPr="0028108F" w:rsidRDefault="00F57E8B" w:rsidP="0028108F">
      <w:pPr>
        <w:pStyle w:val="ListParagraph"/>
        <w:tabs>
          <w:tab w:val="left" w:pos="1418"/>
        </w:tabs>
        <w:adjustRightInd w:val="0"/>
        <w:snapToGrid w:val="0"/>
        <w:ind w:leftChars="0" w:left="0"/>
        <w:jc w:val="both"/>
        <w:rPr>
          <w:rFonts w:ascii="Arial" w:hAnsi="Arial" w:cs="Arial"/>
          <w:szCs w:val="24"/>
          <w:lang w:val="en-GB"/>
        </w:rPr>
      </w:pPr>
    </w:p>
    <w:p w:rsidR="00F57E8B" w:rsidRPr="00C57CE1" w:rsidRDefault="00F57E8B"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With regard to foreign gender recognition, </w:t>
      </w:r>
      <w:r w:rsidR="003D52D7" w:rsidRPr="0028108F">
        <w:rPr>
          <w:rFonts w:ascii="Arial" w:hAnsi="Arial" w:cs="Arial"/>
          <w:szCs w:val="24"/>
          <w:lang w:val="en-GB"/>
        </w:rPr>
        <w:t>Manitoba may allow a change of sex designation on the birth registry of a person whose sex designation was changed in a jurisdiction outside Manitoba provided that the documentation effecting a change of sex designation “</w:t>
      </w:r>
      <w:r w:rsidR="003D52D7" w:rsidRPr="0028108F">
        <w:rPr>
          <w:rFonts w:ascii="Arial" w:hAnsi="Arial" w:cs="Arial"/>
          <w:i/>
          <w:szCs w:val="24"/>
          <w:lang w:val="en-GB"/>
        </w:rPr>
        <w:t>is issued by a person, office or body in the jurisdiction that, in the [Director of Vital Statistics’] opinion, has functions under the jurisdiction’s laws relating to changes of sex designation</w:t>
      </w:r>
      <w:r w:rsidR="003D52D7" w:rsidRPr="0028108F">
        <w:rPr>
          <w:rFonts w:ascii="Arial" w:hAnsi="Arial" w:cs="Arial"/>
          <w:szCs w:val="24"/>
          <w:lang w:val="en-GB"/>
        </w:rPr>
        <w:t>” and “</w:t>
      </w:r>
      <w:r w:rsidR="003D52D7" w:rsidRPr="0028108F">
        <w:rPr>
          <w:rFonts w:ascii="Arial" w:hAnsi="Arial" w:cs="Arial"/>
          <w:i/>
          <w:szCs w:val="24"/>
          <w:lang w:val="en-GB"/>
        </w:rPr>
        <w:t>the legal requirements of the jurisdiction for such changes are, in the [Director of Vital Statistics’] opinion, comparable to the requirements under [Manitoba’s Vital Statistics Act]</w:t>
      </w:r>
      <w:r w:rsidR="003D52D7" w:rsidRPr="0028108F">
        <w:rPr>
          <w:rFonts w:ascii="Arial" w:hAnsi="Arial" w:cs="Arial"/>
          <w:szCs w:val="24"/>
          <w:lang w:val="en-GB"/>
        </w:rPr>
        <w:t>.</w:t>
      </w:r>
      <w:r w:rsidR="000739A9" w:rsidRPr="0028108F">
        <w:rPr>
          <w:rFonts w:ascii="Arial" w:hAnsi="Arial" w:cs="Arial"/>
          <w:szCs w:val="24"/>
          <w:lang w:val="en-GB"/>
        </w:rPr>
        <w:t>”</w:t>
      </w:r>
      <w:r w:rsidR="003D52D7" w:rsidRPr="00181CF2">
        <w:rPr>
          <w:rStyle w:val="FootnoteReference"/>
          <w:rFonts w:ascii="Arial" w:hAnsi="Arial" w:cs="Arial"/>
          <w:szCs w:val="24"/>
          <w:lang w:val="en-GB"/>
        </w:rPr>
        <w:footnoteReference w:id="369"/>
      </w:r>
      <w:r w:rsidR="003D52D7" w:rsidRPr="00181CF2">
        <w:rPr>
          <w:rFonts w:ascii="Arial" w:hAnsi="Arial" w:cs="Arial"/>
          <w:szCs w:val="24"/>
          <w:lang w:val="en-GB"/>
        </w:rPr>
        <w:t xml:space="preserve">  Ontario uses language implying that it will recognise a gender change granted by a foreign juris</w:t>
      </w:r>
      <w:r w:rsidR="003D52D7" w:rsidRPr="00C57CE1">
        <w:rPr>
          <w:rFonts w:ascii="Arial" w:hAnsi="Arial" w:cs="Arial"/>
          <w:szCs w:val="24"/>
          <w:lang w:val="en-GB"/>
        </w:rPr>
        <w:t xml:space="preserve">diction in which the applicant was domiciled or ordinarily resident, provided that, in the opinion of the Registrar General of Ontario, the foreign gender change certificate confirms that </w:t>
      </w:r>
      <w:r w:rsidR="003D52D7" w:rsidRPr="0028108F">
        <w:rPr>
          <w:rFonts w:ascii="Arial" w:hAnsi="Arial" w:cs="Arial"/>
          <w:i/>
          <w:szCs w:val="24"/>
          <w:lang w:val="en-GB"/>
        </w:rPr>
        <w:t>“the applicant’s gender identity does not accord with the sex designation on the applicant’s birth registration and it is appropriate that the sex designation be changed.”</w:t>
      </w:r>
      <w:r w:rsidR="003D52D7" w:rsidRPr="00181CF2">
        <w:rPr>
          <w:rStyle w:val="FootnoteReference"/>
          <w:rFonts w:ascii="Arial" w:hAnsi="Arial" w:cs="Arial"/>
          <w:i/>
          <w:szCs w:val="24"/>
          <w:lang w:val="en-GB"/>
        </w:rPr>
        <w:footnoteReference w:id="370"/>
      </w:r>
      <w:r w:rsidR="003D52D7" w:rsidRPr="00181CF2">
        <w:rPr>
          <w:rFonts w:ascii="Arial" w:hAnsi="Arial" w:cs="Arial"/>
          <w:szCs w:val="24"/>
          <w:lang w:val="en-GB"/>
        </w:rPr>
        <w:t xml:space="preserve">  </w:t>
      </w:r>
    </w:p>
    <w:p w:rsidR="00F57E8B" w:rsidRPr="0028108F" w:rsidRDefault="00F57E8B" w:rsidP="0028108F">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situation </w:t>
      </w:r>
      <w:r w:rsidR="00F57E8B" w:rsidRPr="0028108F">
        <w:rPr>
          <w:rFonts w:ascii="Arial" w:hAnsi="Arial" w:cs="Arial"/>
          <w:szCs w:val="24"/>
          <w:lang w:val="en-GB"/>
        </w:rPr>
        <w:t>regarding both foreign gender recognition and foreign medical</w:t>
      </w:r>
      <w:r w:rsidR="000739A9" w:rsidRPr="0028108F">
        <w:rPr>
          <w:rFonts w:ascii="Arial" w:hAnsi="Arial" w:cs="Arial"/>
          <w:szCs w:val="24"/>
          <w:lang w:val="en-GB"/>
        </w:rPr>
        <w:t>/surgical</w:t>
      </w:r>
      <w:r w:rsidR="00F57E8B" w:rsidRPr="0028108F">
        <w:rPr>
          <w:rFonts w:ascii="Arial" w:hAnsi="Arial" w:cs="Arial"/>
          <w:szCs w:val="24"/>
          <w:lang w:val="en-GB"/>
        </w:rPr>
        <w:t xml:space="preserve"> </w:t>
      </w:r>
      <w:r w:rsidR="000739A9" w:rsidRPr="0028108F">
        <w:rPr>
          <w:rFonts w:ascii="Arial" w:hAnsi="Arial" w:cs="Arial"/>
          <w:szCs w:val="24"/>
          <w:lang w:val="en-GB"/>
        </w:rPr>
        <w:t>intervention</w:t>
      </w:r>
      <w:r w:rsidR="00F57E8B" w:rsidRPr="0028108F">
        <w:rPr>
          <w:rFonts w:ascii="Arial" w:hAnsi="Arial" w:cs="Arial"/>
          <w:szCs w:val="24"/>
          <w:lang w:val="en-GB"/>
        </w:rPr>
        <w:t xml:space="preserve"> is unclear </w:t>
      </w:r>
      <w:r w:rsidRPr="0028108F">
        <w:rPr>
          <w:rFonts w:ascii="Arial" w:hAnsi="Arial" w:cs="Arial"/>
          <w:szCs w:val="24"/>
          <w:lang w:val="en-GB"/>
        </w:rPr>
        <w:t xml:space="preserve">in </w:t>
      </w:r>
      <w:r w:rsidR="00F57E8B" w:rsidRPr="0028108F">
        <w:rPr>
          <w:rFonts w:ascii="Arial" w:hAnsi="Arial" w:cs="Arial"/>
          <w:szCs w:val="24"/>
          <w:lang w:val="en-GB"/>
        </w:rPr>
        <w:t>Alberta, Newfoundland and Labrador, Prince Edward Island</w:t>
      </w:r>
      <w:r w:rsidR="005877EC" w:rsidRPr="0028108F">
        <w:rPr>
          <w:rFonts w:ascii="Arial" w:hAnsi="Arial" w:cs="Arial"/>
          <w:szCs w:val="24"/>
          <w:lang w:val="en-GB"/>
        </w:rPr>
        <w:t xml:space="preserve">, </w:t>
      </w:r>
      <w:r w:rsidR="00F57E8B" w:rsidRPr="0028108F">
        <w:rPr>
          <w:rFonts w:ascii="Arial" w:hAnsi="Arial" w:cs="Arial"/>
          <w:szCs w:val="24"/>
          <w:lang w:val="en-GB"/>
        </w:rPr>
        <w:t>Quebec</w:t>
      </w:r>
      <w:r w:rsidR="005877EC" w:rsidRPr="0028108F">
        <w:rPr>
          <w:rFonts w:ascii="Arial" w:hAnsi="Arial" w:cs="Arial"/>
          <w:szCs w:val="24"/>
          <w:lang w:val="en-GB"/>
        </w:rPr>
        <w:t xml:space="preserve"> and Yukon Territory</w:t>
      </w:r>
      <w:r w:rsidRPr="0028108F">
        <w:rPr>
          <w:rFonts w:ascii="Arial" w:hAnsi="Arial" w:cs="Arial"/>
          <w:szCs w:val="24"/>
          <w:lang w:val="en-GB"/>
        </w:rPr>
        <w:t>.</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r w:rsidR="00715D8F" w:rsidRPr="0028108F">
        <w:rPr>
          <w:rFonts w:ascii="Arial" w:hAnsi="Arial" w:cs="Arial"/>
          <w:i/>
          <w:szCs w:val="24"/>
          <w:lang w:val="en-GB"/>
        </w:rPr>
        <w:t xml:space="preserve"> &amp; Confidentiality</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Upon gender recognition, </w:t>
      </w:r>
      <w:r w:rsidR="00FD0D9C">
        <w:rPr>
          <w:rFonts w:ascii="Arial" w:hAnsi="Arial" w:cs="Arial" w:hint="eastAsia"/>
          <w:szCs w:val="24"/>
          <w:lang w:val="en-GB"/>
        </w:rPr>
        <w:t>nine</w:t>
      </w:r>
      <w:r w:rsidRPr="0028108F">
        <w:rPr>
          <w:rFonts w:ascii="Arial" w:hAnsi="Arial" w:cs="Arial"/>
          <w:szCs w:val="24"/>
          <w:lang w:val="en-GB"/>
        </w:rPr>
        <w:t xml:space="preserve"> jurisdictions in Canada</w:t>
      </w:r>
      <w:r w:rsidR="00A31871" w:rsidRPr="0028108F">
        <w:rPr>
          <w:rStyle w:val="FootnoteReference"/>
          <w:rFonts w:ascii="Arial" w:hAnsi="Arial" w:cs="Arial"/>
          <w:szCs w:val="24"/>
          <w:lang w:val="en-GB"/>
        </w:rPr>
        <w:footnoteReference w:id="371"/>
      </w:r>
      <w:r w:rsidRPr="0028108F">
        <w:rPr>
          <w:rFonts w:ascii="Arial" w:hAnsi="Arial" w:cs="Arial"/>
          <w:szCs w:val="24"/>
          <w:lang w:val="en-GB"/>
        </w:rPr>
        <w:t xml:space="preserve"> will issue a new birth certificate to give effect to the gender change for all legal purposes</w:t>
      </w:r>
      <w:r w:rsidR="00F34637" w:rsidRPr="0028108F">
        <w:rPr>
          <w:rFonts w:ascii="Arial" w:hAnsi="Arial" w:cs="Arial"/>
          <w:szCs w:val="24"/>
          <w:lang w:val="en-GB"/>
        </w:rPr>
        <w:t xml:space="preserve">, and some of them provide further guarantee on the confidentiality of gender change (for example, </w:t>
      </w:r>
      <w:r w:rsidRPr="0028108F">
        <w:rPr>
          <w:rFonts w:ascii="Arial" w:hAnsi="Arial" w:cs="Arial"/>
          <w:szCs w:val="24"/>
          <w:lang w:val="en-GB"/>
        </w:rPr>
        <w:t>Manitoba expresses that the new birth certificate “</w:t>
      </w:r>
      <w:r w:rsidRPr="0028108F">
        <w:rPr>
          <w:rFonts w:ascii="Arial" w:hAnsi="Arial" w:cs="Arial"/>
          <w:i/>
          <w:szCs w:val="24"/>
          <w:lang w:val="en-GB"/>
        </w:rPr>
        <w:t>must be issued as if the original registration had been made with the sex designation as changed.</w:t>
      </w:r>
      <w:r w:rsidRPr="0028108F">
        <w:rPr>
          <w:rFonts w:ascii="Arial" w:hAnsi="Arial" w:cs="Arial"/>
          <w:szCs w:val="24"/>
          <w:lang w:val="en-GB"/>
        </w:rPr>
        <w:t>”</w:t>
      </w:r>
      <w:r w:rsidRPr="0028108F">
        <w:rPr>
          <w:rStyle w:val="FootnoteReference"/>
          <w:rFonts w:ascii="Arial" w:hAnsi="Arial" w:cs="Arial"/>
          <w:szCs w:val="24"/>
          <w:lang w:val="en-GB"/>
        </w:rPr>
        <w:footnoteReference w:id="372"/>
      </w:r>
      <w:r w:rsidR="00F34637" w:rsidRPr="0028108F">
        <w:rPr>
          <w:rFonts w:ascii="Arial" w:hAnsi="Arial" w:cs="Arial"/>
          <w:szCs w:val="24"/>
          <w:lang w:val="en-GB"/>
        </w:rPr>
        <w:t>)</w:t>
      </w:r>
      <w:r w:rsidR="00715D8F" w:rsidRPr="0028108F">
        <w:rPr>
          <w:rFonts w:ascii="Arial" w:hAnsi="Arial" w:cs="Arial"/>
          <w:szCs w:val="24"/>
          <w:lang w:val="en-GB"/>
        </w:rPr>
        <w:t xml:space="preserve"> </w:t>
      </w:r>
      <w:r w:rsidR="00F34637" w:rsidRPr="0028108F">
        <w:rPr>
          <w:rFonts w:ascii="Arial" w:hAnsi="Arial" w:cs="Arial"/>
          <w:szCs w:val="24"/>
          <w:lang w:val="en-GB"/>
        </w:rPr>
        <w:t xml:space="preserve"> On the other hand, it is unclear whether Nova Scotia and Quebec have mechanisms to keep confidential a change of sex entry in the registry.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tabs>
          <w:tab w:val="left" w:pos="1418"/>
        </w:tabs>
        <w:adjustRightInd w:val="0"/>
        <w:snapToGrid w:val="0"/>
        <w:jc w:val="both"/>
        <w:rPr>
          <w:rFonts w:ascii="Arial" w:hAnsi="Arial" w:cs="Arial"/>
          <w:b/>
          <w:i/>
          <w:szCs w:val="24"/>
          <w:lang w:val="en-GB"/>
        </w:rPr>
      </w:pPr>
      <w:r w:rsidRPr="0028108F">
        <w:rPr>
          <w:rFonts w:ascii="Arial" w:hAnsi="Arial" w:cs="Arial"/>
          <w:b/>
          <w:i/>
          <w:szCs w:val="24"/>
          <w:lang w:val="en-GB"/>
        </w:rPr>
        <w:t>Saskatchewan</w:t>
      </w:r>
    </w:p>
    <w:p w:rsidR="003D52D7" w:rsidRPr="0028108F" w:rsidRDefault="003D52D7" w:rsidP="003D52D7">
      <w:pPr>
        <w:tabs>
          <w:tab w:val="left" w:pos="1418"/>
        </w:tabs>
        <w:adjustRightInd w:val="0"/>
        <w:snapToGrid w:val="0"/>
        <w:jc w:val="both"/>
        <w:rPr>
          <w:rFonts w:ascii="Arial" w:hAnsi="Arial" w:cs="Arial"/>
          <w:b/>
          <w:i/>
          <w:szCs w:val="24"/>
          <w:lang w:val="en-GB"/>
        </w:rPr>
      </w:pP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i/>
          <w:szCs w:val="24"/>
          <w:lang w:val="en-GB"/>
        </w:rPr>
      </w:pPr>
      <w:r w:rsidRPr="0028108F">
        <w:rPr>
          <w:rFonts w:ascii="Arial" w:hAnsi="Arial" w:cs="Arial"/>
          <w:szCs w:val="24"/>
          <w:lang w:val="en-GB"/>
        </w:rPr>
        <w:t xml:space="preserve">As an example of a Canadian scheme, the relevant provisions of the Saskatchewan system are discussed below.  </w:t>
      </w:r>
    </w:p>
    <w:p w:rsidR="003D52D7" w:rsidRPr="0028108F" w:rsidRDefault="003D52D7" w:rsidP="003D52D7">
      <w:pPr>
        <w:pStyle w:val="ListParagraph"/>
        <w:widowControl/>
        <w:tabs>
          <w:tab w:val="left" w:pos="1418"/>
        </w:tabs>
        <w:adjustRightInd w:val="0"/>
        <w:snapToGrid w:val="0"/>
        <w:ind w:leftChars="0" w:left="0"/>
        <w:jc w:val="both"/>
        <w:rPr>
          <w:rFonts w:ascii="Arial" w:hAnsi="Arial" w:cs="Arial"/>
          <w:i/>
          <w:szCs w:val="24"/>
          <w:lang w:val="en-GB"/>
        </w:rPr>
      </w:pPr>
    </w:p>
    <w:p w:rsidR="0089199A" w:rsidRDefault="0089199A" w:rsidP="003D52D7">
      <w:pPr>
        <w:tabs>
          <w:tab w:val="left" w:pos="1418"/>
        </w:tabs>
        <w:adjustRightInd w:val="0"/>
        <w:snapToGrid w:val="0"/>
        <w:jc w:val="both"/>
        <w:rPr>
          <w:rFonts w:ascii="Arial" w:hAnsi="Arial" w:cs="Arial"/>
          <w:i/>
          <w:szCs w:val="24"/>
          <w:lang w:val="en-GB"/>
        </w:rPr>
      </w:pPr>
    </w:p>
    <w:p w:rsidR="003D52D7"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Types of measures allowing rectification of official documents</w:t>
      </w:r>
    </w:p>
    <w:p w:rsidR="0089199A" w:rsidRPr="0028108F" w:rsidRDefault="0089199A" w:rsidP="003D52D7">
      <w:pPr>
        <w:tabs>
          <w:tab w:val="left" w:pos="1418"/>
        </w:tabs>
        <w:adjustRightInd w:val="0"/>
        <w:snapToGrid w:val="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relevant provisions are contained in the Vital Statistics Act</w:t>
      </w:r>
      <w:r w:rsidRPr="0028108F">
        <w:rPr>
          <w:rFonts w:ascii="Arial" w:hAnsi="Arial" w:cs="Arial"/>
          <w:i/>
          <w:szCs w:val="24"/>
          <w:lang w:val="en-GB"/>
        </w:rPr>
        <w:t>,</w:t>
      </w:r>
      <w:r w:rsidRPr="0028108F">
        <w:rPr>
          <w:rFonts w:ascii="Arial" w:hAnsi="Arial" w:cs="Arial"/>
          <w:szCs w:val="24"/>
          <w:lang w:val="en-GB"/>
        </w:rPr>
        <w:t xml:space="preserve"> </w:t>
      </w:r>
      <w:r w:rsidR="00696421" w:rsidRPr="0028108F">
        <w:rPr>
          <w:rFonts w:ascii="Arial" w:hAnsi="Arial" w:cs="Arial"/>
          <w:szCs w:val="24"/>
          <w:lang w:val="en-GB"/>
        </w:rPr>
        <w:t>with the latest version in force since 30 June 2016.</w:t>
      </w:r>
    </w:p>
    <w:p w:rsidR="003D52D7" w:rsidRPr="00852612" w:rsidRDefault="003D52D7" w:rsidP="00852612">
      <w:pPr>
        <w:tabs>
          <w:tab w:val="left" w:pos="1418"/>
        </w:tabs>
        <w:adjustRightInd w:val="0"/>
        <w:snapToGrid w:val="0"/>
        <w:jc w:val="both"/>
        <w:rPr>
          <w:rFonts w:ascii="Arial" w:hAnsi="Arial" w:cs="Arial"/>
          <w:i/>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Authority to determine applications</w:t>
      </w:r>
    </w:p>
    <w:p w:rsidR="003D52D7" w:rsidRPr="00852612" w:rsidRDefault="003D52D7" w:rsidP="00852612">
      <w:pPr>
        <w:tabs>
          <w:tab w:val="left" w:pos="1418"/>
        </w:tabs>
        <w:adjustRightInd w:val="0"/>
        <w:snapToGrid w:val="0"/>
        <w:jc w:val="both"/>
        <w:rPr>
          <w:rFonts w:ascii="Arial" w:hAnsi="Arial" w:cs="Arial"/>
          <w:i/>
          <w:szCs w:val="24"/>
          <w:lang w:val="en-GB"/>
        </w:rPr>
      </w:pPr>
    </w:p>
    <w:p w:rsidR="003D52D7" w:rsidRPr="0028108F" w:rsidRDefault="005877EC"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w:t>
      </w:r>
      <w:r w:rsidR="003D52D7" w:rsidRPr="0028108F">
        <w:rPr>
          <w:rFonts w:ascii="Arial" w:hAnsi="Arial" w:cs="Arial"/>
          <w:szCs w:val="24"/>
          <w:lang w:val="en-GB"/>
        </w:rPr>
        <w:t>pplications for gender change are dealt with by the Registrar of Vital Statistics (section 31(1)).</w:t>
      </w:r>
    </w:p>
    <w:p w:rsidR="003D52D7" w:rsidRPr="00852612" w:rsidRDefault="003D52D7" w:rsidP="00852612">
      <w:pPr>
        <w:tabs>
          <w:tab w:val="left" w:pos="1418"/>
        </w:tabs>
        <w:adjustRightInd w:val="0"/>
        <w:snapToGrid w:val="0"/>
        <w:jc w:val="both"/>
        <w:rPr>
          <w:rFonts w:ascii="Arial" w:hAnsi="Arial" w:cs="Arial"/>
          <w:i/>
          <w:szCs w:val="24"/>
          <w:lang w:val="en-GB"/>
        </w:rPr>
      </w:pPr>
    </w:p>
    <w:p w:rsidR="003D52D7" w:rsidRPr="0028108F" w:rsidRDefault="005877EC"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Minimum age requirement</w:t>
      </w:r>
    </w:p>
    <w:p w:rsidR="003D52D7" w:rsidRPr="00852612" w:rsidRDefault="003D52D7" w:rsidP="00852612">
      <w:pPr>
        <w:tabs>
          <w:tab w:val="left" w:pos="1418"/>
        </w:tabs>
        <w:adjustRightInd w:val="0"/>
        <w:snapToGrid w:val="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According to section 31(</w:t>
      </w:r>
      <w:r w:rsidR="00EB1D9D" w:rsidRPr="0028108F">
        <w:rPr>
          <w:rFonts w:ascii="Arial" w:hAnsi="Arial" w:cs="Arial"/>
          <w:szCs w:val="24"/>
          <w:lang w:val="en-GB"/>
        </w:rPr>
        <w:t>2</w:t>
      </w:r>
      <w:r w:rsidRPr="0028108F">
        <w:rPr>
          <w:rFonts w:ascii="Arial" w:hAnsi="Arial" w:cs="Arial"/>
          <w:szCs w:val="24"/>
          <w:lang w:val="en-GB"/>
        </w:rPr>
        <w:t>) of the Vital Statistics Act</w:t>
      </w:r>
      <w:r w:rsidR="005877EC" w:rsidRPr="0028108F">
        <w:rPr>
          <w:rFonts w:ascii="Arial" w:hAnsi="Arial" w:cs="Arial"/>
          <w:szCs w:val="24"/>
          <w:lang w:val="en-GB"/>
        </w:rPr>
        <w:t>,</w:t>
      </w:r>
      <w:r w:rsidRPr="0028108F">
        <w:rPr>
          <w:rFonts w:ascii="Arial" w:hAnsi="Arial" w:cs="Arial"/>
          <w:i/>
          <w:szCs w:val="24"/>
          <w:lang w:val="en-GB"/>
        </w:rPr>
        <w:t xml:space="preserve"> </w:t>
      </w:r>
      <w:r w:rsidRPr="0028108F">
        <w:rPr>
          <w:rFonts w:ascii="Arial" w:hAnsi="Arial" w:cs="Arial"/>
          <w:szCs w:val="24"/>
          <w:lang w:val="en-GB"/>
        </w:rPr>
        <w:t xml:space="preserve">a person </w:t>
      </w:r>
      <w:r w:rsidR="00EB1D9D" w:rsidRPr="0028108F">
        <w:rPr>
          <w:rFonts w:ascii="Arial" w:hAnsi="Arial" w:cs="Arial"/>
          <w:szCs w:val="24"/>
          <w:lang w:val="en-GB"/>
        </w:rPr>
        <w:t>can only apply for a change in sex designation if he or she is at least 18 years old and whose birth is in Saskatchewan.</w:t>
      </w:r>
      <w:r w:rsidRPr="0028108F">
        <w:rPr>
          <w:rFonts w:ascii="Arial" w:hAnsi="Arial" w:cs="Arial"/>
          <w:szCs w:val="24"/>
          <w:lang w:val="en-GB"/>
        </w:rPr>
        <w:t xml:space="preserve"> </w:t>
      </w:r>
    </w:p>
    <w:p w:rsidR="003D52D7" w:rsidRPr="00852612" w:rsidRDefault="003D52D7" w:rsidP="00852612">
      <w:pPr>
        <w:tabs>
          <w:tab w:val="left" w:pos="1418"/>
        </w:tabs>
        <w:adjustRightInd w:val="0"/>
        <w:snapToGrid w:val="0"/>
        <w:jc w:val="both"/>
        <w:rPr>
          <w:rFonts w:ascii="Arial" w:hAnsi="Arial" w:cs="Arial"/>
          <w:i/>
          <w:szCs w:val="24"/>
          <w:lang w:val="en-GB"/>
        </w:rPr>
      </w:pPr>
    </w:p>
    <w:p w:rsidR="003D52D7" w:rsidRPr="0028108F" w:rsidRDefault="003D52D7" w:rsidP="003D52D7">
      <w:pPr>
        <w:tabs>
          <w:tab w:val="left" w:pos="1418"/>
        </w:tabs>
        <w:adjustRightInd w:val="0"/>
        <w:snapToGrid w:val="0"/>
        <w:jc w:val="both"/>
        <w:rPr>
          <w:rFonts w:ascii="Arial" w:hAnsi="Arial" w:cs="Arial"/>
          <w:i/>
          <w:szCs w:val="24"/>
          <w:lang w:val="en-GB"/>
        </w:rPr>
      </w:pPr>
      <w:r w:rsidRPr="0028108F">
        <w:rPr>
          <w:rFonts w:ascii="Arial" w:hAnsi="Arial" w:cs="Arial"/>
          <w:i/>
          <w:szCs w:val="24"/>
          <w:lang w:val="en-GB"/>
        </w:rPr>
        <w:t>Evidential requirements</w:t>
      </w:r>
    </w:p>
    <w:p w:rsidR="003D52D7" w:rsidRPr="00852612" w:rsidRDefault="003D52D7" w:rsidP="00852612">
      <w:pPr>
        <w:tabs>
          <w:tab w:val="left" w:pos="1418"/>
        </w:tabs>
        <w:adjustRightInd w:val="0"/>
        <w:snapToGrid w:val="0"/>
        <w:jc w:val="both"/>
        <w:rPr>
          <w:rFonts w:ascii="Arial" w:hAnsi="Arial" w:cs="Arial"/>
          <w:i/>
          <w:szCs w:val="24"/>
          <w:lang w:val="en-GB"/>
        </w:rPr>
      </w:pPr>
    </w:p>
    <w:p w:rsidR="00EB1D9D" w:rsidRPr="0028108F" w:rsidRDefault="003D52D7" w:rsidP="0028108F">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w:t>
      </w:r>
      <w:r w:rsidR="00EB1D9D" w:rsidRPr="0028108F">
        <w:rPr>
          <w:rFonts w:ascii="Arial" w:hAnsi="Arial" w:cs="Arial"/>
          <w:szCs w:val="24"/>
          <w:lang w:val="en-GB"/>
        </w:rPr>
        <w:t>application must be made in good faith (</w:t>
      </w:r>
      <w:r w:rsidR="006B3DC7" w:rsidRPr="0028108F">
        <w:rPr>
          <w:rFonts w:ascii="Arial" w:hAnsi="Arial" w:cs="Arial"/>
          <w:szCs w:val="24"/>
          <w:lang w:val="en-GB"/>
        </w:rPr>
        <w:t>s31(4</w:t>
      </w:r>
      <w:r w:rsidR="00EB1D9D" w:rsidRPr="0028108F">
        <w:rPr>
          <w:rFonts w:ascii="Arial" w:hAnsi="Arial" w:cs="Arial"/>
          <w:szCs w:val="24"/>
          <w:lang w:val="en-GB"/>
        </w:rPr>
        <w:t xml:space="preserve">)), and the </w:t>
      </w:r>
      <w:r w:rsidRPr="0028108F">
        <w:rPr>
          <w:rFonts w:ascii="Arial" w:hAnsi="Arial" w:cs="Arial"/>
          <w:szCs w:val="24"/>
          <w:lang w:val="en-GB"/>
        </w:rPr>
        <w:t>Registrar requires evidence including (sections 31(2)(</w:t>
      </w:r>
      <w:r w:rsidR="006A09DE" w:rsidRPr="0028108F">
        <w:rPr>
          <w:rFonts w:ascii="Arial" w:hAnsi="Arial" w:cs="Arial"/>
          <w:szCs w:val="24"/>
          <w:lang w:val="en-GB"/>
        </w:rPr>
        <w:t>a</w:t>
      </w:r>
      <w:r w:rsidRPr="0028108F">
        <w:rPr>
          <w:rFonts w:ascii="Arial" w:hAnsi="Arial" w:cs="Arial"/>
          <w:szCs w:val="24"/>
          <w:lang w:val="en-GB"/>
        </w:rPr>
        <w:t>) to 31(2)(d)):</w:t>
      </w:r>
    </w:p>
    <w:p w:rsidR="005877EC" w:rsidRPr="00852612" w:rsidRDefault="005877EC" w:rsidP="00852612">
      <w:pPr>
        <w:tabs>
          <w:tab w:val="left" w:pos="1418"/>
        </w:tabs>
        <w:adjustRightInd w:val="0"/>
        <w:snapToGrid w:val="0"/>
        <w:jc w:val="both"/>
        <w:rPr>
          <w:rFonts w:ascii="Arial" w:hAnsi="Arial" w:cs="Arial"/>
          <w:i/>
          <w:szCs w:val="24"/>
          <w:lang w:val="en-GB"/>
        </w:rPr>
      </w:pPr>
    </w:p>
    <w:p w:rsidR="00EB1D9D" w:rsidRPr="0028108F" w:rsidRDefault="00EB1D9D" w:rsidP="0028108F">
      <w:pPr>
        <w:pStyle w:val="ListParagraph"/>
        <w:numPr>
          <w:ilvl w:val="0"/>
          <w:numId w:val="111"/>
        </w:numPr>
        <w:tabs>
          <w:tab w:val="left" w:pos="1418"/>
        </w:tabs>
        <w:adjustRightInd w:val="0"/>
        <w:snapToGrid w:val="0"/>
        <w:ind w:leftChars="0" w:left="1418" w:hanging="709"/>
        <w:jc w:val="both"/>
        <w:rPr>
          <w:rFonts w:ascii="Arial" w:hAnsi="Arial" w:cs="Arial"/>
          <w:szCs w:val="24"/>
          <w:lang w:val="en-GB"/>
        </w:rPr>
      </w:pPr>
      <w:r w:rsidRPr="00181CF2">
        <w:rPr>
          <w:rFonts w:ascii="Arial" w:hAnsi="Arial" w:cs="Arial"/>
          <w:szCs w:val="24"/>
          <w:lang w:val="en-GB"/>
        </w:rPr>
        <w:t>an applica</w:t>
      </w:r>
      <w:r w:rsidR="00CB4057" w:rsidRPr="00C57CE1">
        <w:rPr>
          <w:rFonts w:ascii="Arial" w:hAnsi="Arial" w:cs="Arial"/>
          <w:szCs w:val="24"/>
          <w:lang w:val="en-GB"/>
        </w:rPr>
        <w:t xml:space="preserve">tion in a form approved by the </w:t>
      </w:r>
      <w:r w:rsidR="00CB4057" w:rsidRPr="0028108F">
        <w:rPr>
          <w:rFonts w:ascii="Arial" w:hAnsi="Arial" w:cs="Arial"/>
          <w:szCs w:val="24"/>
          <w:lang w:val="en-GB"/>
        </w:rPr>
        <w:t>R</w:t>
      </w:r>
      <w:r w:rsidRPr="0028108F">
        <w:rPr>
          <w:rFonts w:ascii="Arial" w:hAnsi="Arial" w:cs="Arial"/>
          <w:szCs w:val="24"/>
          <w:lang w:val="en-GB"/>
        </w:rPr>
        <w:t>egistrar</w:t>
      </w:r>
      <w:r w:rsidR="005877EC" w:rsidRPr="0028108F">
        <w:rPr>
          <w:rFonts w:ascii="Arial" w:hAnsi="Arial" w:cs="Arial"/>
          <w:szCs w:val="24"/>
          <w:lang w:val="en-GB"/>
        </w:rPr>
        <w:t>;</w:t>
      </w:r>
    </w:p>
    <w:p w:rsidR="006A09DE" w:rsidRPr="0028108F" w:rsidRDefault="006A09DE" w:rsidP="00852612">
      <w:pPr>
        <w:tabs>
          <w:tab w:val="left" w:pos="1418"/>
        </w:tabs>
        <w:adjustRightInd w:val="0"/>
        <w:snapToGrid w:val="0"/>
        <w:spacing w:line="180" w:lineRule="auto"/>
        <w:jc w:val="both"/>
        <w:rPr>
          <w:rFonts w:ascii="Arial" w:hAnsi="Arial" w:cs="Arial"/>
          <w:szCs w:val="24"/>
          <w:lang w:val="en-GB"/>
        </w:rPr>
      </w:pPr>
    </w:p>
    <w:p w:rsidR="00EB1D9D" w:rsidRPr="00181CF2" w:rsidRDefault="00EB1D9D" w:rsidP="0028108F">
      <w:pPr>
        <w:pStyle w:val="ListParagraph"/>
        <w:numPr>
          <w:ilvl w:val="0"/>
          <w:numId w:val="111"/>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a statutory declaration made by the applicant, in a form approved by the</w:t>
      </w:r>
      <w:r w:rsidRPr="00181CF2">
        <w:rPr>
          <w:rFonts w:ascii="Arial" w:hAnsi="Arial" w:cs="Arial"/>
          <w:szCs w:val="24"/>
          <w:lang w:val="en-GB"/>
        </w:rPr>
        <w:t xml:space="preserve"> </w:t>
      </w:r>
      <w:r w:rsidR="006B3DC7" w:rsidRPr="00C57CE1">
        <w:rPr>
          <w:rFonts w:ascii="Arial" w:hAnsi="Arial" w:cs="Arial"/>
          <w:szCs w:val="24"/>
          <w:lang w:val="en-GB"/>
        </w:rPr>
        <w:t>R</w:t>
      </w:r>
      <w:r w:rsidRPr="0028108F">
        <w:rPr>
          <w:rFonts w:ascii="Arial" w:hAnsi="Arial" w:cs="Arial"/>
          <w:szCs w:val="24"/>
          <w:lang w:val="en-GB"/>
        </w:rPr>
        <w:t>egistrar, stating that the applicant has assumed, identifies with and intends to maintain the gender identity that corresponds with the requested amendment to the designation of sex on the applicant’s statement;</w:t>
      </w:r>
    </w:p>
    <w:p w:rsidR="006A09DE" w:rsidRPr="00C57CE1" w:rsidRDefault="006A09DE" w:rsidP="00852612">
      <w:pPr>
        <w:tabs>
          <w:tab w:val="left" w:pos="1418"/>
        </w:tabs>
        <w:adjustRightInd w:val="0"/>
        <w:snapToGrid w:val="0"/>
        <w:spacing w:line="180" w:lineRule="auto"/>
        <w:jc w:val="both"/>
        <w:rPr>
          <w:rFonts w:ascii="Arial" w:hAnsi="Arial" w:cs="Arial"/>
          <w:szCs w:val="24"/>
          <w:lang w:val="en-GB"/>
        </w:rPr>
      </w:pPr>
    </w:p>
    <w:p w:rsidR="00EB1D9D" w:rsidRPr="00C57CE1" w:rsidRDefault="00EB1D9D" w:rsidP="0028108F">
      <w:pPr>
        <w:pStyle w:val="ListParagraph"/>
        <w:numPr>
          <w:ilvl w:val="0"/>
          <w:numId w:val="111"/>
        </w:numPr>
        <w:tabs>
          <w:tab w:val="left" w:pos="1418"/>
        </w:tabs>
        <w:adjustRightInd w:val="0"/>
        <w:snapToGrid w:val="0"/>
        <w:ind w:leftChars="0" w:left="1418" w:hanging="709"/>
        <w:jc w:val="both"/>
        <w:rPr>
          <w:rFonts w:ascii="Arial" w:hAnsi="Arial" w:cs="Arial"/>
          <w:szCs w:val="24"/>
          <w:lang w:val="en-GB"/>
        </w:rPr>
      </w:pPr>
      <w:r w:rsidRPr="0028108F">
        <w:rPr>
          <w:rFonts w:ascii="Arial" w:hAnsi="Arial" w:cs="Arial"/>
          <w:szCs w:val="24"/>
          <w:lang w:val="en-GB"/>
        </w:rPr>
        <w:t>a letter from a health care professional practising in Saskatchewan or in another province or territory of Canada:</w:t>
      </w:r>
      <w:r w:rsidRPr="00181CF2">
        <w:rPr>
          <w:rFonts w:ascii="Arial" w:hAnsi="Arial" w:cs="Arial"/>
          <w:szCs w:val="24"/>
          <w:lang w:val="en-GB"/>
        </w:rPr>
        <w:t xml:space="preserve"> </w:t>
      </w:r>
    </w:p>
    <w:p w:rsidR="006A09DE" w:rsidRPr="0028108F" w:rsidRDefault="006A09DE" w:rsidP="00852612">
      <w:pPr>
        <w:tabs>
          <w:tab w:val="left" w:pos="1418"/>
        </w:tabs>
        <w:adjustRightInd w:val="0"/>
        <w:snapToGrid w:val="0"/>
        <w:spacing w:line="180" w:lineRule="auto"/>
        <w:jc w:val="both"/>
        <w:rPr>
          <w:rFonts w:ascii="Arial" w:hAnsi="Arial" w:cs="Arial"/>
          <w:szCs w:val="24"/>
          <w:lang w:val="en-GB"/>
        </w:rPr>
      </w:pPr>
    </w:p>
    <w:p w:rsidR="006A09DE" w:rsidRPr="00181CF2" w:rsidRDefault="00EB1D9D" w:rsidP="0028108F">
      <w:pPr>
        <w:pStyle w:val="ListParagraph"/>
        <w:numPr>
          <w:ilvl w:val="0"/>
          <w:numId w:val="112"/>
        </w:numPr>
        <w:tabs>
          <w:tab w:val="left" w:pos="1418"/>
        </w:tabs>
        <w:adjustRightInd w:val="0"/>
        <w:snapToGrid w:val="0"/>
        <w:ind w:leftChars="0"/>
        <w:jc w:val="both"/>
        <w:rPr>
          <w:rFonts w:ascii="Arial" w:hAnsi="Arial" w:cs="Arial"/>
          <w:szCs w:val="24"/>
          <w:lang w:val="en-GB"/>
        </w:rPr>
      </w:pPr>
      <w:r w:rsidRPr="0028108F">
        <w:rPr>
          <w:rFonts w:ascii="Arial" w:hAnsi="Arial" w:cs="Arial"/>
          <w:szCs w:val="24"/>
          <w:lang w:val="en-GB"/>
        </w:rPr>
        <w:t xml:space="preserve">stating that: </w:t>
      </w:r>
    </w:p>
    <w:p w:rsidR="006A09DE" w:rsidRPr="00C57CE1" w:rsidRDefault="006A09DE" w:rsidP="00852612">
      <w:pPr>
        <w:tabs>
          <w:tab w:val="left" w:pos="1418"/>
        </w:tabs>
        <w:adjustRightInd w:val="0"/>
        <w:snapToGrid w:val="0"/>
        <w:spacing w:line="180" w:lineRule="auto"/>
        <w:jc w:val="both"/>
        <w:rPr>
          <w:rFonts w:ascii="Arial" w:hAnsi="Arial" w:cs="Arial"/>
          <w:szCs w:val="24"/>
          <w:lang w:val="en-GB"/>
        </w:rPr>
      </w:pPr>
    </w:p>
    <w:p w:rsidR="006A09DE" w:rsidRPr="00181CF2" w:rsidRDefault="00EB1D9D" w:rsidP="0028108F">
      <w:pPr>
        <w:pStyle w:val="ListParagraph"/>
        <w:numPr>
          <w:ilvl w:val="0"/>
          <w:numId w:val="113"/>
        </w:numPr>
        <w:tabs>
          <w:tab w:val="left" w:pos="1418"/>
        </w:tabs>
        <w:adjustRightInd w:val="0"/>
        <w:snapToGrid w:val="0"/>
        <w:ind w:leftChars="0"/>
        <w:jc w:val="both"/>
        <w:rPr>
          <w:rFonts w:ascii="Arial" w:hAnsi="Arial" w:cs="Arial"/>
          <w:szCs w:val="24"/>
          <w:lang w:val="en-GB"/>
        </w:rPr>
      </w:pPr>
      <w:r w:rsidRPr="0028108F">
        <w:rPr>
          <w:rFonts w:ascii="Arial" w:hAnsi="Arial" w:cs="Arial"/>
          <w:szCs w:val="24"/>
          <w:lang w:val="en-GB"/>
        </w:rPr>
        <w:t xml:space="preserve">the health care professional has treated or evaluated the applicant; </w:t>
      </w:r>
    </w:p>
    <w:p w:rsidR="006A09DE" w:rsidRPr="00C57CE1" w:rsidRDefault="006A09DE" w:rsidP="00852612">
      <w:pPr>
        <w:tabs>
          <w:tab w:val="left" w:pos="1418"/>
        </w:tabs>
        <w:adjustRightInd w:val="0"/>
        <w:snapToGrid w:val="0"/>
        <w:spacing w:line="180" w:lineRule="auto"/>
        <w:jc w:val="both"/>
        <w:rPr>
          <w:rFonts w:ascii="Arial" w:hAnsi="Arial" w:cs="Arial"/>
          <w:szCs w:val="24"/>
          <w:lang w:val="en-GB"/>
        </w:rPr>
      </w:pPr>
    </w:p>
    <w:p w:rsidR="006A09DE" w:rsidRPr="00181CF2" w:rsidRDefault="00EB1D9D" w:rsidP="0028108F">
      <w:pPr>
        <w:pStyle w:val="ListParagraph"/>
        <w:numPr>
          <w:ilvl w:val="0"/>
          <w:numId w:val="113"/>
        </w:numPr>
        <w:tabs>
          <w:tab w:val="left" w:pos="1418"/>
        </w:tabs>
        <w:adjustRightInd w:val="0"/>
        <w:snapToGrid w:val="0"/>
        <w:ind w:leftChars="0"/>
        <w:jc w:val="both"/>
        <w:rPr>
          <w:rFonts w:ascii="Arial" w:hAnsi="Arial" w:cs="Arial"/>
          <w:szCs w:val="24"/>
          <w:lang w:val="en-GB"/>
        </w:rPr>
      </w:pPr>
      <w:r w:rsidRPr="0028108F">
        <w:rPr>
          <w:rFonts w:ascii="Arial" w:hAnsi="Arial" w:cs="Arial"/>
          <w:szCs w:val="24"/>
          <w:lang w:val="en-GB"/>
        </w:rPr>
        <w:t>in the health care professional’s opinion, the applicant has assumed, identifies with and is maintaining the gender identity that corresponds with the requested amendment to the designation of sex on the applicant’s statement; and</w:t>
      </w:r>
    </w:p>
    <w:p w:rsidR="006A09DE" w:rsidRPr="00C57CE1" w:rsidRDefault="006A09DE" w:rsidP="00852612">
      <w:pPr>
        <w:tabs>
          <w:tab w:val="left" w:pos="1418"/>
        </w:tabs>
        <w:adjustRightInd w:val="0"/>
        <w:snapToGrid w:val="0"/>
        <w:spacing w:line="180" w:lineRule="auto"/>
        <w:jc w:val="both"/>
        <w:rPr>
          <w:rFonts w:ascii="Arial" w:hAnsi="Arial" w:cs="Arial"/>
          <w:szCs w:val="24"/>
          <w:lang w:val="en-GB"/>
        </w:rPr>
      </w:pPr>
    </w:p>
    <w:p w:rsidR="006A09DE" w:rsidRPr="0028108F" w:rsidRDefault="00EB1D9D" w:rsidP="0028108F">
      <w:pPr>
        <w:pStyle w:val="ListParagraph"/>
        <w:numPr>
          <w:ilvl w:val="0"/>
          <w:numId w:val="113"/>
        </w:numPr>
        <w:tabs>
          <w:tab w:val="left" w:pos="1418"/>
        </w:tabs>
        <w:adjustRightInd w:val="0"/>
        <w:snapToGrid w:val="0"/>
        <w:ind w:leftChars="0"/>
        <w:jc w:val="both"/>
        <w:rPr>
          <w:rFonts w:ascii="Arial" w:hAnsi="Arial" w:cs="Arial"/>
          <w:szCs w:val="24"/>
          <w:lang w:val="en-GB"/>
        </w:rPr>
      </w:pPr>
      <w:r w:rsidRPr="0028108F">
        <w:rPr>
          <w:rFonts w:ascii="Arial" w:hAnsi="Arial" w:cs="Arial"/>
          <w:szCs w:val="24"/>
          <w:lang w:val="en-GB"/>
        </w:rPr>
        <w:t xml:space="preserve">in the health care professional’s opinion, the change of sex designation on the applicant’s statement is appropriate; and </w:t>
      </w:r>
    </w:p>
    <w:p w:rsidR="006A09DE" w:rsidRPr="00181CF2" w:rsidRDefault="006A09DE" w:rsidP="00852612">
      <w:pPr>
        <w:tabs>
          <w:tab w:val="left" w:pos="1418"/>
        </w:tabs>
        <w:adjustRightInd w:val="0"/>
        <w:snapToGrid w:val="0"/>
        <w:spacing w:line="180" w:lineRule="auto"/>
        <w:jc w:val="both"/>
        <w:rPr>
          <w:rFonts w:ascii="Arial" w:hAnsi="Arial" w:cs="Arial"/>
          <w:szCs w:val="24"/>
          <w:lang w:val="en-GB"/>
        </w:rPr>
      </w:pPr>
    </w:p>
    <w:p w:rsidR="00EB1D9D" w:rsidRPr="00181CF2" w:rsidRDefault="00EB1D9D" w:rsidP="0028108F">
      <w:pPr>
        <w:pStyle w:val="ListParagraph"/>
        <w:numPr>
          <w:ilvl w:val="0"/>
          <w:numId w:val="112"/>
        </w:numPr>
        <w:tabs>
          <w:tab w:val="left" w:pos="1418"/>
        </w:tabs>
        <w:adjustRightInd w:val="0"/>
        <w:snapToGrid w:val="0"/>
        <w:ind w:leftChars="0"/>
        <w:jc w:val="both"/>
        <w:rPr>
          <w:rFonts w:ascii="Arial" w:hAnsi="Arial" w:cs="Arial"/>
          <w:szCs w:val="24"/>
          <w:lang w:val="en-GB"/>
        </w:rPr>
      </w:pPr>
      <w:r w:rsidRPr="0028108F">
        <w:rPr>
          <w:rFonts w:ascii="Arial" w:hAnsi="Arial" w:cs="Arial"/>
          <w:szCs w:val="24"/>
          <w:lang w:val="en-GB"/>
        </w:rPr>
        <w:t>containing any oth</w:t>
      </w:r>
      <w:r w:rsidR="006B3DC7" w:rsidRPr="00181CF2">
        <w:rPr>
          <w:rFonts w:ascii="Arial" w:hAnsi="Arial" w:cs="Arial"/>
          <w:szCs w:val="24"/>
          <w:lang w:val="en-GB"/>
        </w:rPr>
        <w:t xml:space="preserve">er information required by the </w:t>
      </w:r>
      <w:r w:rsidR="006B3DC7" w:rsidRPr="00C57CE1">
        <w:rPr>
          <w:rFonts w:ascii="Arial" w:hAnsi="Arial" w:cs="Arial"/>
          <w:szCs w:val="24"/>
          <w:lang w:val="en-GB"/>
        </w:rPr>
        <w:t>R</w:t>
      </w:r>
      <w:r w:rsidR="003E1FA1">
        <w:rPr>
          <w:rFonts w:ascii="Arial" w:hAnsi="Arial" w:cs="Arial"/>
          <w:szCs w:val="24"/>
          <w:lang w:val="en-GB"/>
        </w:rPr>
        <w:t>egistrar</w:t>
      </w:r>
      <w:r w:rsidR="003E1FA1">
        <w:rPr>
          <w:rFonts w:ascii="Arial" w:hAnsi="Arial" w:cs="Arial" w:hint="eastAsia"/>
          <w:szCs w:val="24"/>
          <w:lang w:val="en-GB"/>
        </w:rPr>
        <w:t>.</w:t>
      </w:r>
    </w:p>
    <w:p w:rsidR="003D52D7" w:rsidRPr="00852612" w:rsidRDefault="003D52D7" w:rsidP="00852612">
      <w:pPr>
        <w:tabs>
          <w:tab w:val="left" w:pos="1418"/>
        </w:tabs>
        <w:adjustRightInd w:val="0"/>
        <w:snapToGrid w:val="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If the </w:t>
      </w:r>
      <w:r w:rsidR="006B3DC7" w:rsidRPr="0028108F">
        <w:rPr>
          <w:rFonts w:ascii="Arial" w:hAnsi="Arial" w:cs="Arial"/>
          <w:szCs w:val="24"/>
          <w:lang w:val="en-GB"/>
        </w:rPr>
        <w:t xml:space="preserve">applicant resides outside of Canada, the Registrar may accept a letter containing the information </w:t>
      </w:r>
      <w:r w:rsidR="00466286" w:rsidRPr="0028108F">
        <w:rPr>
          <w:rFonts w:ascii="Arial" w:hAnsi="Arial" w:cs="Arial"/>
          <w:szCs w:val="24"/>
          <w:lang w:val="en-GB"/>
        </w:rPr>
        <w:t xml:space="preserve">required by subsection </w:t>
      </w:r>
      <w:r w:rsidR="006B3DC7" w:rsidRPr="0028108F">
        <w:rPr>
          <w:rFonts w:ascii="Arial" w:hAnsi="Arial" w:cs="Arial"/>
          <w:szCs w:val="24"/>
          <w:lang w:val="en-GB"/>
        </w:rPr>
        <w:t xml:space="preserve">(c) </w:t>
      </w:r>
      <w:r w:rsidR="00466286" w:rsidRPr="0028108F">
        <w:rPr>
          <w:rFonts w:ascii="Arial" w:hAnsi="Arial" w:cs="Arial"/>
          <w:szCs w:val="24"/>
          <w:lang w:val="en-GB"/>
        </w:rPr>
        <w:t xml:space="preserve">referred to above </w:t>
      </w:r>
      <w:r w:rsidR="006B3DC7" w:rsidRPr="0028108F">
        <w:rPr>
          <w:rFonts w:ascii="Arial" w:hAnsi="Arial" w:cs="Arial"/>
          <w:szCs w:val="24"/>
          <w:lang w:val="en-GB"/>
        </w:rPr>
        <w:t xml:space="preserve">from a health care professional practising in a jurisdiction outside of Canada </w:t>
      </w:r>
      <w:r w:rsidRPr="0028108F">
        <w:rPr>
          <w:rFonts w:ascii="Arial" w:hAnsi="Arial" w:cs="Arial"/>
          <w:szCs w:val="24"/>
          <w:lang w:val="en-GB"/>
        </w:rPr>
        <w:t>(section 31(3)).</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After the sex of an individual’s registration of birth has been amended, any certificate of birth (which is a certified extract of the statement of live birth) subsequently issued must contain the amended or corrected sex (section 65(1)(d)).  </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Registrar may also require any person to whom a certificate of birth was issued with respect to the individual before the sex was amended or corrected to return the certificate to the Registrar (section 65(3)(b)).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b/>
          <w:i/>
          <w:szCs w:val="24"/>
          <w:lang w:val="en-GB"/>
        </w:rPr>
      </w:pPr>
      <w:r w:rsidRPr="0028108F">
        <w:rPr>
          <w:rFonts w:ascii="Arial" w:hAnsi="Arial" w:cs="Arial"/>
          <w:b/>
          <w:i/>
          <w:szCs w:val="24"/>
          <w:lang w:val="en-GB"/>
        </w:rPr>
        <w:t>Mexico – Federal District</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August 2008, the Federal District of Mexico, a special political division that belongs to the Mexico federation as a whole, amended Article 498(II) in Chapter IV(II) of the Code of Civil Procedure for the Federal District which is entitled </w:t>
      </w:r>
      <w:r w:rsidRPr="0028108F">
        <w:rPr>
          <w:rFonts w:ascii="Arial" w:hAnsi="Arial" w:cs="Arial"/>
          <w:i/>
          <w:szCs w:val="24"/>
          <w:lang w:val="en-GB"/>
        </w:rPr>
        <w:t>“Special Hearing for the Raising of an Act to Match Gender Change.”</w:t>
      </w:r>
      <w:r w:rsidRPr="0028108F">
        <w:rPr>
          <w:rStyle w:val="FootnoteReference"/>
          <w:rFonts w:ascii="Arial" w:hAnsi="Arial" w:cs="Arial"/>
          <w:szCs w:val="24"/>
          <w:lang w:val="en-GB"/>
        </w:rPr>
        <w:footnoteReference w:id="373"/>
      </w:r>
      <w:r w:rsidRPr="0028108F">
        <w:rPr>
          <w:rFonts w:ascii="Arial" w:hAnsi="Arial" w:cs="Arial"/>
          <w:szCs w:val="24"/>
          <w:lang w:val="en-GB"/>
        </w:rPr>
        <w:t xml:space="preserve">  City legislators considered that this was </w:t>
      </w:r>
      <w:r w:rsidRPr="0028108F">
        <w:rPr>
          <w:rFonts w:ascii="Arial" w:hAnsi="Arial" w:cs="Arial"/>
          <w:i/>
          <w:szCs w:val="24"/>
          <w:lang w:val="en-GB"/>
        </w:rPr>
        <w:t>“the first time any member of the transgender, transsexual and transvestite community will have the option to alter their documentation to fit their identity</w:t>
      </w:r>
      <w:r w:rsidRPr="0028108F">
        <w:rPr>
          <w:rFonts w:ascii="Arial" w:hAnsi="Arial" w:cs="Arial"/>
          <w:szCs w:val="24"/>
          <w:lang w:val="en-GB"/>
        </w:rPr>
        <w:t>”.</w:t>
      </w:r>
      <w:r w:rsidRPr="0028108F">
        <w:rPr>
          <w:rStyle w:val="FootnoteReference"/>
          <w:rFonts w:ascii="Arial" w:hAnsi="Arial" w:cs="Arial"/>
          <w:szCs w:val="24"/>
          <w:lang w:val="en-GB"/>
        </w:rPr>
        <w:footnoteReference w:id="374"/>
      </w:r>
      <w:r w:rsidRPr="0028108F">
        <w:rPr>
          <w:rFonts w:ascii="Arial" w:hAnsi="Arial" w:cs="Arial"/>
          <w:szCs w:val="24"/>
          <w:lang w:val="en-GB"/>
        </w:rPr>
        <w:t xml:space="preserve">  </w:t>
      </w: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Under Article 498(II), a new birth certificate denoting the gender change may be issued upon application to the civil court.  The following requirements must be met by the applicant:</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29"/>
        </w:numPr>
        <w:adjustRightInd w:val="0"/>
        <w:snapToGrid w:val="0"/>
        <w:ind w:leftChars="296" w:left="1413" w:hangingChars="293" w:hanging="703"/>
        <w:jc w:val="both"/>
        <w:rPr>
          <w:rFonts w:ascii="Arial" w:hAnsi="Arial" w:cs="Arial"/>
          <w:szCs w:val="24"/>
          <w:lang w:val="en-GB"/>
        </w:rPr>
      </w:pPr>
      <w:r w:rsidRPr="0028108F">
        <w:rPr>
          <w:rFonts w:ascii="Arial" w:hAnsi="Arial" w:cs="Arial"/>
          <w:szCs w:val="24"/>
          <w:lang w:val="en-GB"/>
        </w:rPr>
        <w:t>be of Mexican nationality;</w:t>
      </w:r>
    </w:p>
    <w:p w:rsidR="003D52D7" w:rsidRPr="0028108F" w:rsidRDefault="003D52D7" w:rsidP="003D52D7">
      <w:pPr>
        <w:pStyle w:val="ListParagraph"/>
        <w:adjustRightInd w:val="0"/>
        <w:ind w:leftChars="296" w:left="1413" w:hangingChars="293" w:hanging="703"/>
        <w:jc w:val="both"/>
        <w:rPr>
          <w:rFonts w:ascii="Arial" w:hAnsi="Arial" w:cs="Arial"/>
          <w:szCs w:val="24"/>
          <w:lang w:val="en-GB"/>
        </w:rPr>
      </w:pPr>
    </w:p>
    <w:p w:rsidR="003D52D7" w:rsidRPr="0028108F" w:rsidRDefault="003D52D7" w:rsidP="003D52D7">
      <w:pPr>
        <w:pStyle w:val="ListParagraph"/>
        <w:numPr>
          <w:ilvl w:val="0"/>
          <w:numId w:val="29"/>
        </w:numPr>
        <w:adjustRightInd w:val="0"/>
        <w:snapToGrid w:val="0"/>
        <w:ind w:leftChars="296" w:left="1413" w:hangingChars="293" w:hanging="703"/>
        <w:jc w:val="both"/>
        <w:rPr>
          <w:rFonts w:ascii="Arial" w:hAnsi="Arial" w:cs="Arial"/>
          <w:szCs w:val="24"/>
          <w:lang w:val="en-GB"/>
        </w:rPr>
      </w:pPr>
      <w:r w:rsidRPr="0028108F">
        <w:rPr>
          <w:rFonts w:ascii="Arial" w:hAnsi="Arial" w:cs="Arial"/>
          <w:szCs w:val="24"/>
          <w:lang w:val="en-GB"/>
        </w:rPr>
        <w:t xml:space="preserve">be of age or, in the case of a minor, the application to be made by the child’s parent or guardian; </w:t>
      </w:r>
    </w:p>
    <w:p w:rsidR="003D52D7" w:rsidRPr="0028108F" w:rsidRDefault="003D52D7" w:rsidP="003D52D7">
      <w:pPr>
        <w:pStyle w:val="ListParagraph"/>
        <w:adjustRightInd w:val="0"/>
        <w:ind w:leftChars="296" w:left="1413" w:hangingChars="293" w:hanging="703"/>
        <w:jc w:val="both"/>
        <w:rPr>
          <w:rFonts w:ascii="Arial" w:hAnsi="Arial" w:cs="Arial"/>
          <w:szCs w:val="24"/>
          <w:lang w:val="en-GB"/>
        </w:rPr>
      </w:pPr>
    </w:p>
    <w:p w:rsidR="003D52D7" w:rsidRPr="0028108F" w:rsidRDefault="003D52D7" w:rsidP="003D52D7">
      <w:pPr>
        <w:pStyle w:val="ListParagraph"/>
        <w:numPr>
          <w:ilvl w:val="0"/>
          <w:numId w:val="29"/>
        </w:numPr>
        <w:adjustRightInd w:val="0"/>
        <w:snapToGrid w:val="0"/>
        <w:ind w:leftChars="296" w:left="1413" w:hangingChars="293" w:hanging="703"/>
        <w:jc w:val="both"/>
        <w:rPr>
          <w:rFonts w:ascii="Arial" w:hAnsi="Arial" w:cs="Arial"/>
          <w:szCs w:val="24"/>
          <w:lang w:val="en-GB"/>
        </w:rPr>
      </w:pPr>
      <w:r w:rsidRPr="0028108F">
        <w:rPr>
          <w:rFonts w:ascii="Arial" w:hAnsi="Arial" w:cs="Arial"/>
          <w:szCs w:val="24"/>
          <w:lang w:val="en-GB"/>
        </w:rPr>
        <w:t>provide a verdict or report issued by two professionals or experts with clinical experience in gender reassignment, where one of the experts is the applicant’s treating professional, confirming that the applicant has been subject to the process of gender reassignment (</w:t>
      </w:r>
      <w:r w:rsidR="00D6311F" w:rsidRPr="0028108F">
        <w:rPr>
          <w:rFonts w:ascii="Arial" w:hAnsi="Arial" w:cs="Arial"/>
          <w:szCs w:val="24"/>
          <w:lang w:val="en-GB"/>
        </w:rPr>
        <w:t>eg</w:t>
      </w:r>
      <w:r w:rsidRPr="0028108F">
        <w:rPr>
          <w:rFonts w:ascii="Arial" w:hAnsi="Arial" w:cs="Arial"/>
          <w:szCs w:val="24"/>
          <w:lang w:val="en-GB"/>
        </w:rPr>
        <w:t>, hormone treatment) for a minimum of 5 months, or that definitive action was taken to undergo sex change (surgery).  If the trial judge is not satisfied with the report, he or she may request the participation of other experts.  The applicant must attend a hearing with the experts who have issued the verdict.  In light of the above requirements, a gender reassignment surgery or hormone therapy is no longer mandatory for gender recognition in the Federal District of Mexico.</w:t>
      </w:r>
      <w:r w:rsidRPr="0028108F">
        <w:rPr>
          <w:rStyle w:val="FootnoteReference"/>
          <w:rFonts w:ascii="Arial" w:hAnsi="Arial" w:cs="Arial"/>
          <w:szCs w:val="24"/>
          <w:lang w:val="en-GB"/>
        </w:rPr>
        <w:footnoteReference w:id="375"/>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On 13 November 2014, Mexico City lawmakers approved a Bill that would legally allow transgender people to change their gender without the previously required court order.</w:t>
      </w:r>
      <w:r w:rsidRPr="0028108F">
        <w:rPr>
          <w:rStyle w:val="FootnoteReference"/>
          <w:rFonts w:ascii="Arial" w:hAnsi="Arial" w:cs="Arial"/>
          <w:szCs w:val="24"/>
          <w:lang w:val="en-GB"/>
        </w:rPr>
        <w:footnoteReference w:id="376"/>
      </w:r>
      <w:r w:rsidR="00C8776E">
        <w:rPr>
          <w:rFonts w:ascii="Arial" w:hAnsi="Arial" w:cs="Arial"/>
          <w:szCs w:val="24"/>
          <w:lang w:val="en-GB"/>
        </w:rPr>
        <w:t xml:space="preserve">  </w:t>
      </w:r>
      <w:r w:rsidRPr="0028108F">
        <w:rPr>
          <w:rFonts w:ascii="Arial" w:hAnsi="Arial" w:cs="Arial"/>
          <w:szCs w:val="24"/>
          <w:lang w:val="en-GB"/>
        </w:rPr>
        <w:t xml:space="preserve">As there is no medical requirement for the application for change of gender in Mexico City, applicants can just </w:t>
      </w:r>
      <w:r w:rsidRPr="0028108F">
        <w:rPr>
          <w:rFonts w:ascii="Arial" w:hAnsi="Arial" w:cs="Arial"/>
          <w:i/>
          <w:szCs w:val="24"/>
          <w:lang w:val="en-GB"/>
        </w:rPr>
        <w:t>“stop by the Registry with photo ID and make the change in minutes, with a minimal cost that anyone would incur in seeking a copy of their birth certificate</w:t>
      </w:r>
      <w:r w:rsidRPr="0028108F">
        <w:rPr>
          <w:rFonts w:ascii="Arial" w:hAnsi="Arial" w:cs="Arial"/>
          <w:szCs w:val="24"/>
          <w:lang w:val="en-GB"/>
        </w:rPr>
        <w:t>”.</w:t>
      </w:r>
      <w:r w:rsidRPr="0028108F">
        <w:rPr>
          <w:rStyle w:val="FootnoteReference"/>
          <w:rFonts w:ascii="Arial" w:hAnsi="Arial" w:cs="Arial"/>
          <w:szCs w:val="24"/>
          <w:lang w:val="en-GB"/>
        </w:rPr>
        <w:footnoteReference w:id="377"/>
      </w:r>
      <w:r w:rsidRPr="0028108F">
        <w:rPr>
          <w:rFonts w:ascii="Arial" w:hAnsi="Arial" w:cs="Arial"/>
          <w:szCs w:val="24"/>
          <w:lang w:val="en-GB"/>
        </w:rPr>
        <w:t xml:space="preserve">  As a result, Mexico City is recognised as having adopted legislation that would follow the Argentinean model of a non-medical simple administrative gender recognition procedure based on the person</w:t>
      </w:r>
      <w:r w:rsidR="00E8253A">
        <w:rPr>
          <w:rFonts w:ascii="Arial" w:hAnsi="Arial" w:cs="Arial"/>
          <w:szCs w:val="24"/>
          <w:lang w:val="en-GB"/>
        </w:rPr>
        <w:t>’</w:t>
      </w:r>
      <w:r w:rsidRPr="0028108F">
        <w:rPr>
          <w:rFonts w:ascii="Arial" w:hAnsi="Arial" w:cs="Arial"/>
          <w:szCs w:val="24"/>
          <w:lang w:val="en-GB"/>
        </w:rPr>
        <w:t>s self-determination.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Concluding remarks on gender recognition in North American jurisdictions</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It is noted that all the provinces in Canada and the Federal District of Mexico have made legislative changes to their gender recognition schemes in recent years.  In the U</w:t>
      </w:r>
      <w:r w:rsidR="00BF0226" w:rsidRPr="0028108F">
        <w:rPr>
          <w:rFonts w:ascii="Arial" w:hAnsi="Arial" w:cs="Arial"/>
          <w:szCs w:val="24"/>
          <w:lang w:val="en-GB"/>
        </w:rPr>
        <w:t>S</w:t>
      </w:r>
      <w:r w:rsidRPr="0028108F">
        <w:rPr>
          <w:rFonts w:ascii="Arial" w:hAnsi="Arial" w:cs="Arial"/>
          <w:szCs w:val="24"/>
          <w:lang w:val="en-GB"/>
        </w:rPr>
        <w:t xml:space="preserve">, </w:t>
      </w:r>
      <w:r w:rsidR="00574666" w:rsidRPr="0028108F">
        <w:rPr>
          <w:rFonts w:ascii="Arial" w:hAnsi="Arial" w:cs="Arial"/>
          <w:szCs w:val="24"/>
          <w:lang w:val="en-GB"/>
        </w:rPr>
        <w:t xml:space="preserve">there were recent legislative and administrative changes regarding gender correction in </w:t>
      </w:r>
      <w:r w:rsidR="00645994" w:rsidRPr="0028108F">
        <w:rPr>
          <w:rFonts w:ascii="Arial" w:hAnsi="Arial" w:cs="Arial"/>
          <w:szCs w:val="24"/>
          <w:lang w:val="en-GB"/>
        </w:rPr>
        <w:t>Connecticut</w:t>
      </w:r>
      <w:r w:rsidR="00574666" w:rsidRPr="0028108F">
        <w:rPr>
          <w:rFonts w:ascii="Arial" w:hAnsi="Arial" w:cs="Arial"/>
          <w:szCs w:val="24"/>
          <w:lang w:val="en-GB"/>
        </w:rPr>
        <w:t xml:space="preserve"> (2015)</w:t>
      </w:r>
      <w:r w:rsidR="00645994" w:rsidRPr="0028108F">
        <w:rPr>
          <w:rFonts w:ascii="Arial" w:hAnsi="Arial" w:cs="Arial"/>
          <w:szCs w:val="24"/>
          <w:lang w:val="en-GB"/>
        </w:rPr>
        <w:t>, Hawaii</w:t>
      </w:r>
      <w:r w:rsidR="00574666" w:rsidRPr="0028108F">
        <w:rPr>
          <w:rFonts w:ascii="Arial" w:hAnsi="Arial" w:cs="Arial"/>
          <w:szCs w:val="24"/>
          <w:lang w:val="en-GB"/>
        </w:rPr>
        <w:t xml:space="preserve"> (2015)</w:t>
      </w:r>
      <w:r w:rsidR="00645994" w:rsidRPr="0028108F">
        <w:rPr>
          <w:rFonts w:ascii="Arial" w:hAnsi="Arial" w:cs="Arial"/>
          <w:szCs w:val="24"/>
          <w:lang w:val="en-GB"/>
        </w:rPr>
        <w:t>, Maryland</w:t>
      </w:r>
      <w:r w:rsidR="00574666" w:rsidRPr="0028108F">
        <w:rPr>
          <w:rFonts w:ascii="Arial" w:hAnsi="Arial" w:cs="Arial"/>
          <w:szCs w:val="24"/>
          <w:lang w:val="en-GB"/>
        </w:rPr>
        <w:t xml:space="preserve"> (2015)</w:t>
      </w:r>
      <w:r w:rsidR="00645994" w:rsidRPr="0028108F">
        <w:rPr>
          <w:rFonts w:ascii="Arial" w:hAnsi="Arial" w:cs="Arial"/>
          <w:szCs w:val="24"/>
          <w:lang w:val="en-GB"/>
        </w:rPr>
        <w:t xml:space="preserve">, </w:t>
      </w:r>
      <w:r w:rsidR="00B53BE5" w:rsidRPr="0028108F">
        <w:rPr>
          <w:rFonts w:ascii="Arial" w:hAnsi="Arial" w:cs="Arial"/>
          <w:szCs w:val="24"/>
          <w:lang w:val="en-GB"/>
        </w:rPr>
        <w:t xml:space="preserve">and </w:t>
      </w:r>
      <w:r w:rsidR="00645994" w:rsidRPr="0028108F">
        <w:rPr>
          <w:rFonts w:ascii="Arial" w:hAnsi="Arial" w:cs="Arial"/>
          <w:szCs w:val="24"/>
          <w:lang w:val="en-GB"/>
        </w:rPr>
        <w:t>Pennsylvania</w:t>
      </w:r>
      <w:r w:rsidR="00574666" w:rsidRPr="0028108F">
        <w:rPr>
          <w:rFonts w:ascii="Arial" w:hAnsi="Arial" w:cs="Arial"/>
          <w:szCs w:val="24"/>
          <w:lang w:val="en-GB"/>
        </w:rPr>
        <w:t xml:space="preserve"> (2016)</w:t>
      </w:r>
      <w:r w:rsidRPr="0028108F">
        <w:rPr>
          <w:rFonts w:ascii="Arial" w:hAnsi="Arial" w:cs="Arial"/>
          <w:szCs w:val="24"/>
          <w:lang w:val="en-GB"/>
        </w:rPr>
        <w:t>.</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Two jurisdictions in the U</w:t>
      </w:r>
      <w:r w:rsidR="00BF0226" w:rsidRPr="0028108F">
        <w:rPr>
          <w:rFonts w:ascii="Arial" w:hAnsi="Arial" w:cs="Arial"/>
          <w:szCs w:val="24"/>
          <w:lang w:val="en-GB"/>
        </w:rPr>
        <w:t>S</w:t>
      </w:r>
      <w:r w:rsidRPr="0028108F">
        <w:rPr>
          <w:rFonts w:ascii="Arial" w:hAnsi="Arial" w:cs="Arial"/>
          <w:szCs w:val="24"/>
          <w:lang w:val="en-GB"/>
        </w:rPr>
        <w:t>, namely Illinois and Iowa,</w:t>
      </w:r>
      <w:r w:rsidRPr="0028108F" w:rsidDel="00544D9F">
        <w:rPr>
          <w:rFonts w:ascii="Arial" w:hAnsi="Arial" w:cs="Arial"/>
          <w:szCs w:val="24"/>
          <w:lang w:val="en-GB"/>
        </w:rPr>
        <w:t xml:space="preserve"> </w:t>
      </w:r>
      <w:r w:rsidRPr="0028108F">
        <w:rPr>
          <w:rFonts w:ascii="Arial" w:hAnsi="Arial" w:cs="Arial"/>
          <w:szCs w:val="24"/>
          <w:lang w:val="en-GB"/>
        </w:rPr>
        <w:t>appear to impose the least requirements for the applicants, in which they (1) do not impose mandatory surgery and sterilisation requirements; (2) do not require medical diagnoses or hormonal treatment; (3) do not statutorily restrict applications to adults; (4) issue new birth certificates to successful applicants; and (5) do not require a court order.</w:t>
      </w:r>
    </w:p>
    <w:p w:rsidR="003D52D7" w:rsidRPr="0028108F" w:rsidRDefault="003D52D7" w:rsidP="003D52D7">
      <w:pPr>
        <w:pStyle w:val="ListParagraph"/>
        <w:snapToGrid w:val="0"/>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Canada, </w:t>
      </w:r>
      <w:r w:rsidR="006607FF" w:rsidRPr="0028108F">
        <w:rPr>
          <w:rFonts w:ascii="Arial" w:hAnsi="Arial" w:cs="Arial"/>
          <w:szCs w:val="24"/>
          <w:lang w:val="en-GB"/>
        </w:rPr>
        <w:t>m</w:t>
      </w:r>
      <w:r w:rsidR="00B059D0" w:rsidRPr="0028108F">
        <w:rPr>
          <w:rFonts w:ascii="Arial" w:hAnsi="Arial" w:cs="Arial"/>
          <w:szCs w:val="24"/>
          <w:lang w:val="en-GB"/>
        </w:rPr>
        <w:t>ost</w:t>
      </w:r>
      <w:r w:rsidR="006607FF" w:rsidRPr="0028108F">
        <w:rPr>
          <w:rFonts w:ascii="Arial" w:hAnsi="Arial" w:cs="Arial"/>
          <w:szCs w:val="24"/>
          <w:lang w:val="en-GB"/>
        </w:rPr>
        <w:t xml:space="preserve"> of the jurisdictions have</w:t>
      </w:r>
      <w:r w:rsidRPr="0028108F">
        <w:rPr>
          <w:rFonts w:ascii="Arial" w:hAnsi="Arial" w:cs="Arial"/>
          <w:szCs w:val="24"/>
          <w:lang w:val="en-GB"/>
        </w:rPr>
        <w:t xml:space="preserve"> </w:t>
      </w:r>
      <w:r w:rsidR="006607FF" w:rsidRPr="0028108F">
        <w:rPr>
          <w:rFonts w:ascii="Arial" w:hAnsi="Arial" w:cs="Arial"/>
          <w:szCs w:val="24"/>
          <w:lang w:val="en-GB"/>
        </w:rPr>
        <w:t xml:space="preserve">moved away from an approach requiring gender reassignment surgery in the </w:t>
      </w:r>
      <w:r w:rsidR="004E2691">
        <w:rPr>
          <w:rFonts w:ascii="Arial" w:hAnsi="Arial" w:cs="Arial"/>
          <w:szCs w:val="24"/>
          <w:lang w:val="en-GB"/>
        </w:rPr>
        <w:t>past few</w:t>
      </w:r>
      <w:r w:rsidR="006607FF" w:rsidRPr="0028108F">
        <w:rPr>
          <w:rFonts w:ascii="Arial" w:hAnsi="Arial" w:cs="Arial"/>
          <w:szCs w:val="24"/>
          <w:lang w:val="en-GB"/>
        </w:rPr>
        <w:t xml:space="preserve"> years, </w:t>
      </w:r>
      <w:r w:rsidR="005877EC" w:rsidRPr="0028108F">
        <w:rPr>
          <w:rFonts w:ascii="Arial" w:hAnsi="Arial" w:cs="Arial"/>
          <w:szCs w:val="24"/>
          <w:lang w:val="en-GB"/>
        </w:rPr>
        <w:t>whilst</w:t>
      </w:r>
      <w:r w:rsidR="006607FF" w:rsidRPr="0028108F">
        <w:rPr>
          <w:rFonts w:ascii="Arial" w:hAnsi="Arial" w:cs="Arial"/>
          <w:szCs w:val="24"/>
          <w:lang w:val="en-GB"/>
        </w:rPr>
        <w:t xml:space="preserve"> medical confirmation is required</w:t>
      </w:r>
      <w:r w:rsidR="004F6B16" w:rsidRPr="0028108F">
        <w:rPr>
          <w:rFonts w:ascii="Arial" w:hAnsi="Arial" w:cs="Arial"/>
          <w:szCs w:val="24"/>
          <w:lang w:val="en-GB"/>
        </w:rPr>
        <w:t xml:space="preserve"> in these jurisdictions</w:t>
      </w:r>
      <w:r w:rsidR="006607FF" w:rsidRPr="0028108F">
        <w:rPr>
          <w:rFonts w:ascii="Arial" w:hAnsi="Arial" w:cs="Arial"/>
          <w:szCs w:val="24"/>
          <w:lang w:val="en-GB"/>
        </w:rPr>
        <w:t xml:space="preserve">. </w:t>
      </w:r>
      <w:r w:rsidR="005877EC" w:rsidRPr="0028108F">
        <w:rPr>
          <w:rFonts w:ascii="Arial" w:hAnsi="Arial" w:cs="Arial"/>
          <w:szCs w:val="24"/>
          <w:lang w:val="en-GB"/>
        </w:rPr>
        <w:t xml:space="preserve"> </w:t>
      </w:r>
      <w:r w:rsidR="00B059D0" w:rsidRPr="0028108F">
        <w:rPr>
          <w:rFonts w:ascii="Arial" w:hAnsi="Arial" w:cs="Arial"/>
          <w:szCs w:val="24"/>
          <w:lang w:val="en-GB"/>
        </w:rPr>
        <w:t xml:space="preserve">New Brunswick and Yukon Territory </w:t>
      </w:r>
      <w:r w:rsidR="005877EC" w:rsidRPr="0028108F">
        <w:rPr>
          <w:rFonts w:ascii="Arial" w:hAnsi="Arial" w:cs="Arial"/>
          <w:szCs w:val="24"/>
          <w:lang w:val="en-GB"/>
        </w:rPr>
        <w:t>are</w:t>
      </w:r>
      <w:r w:rsidR="00B059D0" w:rsidRPr="0028108F">
        <w:rPr>
          <w:rFonts w:ascii="Arial" w:hAnsi="Arial" w:cs="Arial"/>
          <w:szCs w:val="24"/>
          <w:lang w:val="en-GB"/>
        </w:rPr>
        <w:t xml:space="preserve"> the only jurisdictions that continue to require </w:t>
      </w:r>
      <w:r w:rsidR="005877EC" w:rsidRPr="0028108F">
        <w:rPr>
          <w:rFonts w:ascii="Arial" w:hAnsi="Arial" w:cs="Arial"/>
          <w:szCs w:val="24"/>
          <w:lang w:val="en-GB"/>
        </w:rPr>
        <w:t xml:space="preserve">gender reassignment </w:t>
      </w:r>
      <w:r w:rsidR="00B059D0" w:rsidRPr="0028108F">
        <w:rPr>
          <w:rFonts w:ascii="Arial" w:hAnsi="Arial" w:cs="Arial"/>
          <w:szCs w:val="24"/>
          <w:lang w:val="en-GB"/>
        </w:rPr>
        <w:t xml:space="preserve">surgery.  </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approach taken in the Federal District of Mexico follows the Argentinean model of a non-medical simple administrative gender recognition procedure based on the person</w:t>
      </w:r>
      <w:r w:rsidR="00E8253A">
        <w:rPr>
          <w:rFonts w:ascii="Arial" w:hAnsi="Arial" w:cs="Arial"/>
          <w:szCs w:val="24"/>
          <w:lang w:val="en-GB"/>
        </w:rPr>
        <w:t>’</w:t>
      </w:r>
      <w:r w:rsidRPr="0028108F">
        <w:rPr>
          <w:rFonts w:ascii="Arial" w:hAnsi="Arial" w:cs="Arial"/>
          <w:szCs w:val="24"/>
          <w:lang w:val="en-GB"/>
        </w:rPr>
        <w:t>s self-determination.</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Default="003D52D7" w:rsidP="003D52D7">
      <w:pPr>
        <w:pStyle w:val="ListParagraph"/>
        <w:tabs>
          <w:tab w:val="left" w:pos="1418"/>
        </w:tabs>
        <w:adjustRightInd w:val="0"/>
        <w:snapToGrid w:val="0"/>
        <w:ind w:leftChars="0" w:left="0"/>
        <w:jc w:val="both"/>
        <w:rPr>
          <w:rFonts w:ascii="Arial" w:hAnsi="Arial" w:cs="Arial"/>
          <w:b/>
          <w:i/>
          <w:szCs w:val="24"/>
          <w:lang w:val="en-GB"/>
        </w:rPr>
      </w:pPr>
    </w:p>
    <w:p w:rsidR="0095452E" w:rsidRPr="00E8253A" w:rsidRDefault="0095452E" w:rsidP="003D52D7">
      <w:pPr>
        <w:pStyle w:val="ListParagraph"/>
        <w:tabs>
          <w:tab w:val="left" w:pos="1418"/>
        </w:tabs>
        <w:adjustRightInd w:val="0"/>
        <w:snapToGrid w:val="0"/>
        <w:ind w:leftChars="0" w:left="0"/>
        <w:jc w:val="both"/>
        <w:rPr>
          <w:rFonts w:ascii="Arial" w:hAnsi="Arial" w:cs="Arial"/>
          <w:b/>
          <w:i/>
          <w:szCs w:val="24"/>
          <w:lang w:val="en-GB"/>
        </w:rPr>
      </w:pPr>
    </w:p>
    <w:p w:rsidR="003D52D7" w:rsidRPr="0028108F" w:rsidRDefault="003D52D7" w:rsidP="003D52D7">
      <w:pPr>
        <w:adjustRightInd w:val="0"/>
        <w:snapToGrid w:val="0"/>
        <w:jc w:val="both"/>
        <w:rPr>
          <w:rFonts w:ascii="Arial" w:hAnsi="Arial" w:cs="Arial"/>
          <w:b/>
          <w:sz w:val="28"/>
          <w:szCs w:val="24"/>
          <w:lang w:val="en-GB"/>
        </w:rPr>
      </w:pPr>
      <w:r w:rsidRPr="0028108F">
        <w:rPr>
          <w:rFonts w:ascii="Arial" w:hAnsi="Arial" w:cs="Arial"/>
          <w:b/>
          <w:sz w:val="28"/>
          <w:szCs w:val="24"/>
          <w:lang w:val="en-GB"/>
        </w:rPr>
        <w:t>South America</w:t>
      </w:r>
    </w:p>
    <w:p w:rsidR="003D52D7" w:rsidRPr="0028108F" w:rsidRDefault="003D52D7" w:rsidP="003D52D7">
      <w:pPr>
        <w:adjustRightInd w:val="0"/>
        <w:snapToGrid w:val="0"/>
        <w:jc w:val="both"/>
        <w:rPr>
          <w:rFonts w:ascii="Arial" w:hAnsi="Arial" w:cs="Arial"/>
          <w:b/>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Overview</w:t>
      </w:r>
    </w:p>
    <w:p w:rsidR="003D52D7" w:rsidRPr="0028108F" w:rsidRDefault="003D52D7" w:rsidP="003D52D7">
      <w:pPr>
        <w:adjustRightInd w:val="0"/>
        <w:snapToGrid w:val="0"/>
        <w:jc w:val="both"/>
        <w:rPr>
          <w:rFonts w:ascii="Arial" w:hAnsi="Arial" w:cs="Arial"/>
          <w:b/>
          <w:i/>
          <w:szCs w:val="24"/>
          <w:lang w:val="en-GB"/>
        </w:rPr>
      </w:pPr>
    </w:p>
    <w:p w:rsidR="003D52D7" w:rsidRPr="0028108F" w:rsidRDefault="00071656"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Pr>
          <w:rFonts w:ascii="Arial" w:hAnsi="Arial" w:cs="Arial" w:hint="eastAsia"/>
          <w:szCs w:val="24"/>
          <w:lang w:val="en-GB"/>
        </w:rPr>
        <w:t>It has been noted that p</w:t>
      </w:r>
      <w:r w:rsidR="003D52D7" w:rsidRPr="0028108F">
        <w:rPr>
          <w:rFonts w:ascii="Arial" w:hAnsi="Arial" w:cs="Arial"/>
          <w:szCs w:val="24"/>
          <w:lang w:val="en-GB"/>
        </w:rPr>
        <w:t>olicy makers in certain South American countries have in recent years been taking steps in the area of the legal recognition of gender identity by rejecting some of the “</w:t>
      </w:r>
      <w:r w:rsidR="003D52D7" w:rsidRPr="0028108F">
        <w:rPr>
          <w:rFonts w:ascii="Arial" w:hAnsi="Arial" w:cs="Arial"/>
          <w:i/>
          <w:szCs w:val="24"/>
          <w:lang w:val="en-GB"/>
        </w:rPr>
        <w:t>outdated gatekeeper requirements</w:t>
      </w:r>
      <w:r w:rsidR="003D52D7" w:rsidRPr="0028108F">
        <w:rPr>
          <w:rFonts w:ascii="Arial" w:hAnsi="Arial" w:cs="Arial"/>
          <w:szCs w:val="24"/>
          <w:lang w:val="en-GB"/>
        </w:rPr>
        <w:t>” in the process (for example, medical diagnoses and panel assessment).</w:t>
      </w:r>
      <w:r w:rsidR="003D52D7" w:rsidRPr="0028108F">
        <w:rPr>
          <w:rStyle w:val="FootnoteReference"/>
          <w:rFonts w:ascii="Arial" w:hAnsi="Arial" w:cs="Arial"/>
          <w:szCs w:val="24"/>
          <w:lang w:val="en-GB"/>
        </w:rPr>
        <w:footnoteReference w:id="378"/>
      </w:r>
      <w:r w:rsidR="003D52D7" w:rsidRPr="0028108F">
        <w:rPr>
          <w:rFonts w:ascii="Arial" w:hAnsi="Arial" w:cs="Arial"/>
          <w:szCs w:val="24"/>
          <w:lang w:val="en-GB"/>
        </w:rPr>
        <w:t xml:space="preserve">  Uruguay passed the first gender recognition law in 2009, and then Argentina passed a landmark statu</w:t>
      </w:r>
      <w:r w:rsidR="008763AD" w:rsidRPr="0028108F">
        <w:rPr>
          <w:rFonts w:ascii="Arial" w:hAnsi="Arial" w:cs="Arial"/>
          <w:szCs w:val="24"/>
          <w:lang w:val="en-GB"/>
        </w:rPr>
        <w:t>t</w:t>
      </w:r>
      <w:r w:rsidR="003D52D7" w:rsidRPr="0028108F">
        <w:rPr>
          <w:rFonts w:ascii="Arial" w:hAnsi="Arial" w:cs="Arial"/>
          <w:szCs w:val="24"/>
          <w:lang w:val="en-GB"/>
        </w:rPr>
        <w:t>e in 2012, which allows an applicant to change his or her gender identity by way of a simple request.</w:t>
      </w:r>
      <w:r w:rsidR="003D52D7" w:rsidRPr="0028108F">
        <w:rPr>
          <w:rStyle w:val="FootnoteReference"/>
          <w:rFonts w:ascii="Arial" w:hAnsi="Arial" w:cs="Arial"/>
          <w:kern w:val="0"/>
          <w:szCs w:val="24"/>
          <w:lang w:val="en-GB"/>
        </w:rPr>
        <w:footnoteReference w:id="379"/>
      </w:r>
      <w:r w:rsidR="003D52D7" w:rsidRPr="0028108F">
        <w:rPr>
          <w:rFonts w:ascii="Arial" w:hAnsi="Arial" w:cs="Arial"/>
          <w:i/>
          <w:szCs w:val="24"/>
          <w:lang w:val="en-GB"/>
        </w:rPr>
        <w:t xml:space="preserve">  </w:t>
      </w:r>
      <w:r w:rsidR="003D52D7" w:rsidRPr="0028108F">
        <w:rPr>
          <w:rFonts w:ascii="Arial" w:hAnsi="Arial" w:cs="Arial"/>
          <w:szCs w:val="24"/>
          <w:lang w:val="en-GB"/>
        </w:rPr>
        <w:t>In addition, in June 2015, Colombia issued a decree on gender recognition which appeared to follow the Argentina approach.</w:t>
      </w:r>
      <w:r w:rsidR="003D52D7" w:rsidRPr="0028108F">
        <w:rPr>
          <w:rStyle w:val="FootnoteReference"/>
          <w:rFonts w:ascii="Arial" w:hAnsi="Arial" w:cs="Arial"/>
          <w:szCs w:val="24"/>
          <w:lang w:val="en-GB"/>
        </w:rPr>
        <w:footnoteReference w:id="380"/>
      </w:r>
      <w:r w:rsidR="005877EC" w:rsidRPr="0028108F">
        <w:rPr>
          <w:rFonts w:ascii="Arial" w:hAnsi="Arial" w:cs="Arial"/>
          <w:szCs w:val="24"/>
          <w:lang w:val="en-GB"/>
        </w:rPr>
        <w:t xml:space="preserve"> </w:t>
      </w:r>
      <w:r w:rsidR="003D52D7" w:rsidRPr="0028108F">
        <w:rPr>
          <w:rFonts w:ascii="Arial" w:hAnsi="Arial" w:cs="Arial"/>
          <w:szCs w:val="24"/>
          <w:lang w:val="en-GB"/>
        </w:rPr>
        <w:t xml:space="preserve"> </w:t>
      </w:r>
      <w:r w:rsidR="00953144" w:rsidRPr="0028108F">
        <w:rPr>
          <w:rFonts w:ascii="Arial" w:hAnsi="Arial" w:cs="Arial"/>
          <w:szCs w:val="24"/>
          <w:lang w:val="en-GB"/>
        </w:rPr>
        <w:t xml:space="preserve">In 2016, specific legislation in this area was introduced in both Bolivia and Ecuador. </w:t>
      </w:r>
      <w:r w:rsidR="00BB5F3A" w:rsidRPr="0028108F">
        <w:rPr>
          <w:rFonts w:ascii="Arial" w:hAnsi="Arial" w:cs="Arial"/>
          <w:szCs w:val="24"/>
          <w:lang w:val="en-GB"/>
        </w:rPr>
        <w:t xml:space="preserve"> </w:t>
      </w:r>
      <w:r w:rsidR="00953144" w:rsidRPr="0028108F">
        <w:rPr>
          <w:rFonts w:ascii="Arial" w:hAnsi="Arial" w:cs="Arial"/>
          <w:szCs w:val="24"/>
          <w:lang w:val="en-GB"/>
        </w:rPr>
        <w:t xml:space="preserve">In Bolivia, a surgery-free model is adopted under which psychological proof is required. </w:t>
      </w:r>
      <w:r w:rsidR="00BB5F3A" w:rsidRPr="0028108F">
        <w:rPr>
          <w:rFonts w:ascii="Arial" w:hAnsi="Arial" w:cs="Arial"/>
          <w:szCs w:val="24"/>
          <w:lang w:val="en-GB"/>
        </w:rPr>
        <w:t xml:space="preserve"> </w:t>
      </w:r>
      <w:r w:rsidR="00953144" w:rsidRPr="0028108F">
        <w:rPr>
          <w:rFonts w:ascii="Arial" w:hAnsi="Arial" w:cs="Arial"/>
          <w:szCs w:val="24"/>
          <w:lang w:val="en-GB"/>
        </w:rPr>
        <w:t>Ecuador</w:t>
      </w:r>
      <w:r w:rsidR="00416EB0" w:rsidRPr="0028108F">
        <w:rPr>
          <w:rFonts w:ascii="Arial" w:hAnsi="Arial" w:cs="Arial"/>
          <w:szCs w:val="24"/>
          <w:lang w:val="en-GB"/>
        </w:rPr>
        <w:t xml:space="preserve"> requires an applicant to furnish proof that he/she has lived in the preferred gender for 2 years before the application</w:t>
      </w:r>
      <w:r w:rsidR="00953144" w:rsidRPr="0028108F">
        <w:rPr>
          <w:rFonts w:ascii="Arial" w:hAnsi="Arial" w:cs="Arial"/>
          <w:szCs w:val="24"/>
          <w:lang w:val="en-GB"/>
        </w:rPr>
        <w:t>.</w:t>
      </w:r>
      <w:r w:rsidR="00E8253A">
        <w:rPr>
          <w:rFonts w:ascii="Arial" w:hAnsi="Arial" w:cs="Arial"/>
          <w:szCs w:val="24"/>
          <w:lang w:val="en-GB"/>
        </w:rPr>
        <w:t xml:space="preserve"> </w:t>
      </w:r>
      <w:r w:rsidR="003D52D7" w:rsidRPr="0028108F">
        <w:rPr>
          <w:rFonts w:ascii="Arial" w:hAnsi="Arial" w:cs="Arial"/>
          <w:szCs w:val="24"/>
          <w:lang w:val="en-GB"/>
        </w:rPr>
        <w:t xml:space="preserve"> The legislative model of Argentina, as well as that introduced in Uruguay, is discussed below.</w:t>
      </w:r>
    </w:p>
    <w:p w:rsidR="003D52D7" w:rsidRPr="0028108F" w:rsidRDefault="003D52D7" w:rsidP="003D52D7">
      <w:pPr>
        <w:adjustRightInd w:val="0"/>
        <w:snapToGrid w:val="0"/>
        <w:jc w:val="both"/>
        <w:rPr>
          <w:rFonts w:ascii="Arial" w:hAnsi="Arial" w:cs="Arial"/>
          <w:b/>
          <w:i/>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Argentina</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Legislative model for gender recognition</w:t>
      </w:r>
    </w:p>
    <w:p w:rsidR="003D52D7" w:rsidRPr="0028108F" w:rsidRDefault="003D52D7" w:rsidP="003D52D7">
      <w:pPr>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kern w:val="0"/>
          <w:szCs w:val="24"/>
          <w:lang w:val="en-GB"/>
        </w:rPr>
      </w:pPr>
      <w:r w:rsidRPr="0028108F">
        <w:rPr>
          <w:rFonts w:ascii="Arial" w:hAnsi="Arial" w:cs="Arial"/>
          <w:kern w:val="0"/>
          <w:szCs w:val="24"/>
          <w:lang w:val="en-GB"/>
        </w:rPr>
        <w:t xml:space="preserve">On 8 May 2012, the Senate of Argentina approved the </w:t>
      </w:r>
      <w:r w:rsidRPr="0028108F">
        <w:rPr>
          <w:rFonts w:ascii="Arial" w:hAnsi="Arial" w:cs="Arial"/>
          <w:i/>
          <w:kern w:val="0"/>
          <w:szCs w:val="24"/>
          <w:lang w:val="en-GB"/>
        </w:rPr>
        <w:t>Ley de Identitdad de Género</w:t>
      </w:r>
      <w:r w:rsidRPr="0028108F">
        <w:rPr>
          <w:rFonts w:ascii="Arial" w:hAnsi="Arial" w:cs="Arial"/>
          <w:kern w:val="0"/>
          <w:szCs w:val="24"/>
          <w:lang w:val="en-GB"/>
        </w:rPr>
        <w:t xml:space="preserve"> (Gender Identity Law) (</w:t>
      </w:r>
      <w:r w:rsidR="007E329F">
        <w:rPr>
          <w:rFonts w:ascii="Arial" w:hAnsi="Arial" w:cs="Arial"/>
          <w:kern w:val="0"/>
          <w:szCs w:val="24"/>
          <w:lang w:val="en-GB"/>
        </w:rPr>
        <w:t>“</w:t>
      </w:r>
      <w:r w:rsidRPr="008813DE">
        <w:rPr>
          <w:rFonts w:ascii="Arial" w:hAnsi="Arial" w:cs="Arial"/>
          <w:i/>
          <w:kern w:val="0"/>
          <w:szCs w:val="24"/>
          <w:lang w:val="en-GB"/>
        </w:rPr>
        <w:t>GIL</w:t>
      </w:r>
      <w:r w:rsidR="007E329F">
        <w:rPr>
          <w:rFonts w:ascii="Arial" w:hAnsi="Arial" w:cs="Arial"/>
          <w:kern w:val="0"/>
          <w:szCs w:val="24"/>
          <w:lang w:val="en-GB"/>
        </w:rPr>
        <w:t>”</w:t>
      </w:r>
      <w:r w:rsidRPr="0028108F">
        <w:rPr>
          <w:rFonts w:ascii="Arial" w:hAnsi="Arial" w:cs="Arial"/>
          <w:kern w:val="0"/>
          <w:szCs w:val="24"/>
          <w:lang w:val="en-GB"/>
        </w:rPr>
        <w:t>), which came into force in July 2012.</w:t>
      </w:r>
      <w:r w:rsidRPr="0028108F">
        <w:rPr>
          <w:rStyle w:val="FootnoteReference"/>
          <w:rFonts w:ascii="Arial" w:hAnsi="Arial" w:cs="Arial"/>
          <w:kern w:val="0"/>
          <w:szCs w:val="24"/>
          <w:lang w:val="en-GB"/>
        </w:rPr>
        <w:footnoteReference w:id="381"/>
      </w:r>
      <w:r w:rsidRPr="0028108F">
        <w:rPr>
          <w:rFonts w:ascii="Arial" w:hAnsi="Arial" w:cs="Arial"/>
          <w:kern w:val="0"/>
          <w:szCs w:val="24"/>
          <w:lang w:val="en-GB"/>
        </w:rPr>
        <w:t xml:space="preserve">  </w:t>
      </w:r>
    </w:p>
    <w:p w:rsidR="003D52D7" w:rsidRPr="0028108F" w:rsidRDefault="003D52D7" w:rsidP="003D52D7">
      <w:pPr>
        <w:pStyle w:val="ListParagraph"/>
        <w:tabs>
          <w:tab w:val="left" w:pos="1418"/>
        </w:tabs>
        <w:adjustRightInd w:val="0"/>
        <w:snapToGrid w:val="0"/>
        <w:ind w:leftChars="0" w:left="0"/>
        <w:jc w:val="both"/>
        <w:rPr>
          <w:rFonts w:ascii="Arial" w:hAnsi="Arial" w:cs="Arial"/>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kern w:val="0"/>
          <w:szCs w:val="24"/>
          <w:lang w:val="en-GB"/>
        </w:rPr>
      </w:pPr>
      <w:r w:rsidRPr="0028108F">
        <w:rPr>
          <w:rFonts w:ascii="Arial" w:hAnsi="Arial" w:cs="Arial"/>
          <w:kern w:val="0"/>
          <w:szCs w:val="24"/>
          <w:lang w:val="en-GB"/>
        </w:rPr>
        <w:t xml:space="preserve">The GIL has been seen as a hugely significant change for Argentina, as the right to identity </w:t>
      </w:r>
      <w:r w:rsidRPr="0028108F">
        <w:rPr>
          <w:rFonts w:ascii="Arial" w:hAnsi="Arial" w:cs="Arial"/>
          <w:i/>
          <w:kern w:val="0"/>
          <w:szCs w:val="24"/>
          <w:lang w:val="en-GB"/>
        </w:rPr>
        <w:t>“has an immense normative weight.”</w:t>
      </w:r>
      <w:r w:rsidRPr="0028108F">
        <w:rPr>
          <w:rStyle w:val="FootnoteReference"/>
          <w:rFonts w:ascii="Arial" w:hAnsi="Arial" w:cs="Arial"/>
          <w:kern w:val="0"/>
          <w:szCs w:val="24"/>
          <w:lang w:val="en-GB"/>
        </w:rPr>
        <w:footnoteReference w:id="382"/>
      </w:r>
      <w:r w:rsidRPr="0028108F">
        <w:rPr>
          <w:rFonts w:ascii="Arial" w:hAnsi="Arial" w:cs="Arial"/>
          <w:kern w:val="0"/>
          <w:szCs w:val="24"/>
          <w:lang w:val="en-GB"/>
        </w:rPr>
        <w:t xml:space="preserve">  In Argentina, since 2012, the GIL has inspired activists internationally and is held up by </w:t>
      </w:r>
      <w:r w:rsidR="00625D62" w:rsidRPr="0028108F">
        <w:rPr>
          <w:rFonts w:ascii="Arial" w:hAnsi="Arial" w:cs="Arial"/>
          <w:kern w:val="0"/>
          <w:szCs w:val="24"/>
          <w:lang w:val="en-GB"/>
        </w:rPr>
        <w:t xml:space="preserve">the </w:t>
      </w:r>
      <w:r w:rsidRPr="0028108F">
        <w:rPr>
          <w:rFonts w:ascii="Arial" w:hAnsi="Arial" w:cs="Arial"/>
          <w:kern w:val="0"/>
          <w:szCs w:val="24"/>
          <w:lang w:val="en-GB"/>
        </w:rPr>
        <w:t>WPATH as a best practice law.</w:t>
      </w:r>
      <w:r w:rsidRPr="0028108F">
        <w:rPr>
          <w:rStyle w:val="FootnoteReference"/>
          <w:rFonts w:ascii="Arial" w:hAnsi="Arial" w:cs="Arial"/>
          <w:kern w:val="0"/>
          <w:szCs w:val="24"/>
          <w:lang w:val="en-GB"/>
        </w:rPr>
        <w:footnoteReference w:id="383"/>
      </w: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kern w:val="0"/>
          <w:szCs w:val="24"/>
          <w:lang w:val="en-GB"/>
        </w:rPr>
      </w:pPr>
      <w:r w:rsidRPr="0028108F">
        <w:rPr>
          <w:rFonts w:ascii="Arial" w:hAnsi="Arial" w:cs="Arial"/>
          <w:kern w:val="0"/>
          <w:szCs w:val="24"/>
          <w:lang w:val="en-GB"/>
        </w:rPr>
        <w:t xml:space="preserve">The GIL consists of 15 Articles.  </w:t>
      </w:r>
      <w:r w:rsidRPr="0028108F">
        <w:rPr>
          <w:rFonts w:ascii="Arial" w:hAnsi="Arial" w:cs="Arial"/>
          <w:szCs w:val="24"/>
          <w:lang w:val="en-GB"/>
        </w:rPr>
        <w:t xml:space="preserve">The cornerstone of the GIL is </w:t>
      </w:r>
      <w:r w:rsidRPr="0028108F">
        <w:rPr>
          <w:rFonts w:ascii="Arial" w:hAnsi="Arial" w:cs="Arial"/>
          <w:i/>
          <w:szCs w:val="24"/>
          <w:lang w:val="en-GB"/>
        </w:rPr>
        <w:t>“the right to identity”</w:t>
      </w:r>
      <w:r w:rsidRPr="0028108F">
        <w:rPr>
          <w:rFonts w:ascii="Arial" w:hAnsi="Arial" w:cs="Arial"/>
          <w:szCs w:val="24"/>
          <w:lang w:val="en-GB"/>
        </w:rPr>
        <w:t xml:space="preserve"> recognised in Article 1, which provides that all persons have the right to recognition of their gender identity, to the free development of their person according to their gender identity, and to be treated accordingly.</w:t>
      </w:r>
    </w:p>
    <w:p w:rsidR="003D52D7" w:rsidRPr="0028108F" w:rsidRDefault="003D52D7" w:rsidP="003D52D7">
      <w:pPr>
        <w:autoSpaceDE w:val="0"/>
        <w:autoSpaceDN w:val="0"/>
        <w:adjustRightInd w:val="0"/>
        <w:snapToGrid w:val="0"/>
        <w:jc w:val="both"/>
        <w:rPr>
          <w:rFonts w:ascii="Arial" w:hAnsi="Arial" w:cs="Arial"/>
          <w:kern w:val="0"/>
          <w:szCs w:val="24"/>
          <w:lang w:val="en-GB"/>
        </w:rPr>
      </w:pPr>
    </w:p>
    <w:p w:rsidR="003D52D7" w:rsidRPr="0028108F" w:rsidRDefault="003D52D7" w:rsidP="003D52D7">
      <w:pPr>
        <w:autoSpaceDE w:val="0"/>
        <w:autoSpaceDN w:val="0"/>
        <w:adjustRightInd w:val="0"/>
        <w:snapToGrid w:val="0"/>
        <w:jc w:val="both"/>
        <w:rPr>
          <w:rFonts w:ascii="Arial" w:hAnsi="Arial" w:cs="Arial"/>
          <w:i/>
          <w:kern w:val="0"/>
          <w:szCs w:val="24"/>
          <w:lang w:val="en-GB"/>
        </w:rPr>
      </w:pPr>
      <w:r w:rsidRPr="0028108F">
        <w:rPr>
          <w:rFonts w:ascii="Arial" w:hAnsi="Arial" w:cs="Arial"/>
          <w:i/>
          <w:kern w:val="0"/>
          <w:szCs w:val="24"/>
          <w:lang w:val="en-GB"/>
        </w:rPr>
        <w:t>Authority to process the application</w:t>
      </w:r>
    </w:p>
    <w:p w:rsidR="003D52D7" w:rsidRPr="0028108F" w:rsidRDefault="003D52D7" w:rsidP="003D52D7">
      <w:pPr>
        <w:autoSpaceDE w:val="0"/>
        <w:autoSpaceDN w:val="0"/>
        <w:adjustRightInd w:val="0"/>
        <w:snapToGrid w:val="0"/>
        <w:jc w:val="both"/>
        <w:rPr>
          <w:rFonts w:ascii="Arial" w:hAnsi="Arial" w:cs="Arial"/>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000000"/>
          <w:kern w:val="0"/>
          <w:szCs w:val="24"/>
          <w:lang w:val="en-GB"/>
        </w:rPr>
      </w:pPr>
      <w:r w:rsidRPr="0028108F">
        <w:rPr>
          <w:rFonts w:ascii="Arial" w:hAnsi="Arial" w:cs="Arial"/>
          <w:color w:val="000000"/>
          <w:kern w:val="0"/>
          <w:szCs w:val="24"/>
          <w:lang w:val="en-GB"/>
        </w:rPr>
        <w:t>In most cases, the application process under the GIL is administrative, and includes the submission of a request for a person’s “</w:t>
      </w:r>
      <w:r w:rsidRPr="0028108F">
        <w:rPr>
          <w:rFonts w:ascii="Arial" w:hAnsi="Arial" w:cs="Arial"/>
          <w:i/>
          <w:color w:val="000000"/>
          <w:kern w:val="0"/>
          <w:szCs w:val="24"/>
          <w:lang w:val="en-GB"/>
        </w:rPr>
        <w:t xml:space="preserve">recorded sex” </w:t>
      </w:r>
      <w:r w:rsidRPr="0028108F">
        <w:rPr>
          <w:rFonts w:ascii="Arial" w:hAnsi="Arial" w:cs="Arial"/>
          <w:color w:val="000000"/>
          <w:kern w:val="0"/>
          <w:szCs w:val="24"/>
          <w:lang w:val="en-GB"/>
        </w:rPr>
        <w:t>to be amended (Article 3) and the “</w:t>
      </w:r>
      <w:r w:rsidRPr="0028108F">
        <w:rPr>
          <w:rFonts w:ascii="Arial" w:hAnsi="Arial" w:cs="Arial"/>
          <w:i/>
          <w:color w:val="000000"/>
          <w:kern w:val="0"/>
          <w:szCs w:val="24"/>
          <w:lang w:val="en-GB"/>
        </w:rPr>
        <w:t>first name and images”</w:t>
      </w:r>
      <w:r w:rsidRPr="0028108F">
        <w:rPr>
          <w:rFonts w:ascii="Arial" w:hAnsi="Arial" w:cs="Arial"/>
          <w:color w:val="000000"/>
          <w:kern w:val="0"/>
          <w:szCs w:val="24"/>
          <w:lang w:val="en-GB"/>
        </w:rPr>
        <w:t xml:space="preserve"> in the National Bureau of Vital Statistics to be changed (Articles 3 and 4(2)).  </w:t>
      </w:r>
      <w:r w:rsidRPr="0028108F">
        <w:rPr>
          <w:rFonts w:ascii="Arial" w:hAnsi="Arial" w:cs="Arial"/>
          <w:szCs w:val="24"/>
          <w:lang w:val="en-GB"/>
        </w:rPr>
        <w:t xml:space="preserve">The public officer of the National Bureau of Vital Statistics or their corresponding </w:t>
      </w:r>
      <w:r w:rsidRPr="0028108F">
        <w:rPr>
          <w:rFonts w:ascii="Arial" w:hAnsi="Arial" w:cs="Arial"/>
          <w:color w:val="000000"/>
          <w:kern w:val="0"/>
          <w:szCs w:val="24"/>
          <w:lang w:val="en-GB"/>
        </w:rPr>
        <w:t>district</w:t>
      </w:r>
      <w:r w:rsidRPr="0028108F">
        <w:rPr>
          <w:rFonts w:ascii="Arial" w:hAnsi="Arial" w:cs="Arial"/>
          <w:szCs w:val="24"/>
          <w:lang w:val="en-GB"/>
        </w:rPr>
        <w:t xml:space="preserve"> offices will examine and determine the applications (Articles 4(2) and 6).  </w:t>
      </w:r>
      <w:r w:rsidRPr="0028108F">
        <w:rPr>
          <w:rFonts w:ascii="Arial" w:hAnsi="Arial" w:cs="Arial"/>
          <w:color w:val="000000"/>
          <w:kern w:val="0"/>
          <w:szCs w:val="24"/>
          <w:lang w:val="en-GB"/>
        </w:rPr>
        <w:t>It is a relatively straightforward option where approval is automatically granted if all necessary paper work (proof that the applicant have reached the age of 18 years, a request stating that the applicant falls under the protection of the current law etc) is supplied (Article 4).</w:t>
      </w:r>
      <w:r w:rsidRPr="0028108F">
        <w:rPr>
          <w:rStyle w:val="FootnoteReference"/>
          <w:rFonts w:ascii="Arial" w:hAnsi="Arial" w:cs="Arial"/>
          <w:kern w:val="0"/>
          <w:szCs w:val="24"/>
          <w:lang w:val="en-GB"/>
        </w:rPr>
        <w:footnoteReference w:id="384"/>
      </w:r>
      <w:r w:rsidRPr="0028108F">
        <w:rPr>
          <w:rFonts w:ascii="Arial" w:hAnsi="Arial" w:cs="Arial"/>
          <w:color w:val="000000"/>
          <w:kern w:val="0"/>
          <w:szCs w:val="24"/>
          <w:lang w:val="en-GB"/>
        </w:rPr>
        <w:t xml:space="preserve"> </w:t>
      </w:r>
      <w:r w:rsidRPr="0028108F">
        <w:rPr>
          <w:rFonts w:ascii="Arial" w:hAnsi="Arial" w:cs="Arial"/>
          <w:szCs w:val="24"/>
          <w:lang w:val="en-GB"/>
        </w:rPr>
        <w:t xml:space="preserve"> The procedures are expressed to be </w:t>
      </w:r>
      <w:r w:rsidRPr="0028108F">
        <w:rPr>
          <w:rFonts w:ascii="Arial" w:hAnsi="Arial" w:cs="Arial"/>
          <w:i/>
          <w:szCs w:val="24"/>
          <w:lang w:val="en-GB"/>
        </w:rPr>
        <w:t>“free, personal and do not require the intervention of any agent or lawyer”</w:t>
      </w:r>
      <w:r w:rsidRPr="0028108F">
        <w:rPr>
          <w:rFonts w:ascii="Arial" w:hAnsi="Arial" w:cs="Arial"/>
          <w:szCs w:val="24"/>
          <w:lang w:val="en-GB"/>
        </w:rPr>
        <w:t xml:space="preserve"> (Article 6).  </w:t>
      </w:r>
      <w:r w:rsidRPr="0028108F">
        <w:rPr>
          <w:rFonts w:ascii="Arial" w:hAnsi="Arial" w:cs="Arial"/>
          <w:color w:val="000000"/>
          <w:kern w:val="0"/>
          <w:szCs w:val="24"/>
          <w:lang w:val="en-GB"/>
        </w:rPr>
        <w:t>The process typically takes between 2 and 3 weeks to complete, but the actual time period varies between provinces and in some areas it has taken up to 2 to 3 months.</w:t>
      </w:r>
      <w:r w:rsidRPr="0028108F">
        <w:rPr>
          <w:rStyle w:val="FootnoteReference"/>
          <w:rFonts w:ascii="Arial" w:hAnsi="Arial" w:cs="Arial"/>
          <w:color w:val="000000"/>
          <w:kern w:val="0"/>
          <w:szCs w:val="24"/>
          <w:lang w:val="en-GB"/>
        </w:rPr>
        <w:footnoteReference w:id="385"/>
      </w:r>
      <w:r w:rsidRPr="0028108F">
        <w:rPr>
          <w:rFonts w:ascii="Arial" w:hAnsi="Arial" w:cs="Arial"/>
          <w:color w:val="000000"/>
          <w:kern w:val="0"/>
          <w:szCs w:val="24"/>
          <w:lang w:val="en-GB"/>
        </w:rPr>
        <w:t xml:space="preserve">  </w:t>
      </w:r>
    </w:p>
    <w:p w:rsidR="003D52D7" w:rsidRPr="0028108F" w:rsidRDefault="003D52D7" w:rsidP="003D52D7">
      <w:pPr>
        <w:pStyle w:val="ListParagraph"/>
        <w:rPr>
          <w:rFonts w:ascii="Arial" w:hAnsi="Arial" w:cs="Arial"/>
          <w:color w:val="000000"/>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color w:val="000000"/>
          <w:kern w:val="0"/>
          <w:szCs w:val="24"/>
          <w:lang w:val="en-GB"/>
        </w:rPr>
      </w:pPr>
      <w:r w:rsidRPr="0028108F">
        <w:rPr>
          <w:rFonts w:ascii="Arial" w:hAnsi="Arial" w:cs="Arial"/>
          <w:color w:val="000000"/>
          <w:kern w:val="0"/>
          <w:szCs w:val="24"/>
          <w:lang w:val="en-GB"/>
        </w:rPr>
        <w:t xml:space="preserve">Article 2 of the GIL defines the term </w:t>
      </w:r>
      <w:r w:rsidRPr="0028108F">
        <w:rPr>
          <w:rFonts w:ascii="Arial" w:hAnsi="Arial" w:cs="Arial"/>
          <w:i/>
          <w:color w:val="000000"/>
          <w:kern w:val="0"/>
          <w:szCs w:val="24"/>
          <w:lang w:val="en-GB"/>
        </w:rPr>
        <w:t>“gender identity”</w:t>
      </w:r>
      <w:r w:rsidRPr="0028108F">
        <w:rPr>
          <w:rFonts w:ascii="Arial" w:hAnsi="Arial" w:cs="Arial"/>
          <w:color w:val="000000"/>
          <w:kern w:val="0"/>
          <w:szCs w:val="24"/>
          <w:lang w:val="en-GB"/>
        </w:rPr>
        <w:t xml:space="preserve"> in its broadest sense, taking inspiration from the </w:t>
      </w:r>
      <w:r w:rsidR="004A47D5" w:rsidRPr="0028108F">
        <w:rPr>
          <w:rFonts w:ascii="Arial" w:hAnsi="Arial" w:cs="Arial"/>
          <w:i/>
          <w:szCs w:val="24"/>
          <w:lang w:val="en-GB"/>
        </w:rPr>
        <w:t>Yogyakarta Principles on the Application of International Human Rights Law in relation to Sexual Orientation and Gender Identity</w:t>
      </w:r>
      <w:r w:rsidR="00020C2E">
        <w:rPr>
          <w:rFonts w:ascii="Arial" w:hAnsi="Arial" w:cs="Arial" w:hint="eastAsia"/>
          <w:i/>
          <w:szCs w:val="24"/>
          <w:lang w:val="en-GB"/>
        </w:rPr>
        <w:t xml:space="preserve"> (</w:t>
      </w:r>
      <w:r w:rsidR="00020C2E">
        <w:rPr>
          <w:rFonts w:ascii="Arial" w:hAnsi="Arial" w:cs="Arial"/>
          <w:i/>
          <w:szCs w:val="24"/>
          <w:lang w:val="en-GB"/>
        </w:rPr>
        <w:t>“</w:t>
      </w:r>
      <w:r w:rsidR="00020C2E">
        <w:rPr>
          <w:rFonts w:ascii="Arial" w:hAnsi="Arial" w:cs="Arial" w:hint="eastAsia"/>
          <w:i/>
          <w:szCs w:val="24"/>
          <w:lang w:val="en-GB"/>
        </w:rPr>
        <w:t>Yogyakarta Principles</w:t>
      </w:r>
      <w:r w:rsidR="00020C2E">
        <w:rPr>
          <w:rFonts w:ascii="Arial" w:hAnsi="Arial" w:cs="Arial"/>
          <w:i/>
          <w:szCs w:val="24"/>
          <w:lang w:val="en-GB"/>
        </w:rPr>
        <w:t>”</w:t>
      </w:r>
      <w:r w:rsidR="00020C2E">
        <w:rPr>
          <w:rFonts w:ascii="Arial" w:hAnsi="Arial" w:cs="Arial" w:hint="eastAsia"/>
          <w:i/>
          <w:szCs w:val="24"/>
          <w:lang w:val="en-GB"/>
        </w:rPr>
        <w:t>)</w:t>
      </w:r>
      <w:r w:rsidR="004A47D5" w:rsidRPr="0028108F">
        <w:rPr>
          <w:rStyle w:val="FootnoteReference"/>
          <w:rFonts w:ascii="Arial" w:hAnsi="Arial" w:cs="Arial"/>
          <w:color w:val="000000" w:themeColor="text1"/>
          <w:szCs w:val="24"/>
          <w:lang w:val="en-GB"/>
        </w:rPr>
        <w:footnoteReference w:id="386"/>
      </w:r>
      <w:r w:rsidRPr="0028108F">
        <w:rPr>
          <w:rFonts w:ascii="Arial" w:hAnsi="Arial" w:cs="Arial"/>
          <w:color w:val="000000"/>
          <w:kern w:val="0"/>
          <w:szCs w:val="24"/>
          <w:lang w:val="en-GB"/>
        </w:rPr>
        <w:t xml:space="preserve">: </w:t>
      </w:r>
      <w:r w:rsidRPr="0028108F">
        <w:rPr>
          <w:rFonts w:ascii="Arial" w:hAnsi="Arial" w:cs="Arial"/>
          <w:i/>
          <w:color w:val="000000"/>
          <w:kern w:val="0"/>
          <w:szCs w:val="24"/>
          <w:lang w:val="en-GB"/>
        </w:rPr>
        <w:t>“Gender identity is the internal and individual way in which gender is perceived by persons that can correspond or not to the gender assigned at birth, including the personal experience of the body.”</w:t>
      </w:r>
    </w:p>
    <w:p w:rsidR="003D52D7" w:rsidRPr="0028108F" w:rsidRDefault="003D52D7" w:rsidP="003D52D7">
      <w:pPr>
        <w:snapToGrid w:val="0"/>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GIL does not require any surgery to be done as a precondition for gender recognition.  It is specifically provided in Article 4 that </w:t>
      </w:r>
      <w:r w:rsidRPr="0028108F">
        <w:rPr>
          <w:rFonts w:ascii="Arial" w:hAnsi="Arial" w:cs="Arial"/>
          <w:i/>
          <w:szCs w:val="24"/>
          <w:lang w:val="en-GB"/>
        </w:rPr>
        <w:t>“in no case will it be needed to prove that a surgical procedure for total or partial genital reassignment, hormonal therapies or any other psychological or medical treatment has taken place.”</w:t>
      </w: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i/>
          <w:szCs w:val="24"/>
          <w:lang w:val="en-GB"/>
        </w:rPr>
      </w:pPr>
      <w:r w:rsidRPr="0028108F">
        <w:rPr>
          <w:rFonts w:ascii="Arial" w:hAnsi="Arial" w:cs="Arial"/>
          <w:szCs w:val="24"/>
          <w:lang w:val="en-GB"/>
        </w:rPr>
        <w:t>The GIL does not require any diagnosis, or that the applicant has had any real life experience or lived continuously in a gender role matching his/her gender identity, or that the applicant should have an expressed intention to live in the opposite gender.</w:t>
      </w:r>
    </w:p>
    <w:p w:rsidR="003D52D7" w:rsidRPr="0028108F" w:rsidRDefault="003D52D7" w:rsidP="003D52D7">
      <w:pPr>
        <w:pStyle w:val="ListParagraph"/>
        <w:widowControl/>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Minimum age requirements</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Notwithstanding that there is a minimum age requirement of 18 (Article 4(1)), the GIL permits children under the age of 18 to change their gender under the same procedures as for adults (Article 5) if the request is submitted by the minor’s legal representative with the minor’s explicit agreement (and taking into account the evolving capacities and best interests of the minor as expressed in the Convention on the Rights of the Child and in Law 26061 for the Comprehensive Protection of the Rights of Girls, Boys and Adolescents</w:t>
      </w:r>
      <w:r w:rsidR="00952CA7" w:rsidRPr="0028108F">
        <w:rPr>
          <w:rStyle w:val="FootnoteReference"/>
          <w:rFonts w:ascii="Arial" w:hAnsi="Arial" w:cs="Arial"/>
          <w:szCs w:val="24"/>
          <w:lang w:val="en-GB"/>
        </w:rPr>
        <w:footnoteReference w:id="387"/>
      </w:r>
      <w:r w:rsidRPr="0028108F">
        <w:rPr>
          <w:rFonts w:ascii="Arial" w:hAnsi="Arial" w:cs="Arial"/>
          <w:szCs w:val="24"/>
          <w:lang w:val="en-GB"/>
        </w:rPr>
        <w:t>).  The minor must also be assisted by a children’s lawyer (Article 5).</w:t>
      </w:r>
      <w:r w:rsidRPr="0028108F">
        <w:rPr>
          <w:rStyle w:val="FootnoteReference"/>
          <w:rFonts w:ascii="Arial" w:hAnsi="Arial" w:cs="Arial"/>
          <w:szCs w:val="24"/>
          <w:lang w:val="en-GB"/>
        </w:rPr>
        <w:footnoteReference w:id="388"/>
      </w:r>
      <w:r w:rsidRPr="0028108F">
        <w:rPr>
          <w:rFonts w:ascii="Arial" w:hAnsi="Arial" w:cs="Arial"/>
          <w:szCs w:val="24"/>
          <w:lang w:val="en-GB"/>
        </w:rPr>
        <w:t xml:space="preserve">  </w:t>
      </w:r>
    </w:p>
    <w:p w:rsidR="003D52D7" w:rsidRPr="0028108F" w:rsidRDefault="003D52D7" w:rsidP="003D52D7">
      <w:pPr>
        <w:tabs>
          <w:tab w:val="left" w:pos="1418"/>
        </w:tabs>
        <w:adjustRightInd w:val="0"/>
        <w:snapToGrid w:val="0"/>
        <w:jc w:val="both"/>
        <w:rPr>
          <w:rFonts w:ascii="Arial" w:hAnsi="Arial" w:cs="Arial"/>
          <w:color w:val="000000"/>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color w:val="000000"/>
          <w:kern w:val="0"/>
          <w:szCs w:val="24"/>
          <w:lang w:val="en-GB"/>
        </w:rPr>
        <w:t>Summary proceedings before a judge are used for applications by those under the age of 18 if a legal guardian’s consent is denied or cannot be obtained (Article 5).  A judge’s authorisation is also required for any second or subsequent applications (Article 8).</w:t>
      </w:r>
    </w:p>
    <w:p w:rsidR="003D52D7" w:rsidRPr="0028108F" w:rsidRDefault="003D52D7" w:rsidP="003D52D7">
      <w:pPr>
        <w:tabs>
          <w:tab w:val="left" w:pos="709"/>
        </w:tabs>
        <w:adjustRightInd w:val="0"/>
        <w:snapToGrid w:val="0"/>
        <w:jc w:val="both"/>
        <w:rPr>
          <w:rFonts w:ascii="Arial" w:hAnsi="Arial" w:cs="Arial"/>
          <w:i/>
          <w:szCs w:val="24"/>
          <w:lang w:val="en-GB"/>
        </w:rPr>
      </w:pP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No residency or citizenship requirement</w:t>
      </w:r>
    </w:p>
    <w:p w:rsidR="003D52D7" w:rsidRPr="0028108F" w:rsidRDefault="003D52D7" w:rsidP="003D52D7">
      <w:pPr>
        <w:tabs>
          <w:tab w:val="left" w:pos="1418"/>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No residency or citizenship requirement was stipulated under the GIL.  However, the general rule is that only citizens can apply for legal gender recognition in Argentina.</w:t>
      </w:r>
      <w:r w:rsidRPr="0028108F">
        <w:rPr>
          <w:rStyle w:val="FootnoteReference"/>
          <w:rFonts w:ascii="Arial" w:hAnsi="Arial" w:cs="Arial"/>
          <w:lang w:val="en-GB"/>
        </w:rPr>
        <w:footnoteReference w:id="389"/>
      </w:r>
      <w:r w:rsidRPr="0028108F">
        <w:rPr>
          <w:rFonts w:ascii="Arial" w:hAnsi="Arial" w:cs="Arial"/>
          <w:szCs w:val="24"/>
          <w:lang w:val="en-GB"/>
        </w:rPr>
        <w:t xml:space="preserve">  Nevertheless, under a number of administrative guidelines,</w:t>
      </w:r>
      <w:r w:rsidRPr="0028108F">
        <w:rPr>
          <w:rStyle w:val="FootnoteReference"/>
          <w:rFonts w:ascii="Arial" w:hAnsi="Arial" w:cs="Arial"/>
          <w:lang w:val="en-GB"/>
        </w:rPr>
        <w:footnoteReference w:id="390"/>
      </w:r>
      <w:r w:rsidRPr="0028108F">
        <w:rPr>
          <w:rFonts w:ascii="Arial" w:hAnsi="Arial" w:cs="Arial"/>
          <w:szCs w:val="24"/>
          <w:lang w:val="en-GB"/>
        </w:rPr>
        <w:t xml:space="preserve"> a non-citizen who are applying for, or have already been granted permanent resident status in Argentina can apply for legal gender recognition in Argentina.  If the applicant concerned had obtained legal gender recognition in their country of citizenship, he or she may provide appropriate evidence of that extra-territorial recognition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national identity card or birth certificate) for the application to amend the gender marker on his or her residence card, National Identity Card for Foreign Residents and any other documentation issued by the Argentine state.  If the applicant has not obtained legal gender recognition in his or her country of origin, he or she must produce to the National Migration Office evidence of his or her permanent resident status in Argentina, the National Identity Card for Foreign Residents, and notification from the Consular Office of the country of citizenship which affirms that the laws of that country do not permit the individual to obtain legal gender recognition.  One important difference between gender recognition granted to citizens and non-citizens is that the documentation issued to non-citizens is only valid for use within Argentina so that the individual concerned must continue to rely upon his or her travel documentation issued by the country of citizenship, even if this documentation retains the birth-assigned legal gender.</w:t>
      </w:r>
    </w:p>
    <w:p w:rsidR="003D52D7" w:rsidRPr="0028108F" w:rsidRDefault="003D52D7" w:rsidP="003D52D7">
      <w:pPr>
        <w:pStyle w:val="ListParagraph"/>
        <w:adjustRightInd w:val="0"/>
        <w:snapToGrid w:val="0"/>
        <w:ind w:leftChars="0" w:left="0"/>
        <w:rPr>
          <w:rFonts w:ascii="Arial" w:hAnsi="Arial" w:cs="Arial"/>
          <w:b/>
          <w:szCs w:val="24"/>
          <w:lang w:val="en-GB"/>
        </w:rPr>
      </w:pPr>
    </w:p>
    <w:p w:rsidR="003D52D7" w:rsidRPr="0028108F" w:rsidRDefault="003D52D7" w:rsidP="003D52D7">
      <w:pPr>
        <w:pStyle w:val="ListParagraph"/>
        <w:adjustRightInd w:val="0"/>
        <w:snapToGrid w:val="0"/>
        <w:ind w:leftChars="0" w:left="0"/>
        <w:rPr>
          <w:rFonts w:ascii="Arial" w:hAnsi="Arial" w:cs="Arial"/>
          <w:i/>
          <w:szCs w:val="24"/>
          <w:lang w:val="en-GB"/>
        </w:rPr>
      </w:pPr>
      <w:r w:rsidRPr="0028108F">
        <w:rPr>
          <w:rFonts w:ascii="Arial" w:hAnsi="Arial" w:cs="Arial"/>
          <w:i/>
          <w:szCs w:val="24"/>
          <w:lang w:val="en-GB"/>
        </w:rPr>
        <w:t>No requirements relating to pre-existing marriage</w:t>
      </w:r>
    </w:p>
    <w:p w:rsidR="003D52D7" w:rsidRPr="0028108F" w:rsidRDefault="003D52D7" w:rsidP="003D52D7">
      <w:pPr>
        <w:pStyle w:val="ListParagraph"/>
        <w:adjustRightInd w:val="0"/>
        <w:snapToGrid w:val="0"/>
        <w:ind w:leftChars="0" w:left="0"/>
        <w:rPr>
          <w:rFonts w:ascii="Arial" w:hAnsi="Arial" w:cs="Arial"/>
          <w:b/>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There is no direct reference to any requirements relating to marriage in the GIL.  One of the reasons that divorce in relation to a prior marriage may not be mandatory for the application under the GIL is that Argentina has recognised the right of same-sex couples to marry since the passage of the Equal Marriage Act on 2 July 2010.</w:t>
      </w:r>
      <w:r w:rsidRPr="0028108F">
        <w:rPr>
          <w:rStyle w:val="FootnoteReference"/>
          <w:rFonts w:ascii="Arial" w:hAnsi="Arial" w:cs="Arial"/>
          <w:szCs w:val="24"/>
          <w:lang w:val="en-GB"/>
        </w:rPr>
        <w:footnoteReference w:id="391"/>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No impact on parental status</w:t>
      </w:r>
    </w:p>
    <w:p w:rsidR="003D52D7" w:rsidRPr="0028108F" w:rsidRDefault="003D52D7" w:rsidP="003D52D7">
      <w:pPr>
        <w:tabs>
          <w:tab w:val="left" w:pos="709"/>
        </w:tabs>
        <w:adjustRightInd w:val="0"/>
        <w:snapToGrid w:val="0"/>
        <w:jc w:val="both"/>
        <w:rPr>
          <w:rFonts w:ascii="Arial" w:hAnsi="Arial" w:cs="Arial"/>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There is no requirement regarding the parental status of the applicant, though it is noted that, under Article 7, a successful applicant’s legal entitlements to rights and legal obligations derived from the relationships consecrated by family law at all levels and degrees will remain unchanged, including adoption.</w:t>
      </w:r>
    </w:p>
    <w:p w:rsidR="003D52D7" w:rsidRPr="0028108F" w:rsidRDefault="003D52D7" w:rsidP="008813DE">
      <w:pPr>
        <w:tabs>
          <w:tab w:val="left" w:pos="709"/>
        </w:tabs>
        <w:adjustRightInd w:val="0"/>
        <w:snapToGrid w:val="0"/>
        <w:jc w:val="both"/>
        <w:rPr>
          <w:rFonts w:ascii="Arial" w:hAnsi="Arial" w:cs="Arial"/>
          <w:szCs w:val="24"/>
          <w:lang w:val="en-GB"/>
        </w:rPr>
      </w:pPr>
      <w:r w:rsidRPr="0028108F">
        <w:rPr>
          <w:rFonts w:ascii="Arial" w:hAnsi="Arial" w:cs="Arial"/>
          <w:szCs w:val="24"/>
          <w:lang w:val="en-GB"/>
        </w:rPr>
        <w:t xml:space="preserve"> </w:t>
      </w:r>
    </w:p>
    <w:p w:rsidR="003D52D7" w:rsidRPr="0028108F" w:rsidRDefault="003D52D7" w:rsidP="003D52D7">
      <w:pPr>
        <w:tabs>
          <w:tab w:val="left" w:pos="709"/>
        </w:tabs>
        <w:adjustRightInd w:val="0"/>
        <w:snapToGrid w:val="0"/>
        <w:jc w:val="both"/>
        <w:rPr>
          <w:rFonts w:ascii="Arial" w:hAnsi="Arial" w:cs="Arial"/>
          <w:i/>
          <w:szCs w:val="24"/>
          <w:lang w:val="en-GB"/>
        </w:rPr>
      </w:pPr>
      <w:r w:rsidRPr="0028108F">
        <w:rPr>
          <w:rFonts w:ascii="Arial" w:hAnsi="Arial" w:cs="Arial"/>
          <w:i/>
          <w:szCs w:val="24"/>
          <w:lang w:val="en-GB"/>
        </w:rPr>
        <w:t>Scope of the gender recognition</w:t>
      </w:r>
    </w:p>
    <w:p w:rsidR="003D52D7" w:rsidRPr="0028108F" w:rsidRDefault="003D52D7" w:rsidP="003D52D7">
      <w:pPr>
        <w:tabs>
          <w:tab w:val="left" w:pos="709"/>
        </w:tabs>
        <w:adjustRightInd w:val="0"/>
        <w:snapToGrid w:val="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Once the required information stated in Article 4 has been provided, the public officer will proceed </w:t>
      </w:r>
      <w:r w:rsidRPr="0028108F">
        <w:rPr>
          <w:rFonts w:ascii="Arial" w:hAnsi="Arial" w:cs="Arial"/>
          <w:i/>
          <w:szCs w:val="24"/>
          <w:lang w:val="en-GB"/>
        </w:rPr>
        <w:t>“without any additional legal or administrative procedure required”</w:t>
      </w:r>
      <w:r w:rsidRPr="0028108F">
        <w:rPr>
          <w:rFonts w:ascii="Arial" w:hAnsi="Arial" w:cs="Arial"/>
          <w:szCs w:val="24"/>
          <w:lang w:val="en-GB"/>
        </w:rPr>
        <w:t xml:space="preserve"> to notify the amendment of the sex and change of first name to the Civil Registry corresponding to the jurisdiction where the birth certificate was filed (Article 6), and will notify the change to the other government bureaus as necessary (Article 10). </w:t>
      </w:r>
    </w:p>
    <w:p w:rsidR="003D52D7" w:rsidRPr="0028108F" w:rsidRDefault="003D52D7" w:rsidP="003D52D7">
      <w:pPr>
        <w:tabs>
          <w:tab w:val="left" w:pos="709"/>
        </w:tabs>
        <w:adjustRightInd w:val="0"/>
        <w:snapToGrid w:val="0"/>
        <w:jc w:val="both"/>
        <w:rPr>
          <w:rFonts w:ascii="Arial" w:hAnsi="Arial" w:cs="Arial"/>
          <w:b/>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szCs w:val="24"/>
          <w:lang w:val="en-GB"/>
        </w:rPr>
      </w:pPr>
      <w:r w:rsidRPr="0028108F">
        <w:rPr>
          <w:rFonts w:ascii="Arial" w:hAnsi="Arial" w:cs="Arial"/>
          <w:szCs w:val="24"/>
          <w:lang w:val="en-GB"/>
        </w:rPr>
        <w:t>The gend</w:t>
      </w:r>
      <w:r w:rsidRPr="0028108F">
        <w:rPr>
          <w:rFonts w:ascii="Arial" w:hAnsi="Arial" w:cs="Arial"/>
          <w:color w:val="000000"/>
          <w:kern w:val="0"/>
          <w:szCs w:val="24"/>
          <w:lang w:val="en-GB"/>
        </w:rPr>
        <w:t>er recognition under the GIL is for full legal purposes by virtue of Articles 1(a) and 1(c), whic</w:t>
      </w:r>
      <w:r w:rsidRPr="0028108F">
        <w:rPr>
          <w:rFonts w:ascii="Arial" w:hAnsi="Arial" w:cs="Arial"/>
          <w:szCs w:val="24"/>
          <w:lang w:val="en-GB"/>
        </w:rPr>
        <w:t>h guarantee the rights of all persons to the recognition of their gender identity and to be treated according to their gender identity.  Article 7 also provides that, from the point of first legal recognition, an individual’s preferred gender and name are enforceable as against third parties.</w:t>
      </w:r>
    </w:p>
    <w:p w:rsidR="003D52D7" w:rsidRPr="0028108F" w:rsidRDefault="003D52D7" w:rsidP="003D52D7">
      <w:pPr>
        <w:autoSpaceDE w:val="0"/>
        <w:autoSpaceDN w:val="0"/>
        <w:adjustRightInd w:val="0"/>
        <w:snapToGrid w:val="0"/>
        <w:jc w:val="both"/>
        <w:rPr>
          <w:rFonts w:ascii="Arial" w:hAnsi="Arial" w:cs="Arial"/>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Confidentiality is regulated under Article 9, which prohibits the disclosure of the original birth certificate to anybody or without the explicit authorisation of the document holder, except in the case of a </w:t>
      </w:r>
      <w:r w:rsidRPr="0028108F">
        <w:rPr>
          <w:rFonts w:ascii="Arial" w:hAnsi="Arial" w:cs="Arial"/>
          <w:i/>
          <w:szCs w:val="24"/>
          <w:lang w:val="en-GB"/>
        </w:rPr>
        <w:t>“well-founded judicial authorisation”</w:t>
      </w:r>
      <w:r w:rsidRPr="0028108F">
        <w:rPr>
          <w:rFonts w:ascii="Arial" w:hAnsi="Arial" w:cs="Arial"/>
          <w:szCs w:val="24"/>
          <w:lang w:val="en-GB"/>
        </w:rPr>
        <w:t xml:space="preserve">, and prohibits any publicising of amendments made to the recorded sex and first name of a person except with the authorisation of the document holder.  Further, Article 6 forbids any reference to the GIL in the new birth certificate and national identity card. </w:t>
      </w: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Article 12 ensures the </w:t>
      </w:r>
      <w:r w:rsidRPr="0028108F">
        <w:rPr>
          <w:rFonts w:ascii="Arial" w:hAnsi="Arial" w:cs="Arial"/>
          <w:kern w:val="0"/>
          <w:szCs w:val="24"/>
          <w:lang w:val="en-GB"/>
        </w:rPr>
        <w:t>dignified</w:t>
      </w:r>
      <w:r w:rsidRPr="0028108F">
        <w:rPr>
          <w:rFonts w:ascii="Arial" w:hAnsi="Arial" w:cs="Arial"/>
          <w:szCs w:val="24"/>
          <w:lang w:val="en-GB"/>
        </w:rPr>
        <w:t xml:space="preserve"> treatment of people with first name and sex changed according to the GIL.</w:t>
      </w:r>
    </w:p>
    <w:p w:rsidR="003D52D7" w:rsidRPr="0028108F" w:rsidRDefault="003D52D7" w:rsidP="003D52D7">
      <w:pPr>
        <w:tabs>
          <w:tab w:val="left" w:pos="851"/>
        </w:tabs>
        <w:autoSpaceDE w:val="0"/>
        <w:autoSpaceDN w:val="0"/>
        <w:adjustRightInd w:val="0"/>
        <w:snapToGrid w:val="0"/>
        <w:jc w:val="both"/>
        <w:rPr>
          <w:rFonts w:ascii="Arial" w:hAnsi="Arial" w:cs="Arial"/>
          <w:b/>
          <w:color w:val="000000"/>
          <w:kern w:val="0"/>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Unofficial statistics indicate that in its first year of operation, more than 3,000 trans people applied to change their sex entry and name under the GIL.</w:t>
      </w:r>
      <w:r w:rsidRPr="0028108F">
        <w:rPr>
          <w:rStyle w:val="FootnoteReference"/>
          <w:rFonts w:ascii="Arial" w:hAnsi="Arial" w:cs="Arial"/>
          <w:szCs w:val="24"/>
          <w:lang w:val="en-GB"/>
        </w:rPr>
        <w:footnoteReference w:id="392"/>
      </w:r>
      <w:r w:rsidRPr="0028108F">
        <w:rPr>
          <w:rFonts w:ascii="Arial" w:hAnsi="Arial" w:cs="Arial"/>
          <w:szCs w:val="24"/>
          <w:lang w:val="en-GB"/>
        </w:rPr>
        <w:t xml:space="preserve">  </w:t>
      </w:r>
    </w:p>
    <w:p w:rsidR="003D52D7" w:rsidRPr="0028108F" w:rsidRDefault="003D52D7" w:rsidP="003D52D7">
      <w:pPr>
        <w:autoSpaceDE w:val="0"/>
        <w:autoSpaceDN w:val="0"/>
        <w:adjustRightInd w:val="0"/>
        <w:snapToGrid w:val="0"/>
        <w:jc w:val="both"/>
        <w:rPr>
          <w:rFonts w:ascii="Arial" w:hAnsi="Arial" w:cs="Arial"/>
          <w:szCs w:val="24"/>
          <w:lang w:val="en-GB"/>
        </w:rPr>
      </w:pPr>
    </w:p>
    <w:p w:rsidR="003D52D7" w:rsidRPr="0028108F" w:rsidRDefault="003D52D7" w:rsidP="003D52D7">
      <w:pPr>
        <w:adjustRightInd w:val="0"/>
        <w:snapToGrid w:val="0"/>
        <w:jc w:val="both"/>
        <w:rPr>
          <w:rFonts w:ascii="Arial" w:hAnsi="Arial" w:cs="Arial"/>
          <w:b/>
          <w:i/>
          <w:szCs w:val="24"/>
          <w:lang w:val="en-GB"/>
        </w:rPr>
      </w:pPr>
      <w:r w:rsidRPr="0028108F">
        <w:rPr>
          <w:rFonts w:ascii="Arial" w:hAnsi="Arial" w:cs="Arial"/>
          <w:b/>
          <w:i/>
          <w:szCs w:val="24"/>
          <w:lang w:val="en-GB"/>
        </w:rPr>
        <w:t>Uruguay</w:t>
      </w:r>
    </w:p>
    <w:p w:rsidR="003D52D7" w:rsidRPr="0028108F" w:rsidRDefault="003D52D7" w:rsidP="003D52D7">
      <w:pPr>
        <w:adjustRightInd w:val="0"/>
        <w:snapToGrid w:val="0"/>
        <w:jc w:val="both"/>
        <w:rPr>
          <w:rFonts w:ascii="Arial" w:hAnsi="Arial" w:cs="Arial"/>
          <w:i/>
          <w:szCs w:val="24"/>
          <w:lang w:val="en-GB"/>
        </w:rPr>
      </w:pPr>
    </w:p>
    <w:p w:rsidR="003D52D7" w:rsidRPr="0028108F" w:rsidRDefault="003D52D7" w:rsidP="003D52D7">
      <w:pPr>
        <w:adjustRightInd w:val="0"/>
        <w:snapToGrid w:val="0"/>
        <w:jc w:val="both"/>
        <w:rPr>
          <w:rFonts w:ascii="Arial" w:hAnsi="Arial" w:cs="Arial"/>
          <w:i/>
          <w:szCs w:val="24"/>
          <w:lang w:val="en-GB"/>
        </w:rPr>
      </w:pPr>
      <w:r w:rsidRPr="0028108F">
        <w:rPr>
          <w:rFonts w:ascii="Arial" w:hAnsi="Arial" w:cs="Arial"/>
          <w:i/>
          <w:szCs w:val="24"/>
          <w:lang w:val="en-GB"/>
        </w:rPr>
        <w:t>Legislative model for gender recognition</w:t>
      </w:r>
    </w:p>
    <w:p w:rsidR="003D52D7" w:rsidRPr="0028108F" w:rsidRDefault="003D52D7" w:rsidP="003D52D7">
      <w:pPr>
        <w:adjustRightInd w:val="0"/>
        <w:snapToGrid w:val="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i/>
          <w:szCs w:val="24"/>
          <w:lang w:val="en-GB"/>
        </w:rPr>
      </w:pPr>
      <w:r w:rsidRPr="0028108F">
        <w:rPr>
          <w:rFonts w:ascii="Arial" w:hAnsi="Arial" w:cs="Arial"/>
          <w:szCs w:val="24"/>
          <w:lang w:val="en-GB"/>
        </w:rPr>
        <w:t xml:space="preserve">In October 2009, the Parliament in Uruguay passed Law No. 18.620, which begins by affirming that </w:t>
      </w:r>
      <w:r w:rsidRPr="0028108F">
        <w:rPr>
          <w:rFonts w:ascii="Arial" w:hAnsi="Arial" w:cs="Arial"/>
          <w:i/>
          <w:szCs w:val="24"/>
          <w:lang w:val="en-GB"/>
        </w:rPr>
        <w:t>“everyone has the right to the free development of their personality according to their own gender identity, independent of his or her sex, be it biological, genetic, anatomical, morphological, hormonal, by assignment, any other consideration”</w:t>
      </w:r>
      <w:r w:rsidRPr="0028108F">
        <w:rPr>
          <w:rFonts w:ascii="Arial" w:hAnsi="Arial" w:cs="Arial"/>
          <w:szCs w:val="24"/>
          <w:lang w:val="en-GB"/>
        </w:rPr>
        <w:t xml:space="preserve"> (Article 1).  This law permits individuals to amend their name and gender (either male or female) in the official civil register and on all identity documentation, such as passports and birth certificates.</w:t>
      </w: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Judicial authority to determine applications</w:t>
      </w: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b/>
          <w:i/>
          <w:szCs w:val="24"/>
          <w:lang w:val="en-GB"/>
        </w:rPr>
      </w:pPr>
      <w:r w:rsidRPr="0028108F">
        <w:rPr>
          <w:rFonts w:ascii="Arial" w:hAnsi="Arial" w:cs="Arial"/>
          <w:szCs w:val="24"/>
          <w:lang w:val="en-GB"/>
        </w:rPr>
        <w:t>The Family Courts are responsible for assessing and determining applications under the 2009 Law.  The Family Courts will rely heavily on the technical report issued by the multi-disciplinary team specialised in gender identity and diversity within the Civil Registry,</w:t>
      </w:r>
      <w:r w:rsidR="003B48EA" w:rsidRPr="0028108F">
        <w:rPr>
          <w:rStyle w:val="FootnoteReference"/>
          <w:rFonts w:ascii="Arial" w:hAnsi="Arial" w:cs="Arial"/>
          <w:szCs w:val="24"/>
          <w:lang w:val="en-GB"/>
        </w:rPr>
        <w:footnoteReference w:id="393"/>
      </w:r>
      <w:r w:rsidRPr="0028108F">
        <w:rPr>
          <w:rFonts w:ascii="Arial" w:hAnsi="Arial" w:cs="Arial"/>
          <w:szCs w:val="24"/>
          <w:lang w:val="en-GB"/>
        </w:rPr>
        <w:t xml:space="preserve"> which would take into account the testimonies of people who may know the daily lifestyle of the applicant and of the professionals who have treated the applicant for social, mental or physical matters.</w:t>
      </w: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List of requirements: expert report on gender dissonance</w:t>
      </w: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p>
    <w:p w:rsidR="003D52D7" w:rsidRPr="0028108F" w:rsidRDefault="003D52D7" w:rsidP="003D52D7">
      <w:pPr>
        <w:pStyle w:val="ListParagraph"/>
        <w:widowControl/>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applicant should submit to the </w:t>
      </w:r>
      <w:r w:rsidR="006B78C8">
        <w:rPr>
          <w:rFonts w:ascii="Arial" w:hAnsi="Arial" w:cs="Arial" w:hint="eastAsia"/>
          <w:szCs w:val="24"/>
          <w:lang w:val="en-GB"/>
        </w:rPr>
        <w:t>c</w:t>
      </w:r>
      <w:r w:rsidR="006B78C8" w:rsidRPr="0028108F">
        <w:rPr>
          <w:rFonts w:ascii="Arial" w:hAnsi="Arial" w:cs="Arial"/>
          <w:szCs w:val="24"/>
          <w:lang w:val="en-GB"/>
        </w:rPr>
        <w:t xml:space="preserve">ourts </w:t>
      </w:r>
      <w:r w:rsidRPr="0028108F">
        <w:rPr>
          <w:rFonts w:ascii="Arial" w:hAnsi="Arial" w:cs="Arial"/>
          <w:szCs w:val="24"/>
          <w:lang w:val="en-GB"/>
        </w:rPr>
        <w:t xml:space="preserve">a technical report issued by the said multi-disciplinary team stating, </w:t>
      </w:r>
      <w:r w:rsidRPr="008813DE">
        <w:rPr>
          <w:rFonts w:ascii="Arial" w:hAnsi="Arial" w:cs="Arial"/>
          <w:i/>
          <w:szCs w:val="24"/>
          <w:lang w:val="en-GB"/>
        </w:rPr>
        <w:t>inter alia</w:t>
      </w:r>
      <w:r w:rsidRPr="0028108F">
        <w:rPr>
          <w:rFonts w:ascii="Arial" w:hAnsi="Arial" w:cs="Arial"/>
          <w:szCs w:val="24"/>
          <w:lang w:val="en-GB"/>
        </w:rPr>
        <w:t xml:space="preserve"> (Article 3):</w:t>
      </w:r>
    </w:p>
    <w:p w:rsidR="003D52D7" w:rsidRPr="0028108F" w:rsidRDefault="003D52D7" w:rsidP="003D52D7">
      <w:pPr>
        <w:pStyle w:val="ListParagraph"/>
        <w:tabs>
          <w:tab w:val="left" w:pos="1418"/>
        </w:tabs>
        <w:adjustRightInd w:val="0"/>
        <w:snapToGrid w:val="0"/>
        <w:ind w:leftChars="0" w:left="0"/>
        <w:jc w:val="both"/>
        <w:rPr>
          <w:rFonts w:ascii="Arial" w:hAnsi="Arial" w:cs="Arial"/>
          <w:szCs w:val="24"/>
          <w:lang w:val="en-GB"/>
        </w:rPr>
      </w:pPr>
    </w:p>
    <w:p w:rsidR="003D52D7" w:rsidRPr="0028108F" w:rsidRDefault="003D52D7" w:rsidP="003D52D7">
      <w:pPr>
        <w:numPr>
          <w:ilvl w:val="0"/>
          <w:numId w:val="30"/>
        </w:numPr>
        <w:adjustRightInd w:val="0"/>
        <w:snapToGrid w:val="0"/>
        <w:ind w:leftChars="296" w:left="1418" w:hangingChars="295" w:hanging="708"/>
        <w:jc w:val="both"/>
        <w:rPr>
          <w:rFonts w:ascii="Arial" w:hAnsi="Arial" w:cs="Arial"/>
          <w:szCs w:val="24"/>
          <w:lang w:val="en-GB"/>
        </w:rPr>
      </w:pPr>
      <w:r w:rsidRPr="0028108F">
        <w:rPr>
          <w:rFonts w:ascii="Arial" w:hAnsi="Arial" w:cs="Arial"/>
          <w:szCs w:val="24"/>
          <w:lang w:val="en-GB"/>
        </w:rPr>
        <w:t>the name and/or sex in the birth certificate are dissonant with his or her own gender identity; and</w:t>
      </w:r>
    </w:p>
    <w:p w:rsidR="003D52D7" w:rsidRPr="0028108F" w:rsidRDefault="003D52D7" w:rsidP="003D52D7">
      <w:pPr>
        <w:tabs>
          <w:tab w:val="left" w:pos="1701"/>
        </w:tabs>
        <w:adjustRightInd w:val="0"/>
        <w:snapToGrid w:val="0"/>
        <w:ind w:leftChars="296" w:left="1418" w:hangingChars="295" w:hanging="708"/>
        <w:jc w:val="both"/>
        <w:rPr>
          <w:rFonts w:ascii="Arial" w:hAnsi="Arial" w:cs="Arial"/>
          <w:szCs w:val="24"/>
          <w:lang w:val="en-GB"/>
        </w:rPr>
      </w:pPr>
    </w:p>
    <w:p w:rsidR="003D52D7" w:rsidRPr="0028108F" w:rsidRDefault="003D52D7" w:rsidP="003D52D7">
      <w:pPr>
        <w:numPr>
          <w:ilvl w:val="0"/>
          <w:numId w:val="30"/>
        </w:numPr>
        <w:adjustRightInd w:val="0"/>
        <w:snapToGrid w:val="0"/>
        <w:ind w:leftChars="296" w:left="1418" w:hangingChars="295" w:hanging="708"/>
        <w:jc w:val="both"/>
        <w:rPr>
          <w:rFonts w:ascii="Arial" w:hAnsi="Arial" w:cs="Arial"/>
          <w:color w:val="000000" w:themeColor="text1"/>
          <w:szCs w:val="24"/>
          <w:lang w:val="en-GB"/>
        </w:rPr>
      </w:pPr>
      <w:r w:rsidRPr="0028108F">
        <w:rPr>
          <w:rFonts w:ascii="Arial" w:hAnsi="Arial" w:cs="Arial"/>
          <w:color w:val="000000" w:themeColor="text1"/>
          <w:szCs w:val="24"/>
          <w:lang w:val="en-GB"/>
        </w:rPr>
        <w:t>the stability and persistence of the dissonance between the gender assigned to the applicant at birth and his or her acquired gender has lasted for at least 2 years (not an imperative precondition for those who have undergone sex reassignment surgery).</w:t>
      </w:r>
    </w:p>
    <w:p w:rsidR="003D52D7" w:rsidRPr="0028108F" w:rsidRDefault="003D52D7" w:rsidP="003D52D7">
      <w:pPr>
        <w:pStyle w:val="ListParagraph"/>
        <w:tabs>
          <w:tab w:val="left" w:pos="1418"/>
        </w:tabs>
        <w:adjustRightInd w:val="0"/>
        <w:snapToGrid w:val="0"/>
        <w:ind w:leftChars="0" w:left="0"/>
        <w:jc w:val="both"/>
        <w:rPr>
          <w:rFonts w:ascii="Arial" w:hAnsi="Arial" w:cs="Arial"/>
          <w:i/>
          <w:szCs w:val="24"/>
          <w:lang w:val="en-GB"/>
        </w:rPr>
      </w:pPr>
      <w:r w:rsidRPr="0028108F">
        <w:rPr>
          <w:rFonts w:ascii="Arial" w:hAnsi="Arial" w:cs="Arial"/>
          <w:i/>
          <w:szCs w:val="24"/>
          <w:lang w:val="en-GB"/>
        </w:rPr>
        <w:t>Requirements relating to pre-existing marriages</w:t>
      </w:r>
    </w:p>
    <w:p w:rsidR="003D52D7" w:rsidRPr="0028108F" w:rsidRDefault="003D52D7" w:rsidP="003D52D7">
      <w:pPr>
        <w:tabs>
          <w:tab w:val="left" w:pos="1701"/>
        </w:tabs>
        <w:adjustRightInd w:val="0"/>
        <w:snapToGrid w:val="0"/>
        <w:jc w:val="both"/>
        <w:rPr>
          <w:rFonts w:ascii="Arial" w:hAnsi="Arial" w:cs="Arial"/>
          <w:color w:val="000000" w:themeColor="text1"/>
          <w:szCs w:val="24"/>
          <w:lang w:val="en-GB"/>
        </w:rPr>
      </w:pPr>
    </w:p>
    <w:p w:rsidR="003D52D7" w:rsidRPr="0028108F" w:rsidRDefault="003D52D7" w:rsidP="003D52D7">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An existing marriage will not be affected by the gender change (Article 7).  It is hereby noted that same-sex marriage became legalised on 5 August 2013 after enactment of the Equal Marriage Law (Law No. 19.075).</w:t>
      </w:r>
      <w:r w:rsidRPr="0028108F">
        <w:rPr>
          <w:rStyle w:val="FootnoteReference"/>
          <w:rFonts w:ascii="Arial" w:hAnsi="Arial" w:cs="Arial"/>
          <w:szCs w:val="24"/>
          <w:lang w:val="en-GB"/>
        </w:rPr>
        <w:footnoteReference w:id="394"/>
      </w:r>
    </w:p>
    <w:p w:rsidR="003D52D7" w:rsidRPr="0028108F" w:rsidRDefault="003D52D7" w:rsidP="003D52D7">
      <w:pPr>
        <w:tabs>
          <w:tab w:val="left" w:pos="1701"/>
        </w:tabs>
        <w:adjustRightInd w:val="0"/>
        <w:snapToGrid w:val="0"/>
        <w:jc w:val="both"/>
        <w:rPr>
          <w:rFonts w:ascii="Arial" w:hAnsi="Arial" w:cs="Arial"/>
          <w:color w:val="000000" w:themeColor="text1"/>
          <w:szCs w:val="24"/>
          <w:lang w:val="en-GB"/>
        </w:rPr>
      </w:pPr>
    </w:p>
    <w:p w:rsidR="003D52D7" w:rsidRPr="0028108F" w:rsidRDefault="003D52D7" w:rsidP="003D52D7">
      <w:pPr>
        <w:tabs>
          <w:tab w:val="left" w:pos="170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Scope of the gender recognition</w:t>
      </w:r>
    </w:p>
    <w:p w:rsidR="003D52D7" w:rsidRPr="0028108F" w:rsidRDefault="003D52D7" w:rsidP="003D52D7">
      <w:pPr>
        <w:tabs>
          <w:tab w:val="left" w:pos="1701"/>
        </w:tabs>
        <w:adjustRightInd w:val="0"/>
        <w:snapToGrid w:val="0"/>
        <w:jc w:val="both"/>
        <w:rPr>
          <w:rFonts w:ascii="Arial" w:hAnsi="Arial" w:cs="Arial"/>
          <w:color w:val="000000" w:themeColor="text1"/>
          <w:szCs w:val="24"/>
          <w:lang w:val="en-GB"/>
        </w:rPr>
      </w:pPr>
    </w:p>
    <w:p w:rsidR="00703D82" w:rsidRPr="0028108F" w:rsidRDefault="003D52D7" w:rsidP="00703D82">
      <w:pPr>
        <w:pStyle w:val="ListParagraph"/>
        <w:numPr>
          <w:ilvl w:val="0"/>
          <w:numId w:val="14"/>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Upon a successful application under the 2009 Law, changes of gender will be made to the identification documents as well as documents that record the applicant’s rights and obligations (Article 4).  The gender change will have legal effect from the date on which such change becomes effective on the birth certificate, and accordingly, it allows the individual to exercise all the rights attached to the acquired gender (Article 5).</w:t>
      </w:r>
    </w:p>
    <w:p w:rsidR="003D52D7" w:rsidRPr="00C57CE1" w:rsidRDefault="00E773F6" w:rsidP="0028108F">
      <w:pPr>
        <w:widowControl/>
        <w:jc w:val="both"/>
        <w:rPr>
          <w:rFonts w:ascii="Arial" w:hAnsi="Arial" w:cs="Arial"/>
          <w:szCs w:val="24"/>
          <w:lang w:val="en-GB"/>
        </w:rPr>
      </w:pPr>
      <w:r w:rsidRPr="00181CF2">
        <w:rPr>
          <w:rFonts w:ascii="Arial" w:hAnsi="Arial" w:cs="Arial"/>
          <w:szCs w:val="24"/>
          <w:lang w:val="en-GB"/>
        </w:rPr>
        <w:br w:type="page"/>
      </w:r>
    </w:p>
    <w:p w:rsidR="00E773F6" w:rsidRPr="00C57CE1" w:rsidRDefault="00E773F6" w:rsidP="00E773F6">
      <w:pPr>
        <w:adjustRightInd w:val="0"/>
        <w:snapToGrid w:val="0"/>
        <w:jc w:val="both"/>
        <w:rPr>
          <w:rFonts w:ascii="Arial" w:hAnsi="Arial" w:cs="Arial"/>
          <w:b/>
          <w:sz w:val="32"/>
          <w:szCs w:val="32"/>
          <w:lang w:val="en-GB"/>
        </w:rPr>
      </w:pPr>
      <w:r w:rsidRPr="00C57CE1">
        <w:rPr>
          <w:rFonts w:ascii="Arial" w:hAnsi="Arial" w:cs="Arial"/>
          <w:b/>
          <w:sz w:val="32"/>
          <w:szCs w:val="32"/>
          <w:lang w:val="en-GB"/>
        </w:rPr>
        <w:t>CHAPTER 5</w:t>
      </w:r>
    </w:p>
    <w:p w:rsidR="00E773F6" w:rsidRPr="0028108F" w:rsidRDefault="00E773F6" w:rsidP="00E773F6">
      <w:pPr>
        <w:adjustRightInd w:val="0"/>
        <w:snapToGrid w:val="0"/>
        <w:jc w:val="both"/>
        <w:rPr>
          <w:rFonts w:ascii="Arial" w:hAnsi="Arial" w:cs="Arial"/>
          <w:b/>
          <w:sz w:val="32"/>
          <w:szCs w:val="32"/>
          <w:lang w:val="en-GB"/>
        </w:rPr>
      </w:pPr>
    </w:p>
    <w:p w:rsidR="00E773F6" w:rsidRPr="0028108F" w:rsidRDefault="00E773F6" w:rsidP="00E773F6">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should hong kong have</w:t>
      </w:r>
    </w:p>
    <w:p w:rsidR="00E773F6" w:rsidRPr="0028108F" w:rsidRDefault="00E773F6" w:rsidP="00E773F6">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a gender recognition scheme?</w:t>
      </w:r>
    </w:p>
    <w:p w:rsidR="00E773F6" w:rsidRPr="0028108F" w:rsidRDefault="00E773F6" w:rsidP="00E773F6">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________________________________</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E773F6" w:rsidRPr="0028108F" w:rsidRDefault="00E773F6" w:rsidP="00E773F6">
      <w:pPr>
        <w:adjustRightInd w:val="0"/>
        <w:snapToGrid w:val="0"/>
        <w:jc w:val="both"/>
        <w:rPr>
          <w:rFonts w:ascii="Arial" w:hAnsi="Arial" w:cs="Arial"/>
          <w:color w:val="000000" w:themeColor="text1"/>
          <w:szCs w:val="24"/>
          <w:lang w:val="en-GB"/>
        </w:rPr>
      </w:pPr>
    </w:p>
    <w:p w:rsidR="00767F2F" w:rsidRPr="0028108F" w:rsidRDefault="00767F2F" w:rsidP="001544FD">
      <w:pPr>
        <w:pStyle w:val="ListParagraph"/>
        <w:numPr>
          <w:ilvl w:val="0"/>
          <w:numId w:val="108"/>
        </w:numPr>
        <w:tabs>
          <w:tab w:val="left" w:pos="1418"/>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As we saw in Chapter 2 of this Consultation Paper, the CFA in </w:t>
      </w:r>
      <w:r w:rsidRPr="0028108F">
        <w:rPr>
          <w:rFonts w:ascii="Arial" w:hAnsi="Arial" w:cs="Arial"/>
          <w:i/>
          <w:szCs w:val="24"/>
          <w:lang w:val="en-GB"/>
        </w:rPr>
        <w:t>W</w:t>
      </w:r>
      <w:r w:rsidRPr="0028108F">
        <w:rPr>
          <w:rFonts w:ascii="Arial" w:hAnsi="Arial" w:cs="Arial"/>
          <w:szCs w:val="24"/>
          <w:lang w:val="en-GB"/>
        </w:rPr>
        <w:t>’s case remarked that the Government should consider how to address problems facing transsexual persons in all areas of the law, and should do so by drawing reference to overseas practice such as the UK GRA.  We have therefore examined the UK</w:t>
      </w:r>
      <w:r w:rsidR="00723FA0" w:rsidRPr="0028108F">
        <w:rPr>
          <w:rFonts w:ascii="Arial" w:hAnsi="Arial" w:cs="Arial"/>
          <w:szCs w:val="24"/>
          <w:lang w:val="en-GB"/>
        </w:rPr>
        <w:t>’s</w:t>
      </w:r>
      <w:r w:rsidRPr="0028108F">
        <w:rPr>
          <w:rFonts w:ascii="Arial" w:hAnsi="Arial" w:cs="Arial"/>
          <w:szCs w:val="24"/>
          <w:lang w:val="en-GB"/>
        </w:rPr>
        <w:t xml:space="preserve"> </w:t>
      </w:r>
      <w:r w:rsidR="00723FA0" w:rsidRPr="0028108F">
        <w:rPr>
          <w:rFonts w:ascii="Arial" w:hAnsi="Arial" w:cs="Arial"/>
          <w:szCs w:val="24"/>
          <w:lang w:val="en-GB"/>
        </w:rPr>
        <w:t>g</w:t>
      </w:r>
      <w:r w:rsidRPr="0028108F">
        <w:rPr>
          <w:rFonts w:ascii="Arial" w:hAnsi="Arial" w:cs="Arial"/>
          <w:szCs w:val="24"/>
          <w:lang w:val="en-GB"/>
        </w:rPr>
        <w:t xml:space="preserve">ender </w:t>
      </w:r>
      <w:r w:rsidR="00723FA0" w:rsidRPr="0028108F">
        <w:rPr>
          <w:rFonts w:ascii="Arial" w:hAnsi="Arial" w:cs="Arial"/>
          <w:szCs w:val="24"/>
          <w:lang w:val="en-GB"/>
        </w:rPr>
        <w:t>r</w:t>
      </w:r>
      <w:r w:rsidRPr="0028108F">
        <w:rPr>
          <w:rFonts w:ascii="Arial" w:hAnsi="Arial" w:cs="Arial"/>
          <w:szCs w:val="24"/>
          <w:lang w:val="en-GB"/>
        </w:rPr>
        <w:t xml:space="preserve">ecognition </w:t>
      </w:r>
      <w:r w:rsidR="00723FA0" w:rsidRPr="0028108F">
        <w:rPr>
          <w:rFonts w:ascii="Arial" w:hAnsi="Arial" w:cs="Arial"/>
          <w:szCs w:val="24"/>
          <w:lang w:val="en-GB"/>
        </w:rPr>
        <w:t>s</w:t>
      </w:r>
      <w:r w:rsidRPr="0028108F">
        <w:rPr>
          <w:rFonts w:ascii="Arial" w:hAnsi="Arial" w:cs="Arial"/>
          <w:szCs w:val="24"/>
          <w:lang w:val="en-GB"/>
        </w:rPr>
        <w:t>cheme in detail in Chapter 3 of this Consultation Paper, and the gender recognition schemes applying in a wide range of other jurisdictions in Chapter 4, as well as in Annexes A and B of this paper.</w:t>
      </w:r>
    </w:p>
    <w:p w:rsidR="00767F2F" w:rsidRPr="0028108F" w:rsidRDefault="00767F2F" w:rsidP="0028108F">
      <w:pPr>
        <w:pStyle w:val="ListParagraph"/>
        <w:tabs>
          <w:tab w:val="left" w:pos="1418"/>
        </w:tabs>
        <w:adjustRightInd w:val="0"/>
        <w:snapToGrid w:val="0"/>
        <w:ind w:leftChars="0" w:left="0"/>
        <w:jc w:val="both"/>
        <w:rPr>
          <w:rFonts w:ascii="Arial" w:hAnsi="Arial" w:cs="Arial"/>
          <w:color w:val="000000" w:themeColor="text1"/>
          <w:szCs w:val="24"/>
          <w:lang w:val="en-GB"/>
        </w:rPr>
      </w:pPr>
    </w:p>
    <w:p w:rsidR="00767F2F" w:rsidRPr="0028108F" w:rsidRDefault="00767F2F" w:rsidP="001544FD">
      <w:pPr>
        <w:pStyle w:val="ListParagraph"/>
        <w:numPr>
          <w:ilvl w:val="0"/>
          <w:numId w:val="108"/>
        </w:numPr>
        <w:tabs>
          <w:tab w:val="left" w:pos="1418"/>
        </w:tabs>
        <w:adjustRightInd w:val="0"/>
        <w:snapToGrid w:val="0"/>
        <w:ind w:leftChars="0" w:left="0" w:firstLine="0"/>
        <w:jc w:val="both"/>
        <w:rPr>
          <w:rFonts w:ascii="Arial" w:hAnsi="Arial" w:cs="Arial"/>
          <w:color w:val="000000" w:themeColor="text1"/>
          <w:szCs w:val="24"/>
          <w:lang w:val="en-GB"/>
        </w:rPr>
      </w:pPr>
      <w:r w:rsidRPr="00181CF2">
        <w:rPr>
          <w:rFonts w:ascii="Arial" w:hAnsi="Arial" w:cs="Arial"/>
          <w:szCs w:val="24"/>
          <w:lang w:val="en-GB"/>
        </w:rPr>
        <w:t xml:space="preserve">The purpose of this and the following chapters is to </w:t>
      </w:r>
      <w:r w:rsidR="007C05D9">
        <w:rPr>
          <w:rFonts w:ascii="Arial" w:hAnsi="Arial" w:cs="Arial" w:hint="eastAsia"/>
          <w:szCs w:val="24"/>
          <w:lang w:val="en-GB"/>
        </w:rPr>
        <w:t xml:space="preserve">set out </w:t>
      </w:r>
      <w:r w:rsidRPr="00C57CE1">
        <w:rPr>
          <w:rFonts w:ascii="Arial" w:hAnsi="Arial" w:cs="Arial"/>
          <w:szCs w:val="24"/>
          <w:lang w:val="en-GB"/>
        </w:rPr>
        <w:t xml:space="preserve">a number of key issues </w:t>
      </w:r>
      <w:r w:rsidR="007C05D9">
        <w:rPr>
          <w:rFonts w:ascii="Arial" w:hAnsi="Arial" w:cs="Arial" w:hint="eastAsia"/>
          <w:szCs w:val="24"/>
          <w:lang w:val="en-GB"/>
        </w:rPr>
        <w:t xml:space="preserve">that need </w:t>
      </w:r>
      <w:r w:rsidRPr="00C57CE1">
        <w:rPr>
          <w:rFonts w:ascii="Arial" w:hAnsi="Arial" w:cs="Arial"/>
          <w:szCs w:val="24"/>
          <w:lang w:val="en-GB"/>
        </w:rPr>
        <w:t xml:space="preserve">to be addressed in considering the way forward on a possible gender recognition scheme for Hong Kong.  </w:t>
      </w:r>
      <w:r w:rsidR="007C05D9">
        <w:rPr>
          <w:rFonts w:ascii="Arial" w:hAnsi="Arial" w:cs="Arial" w:hint="eastAsia"/>
          <w:szCs w:val="24"/>
          <w:lang w:val="en-GB"/>
        </w:rPr>
        <w:t>With a view to be as objective as possible, these</w:t>
      </w:r>
      <w:r w:rsidR="007C05D9" w:rsidRPr="00C57CE1">
        <w:rPr>
          <w:rFonts w:ascii="Arial" w:hAnsi="Arial" w:cs="Arial"/>
          <w:szCs w:val="24"/>
          <w:lang w:val="en-GB"/>
        </w:rPr>
        <w:t xml:space="preserve"> </w:t>
      </w:r>
      <w:r w:rsidRPr="00C57CE1">
        <w:rPr>
          <w:rFonts w:ascii="Arial" w:hAnsi="Arial" w:cs="Arial"/>
          <w:szCs w:val="24"/>
          <w:lang w:val="en-GB"/>
        </w:rPr>
        <w:t xml:space="preserve">are set out in the form of a list of </w:t>
      </w:r>
      <w:r w:rsidRPr="0028108F">
        <w:rPr>
          <w:rFonts w:ascii="Arial" w:hAnsi="Arial" w:cs="Arial"/>
          <w:szCs w:val="24"/>
          <w:lang w:val="en-GB"/>
        </w:rPr>
        <w:t>issues, focusing on the arguments in support of and against the type of scheme which should apply, the pre-conditions for recognition of a person’s gender other than his or her birth gender and other ancillary issues.</w:t>
      </w:r>
    </w:p>
    <w:p w:rsidR="00767F2F" w:rsidRPr="0028108F" w:rsidRDefault="00767F2F" w:rsidP="0028108F">
      <w:pPr>
        <w:pStyle w:val="ListParagraph"/>
        <w:tabs>
          <w:tab w:val="left" w:pos="1418"/>
        </w:tabs>
        <w:adjustRightInd w:val="0"/>
        <w:snapToGrid w:val="0"/>
        <w:ind w:leftChars="0" w:left="0"/>
        <w:jc w:val="both"/>
        <w:rPr>
          <w:rFonts w:ascii="Arial" w:hAnsi="Arial" w:cs="Arial"/>
          <w:color w:val="000000" w:themeColor="text1"/>
          <w:szCs w:val="24"/>
          <w:lang w:val="en-GB"/>
        </w:rPr>
      </w:pPr>
    </w:p>
    <w:p w:rsidR="00E773F6" w:rsidRPr="0028108F" w:rsidRDefault="00E773F6" w:rsidP="001544FD">
      <w:pPr>
        <w:pStyle w:val="ListParagraph"/>
        <w:numPr>
          <w:ilvl w:val="0"/>
          <w:numId w:val="108"/>
        </w:numPr>
        <w:tabs>
          <w:tab w:val="left" w:pos="1418"/>
        </w:tabs>
        <w:adjustRightInd w:val="0"/>
        <w:snapToGrid w:val="0"/>
        <w:ind w:leftChars="0" w:left="0" w:firstLine="0"/>
        <w:jc w:val="both"/>
        <w:rPr>
          <w:rFonts w:ascii="Arial" w:hAnsi="Arial" w:cs="Arial"/>
          <w:color w:val="000000" w:themeColor="text1"/>
          <w:szCs w:val="24"/>
          <w:lang w:val="en-GB"/>
        </w:rPr>
      </w:pPr>
      <w:r w:rsidRPr="00C57CE1">
        <w:rPr>
          <w:rFonts w:ascii="Arial" w:hAnsi="Arial" w:cs="Arial"/>
          <w:color w:val="000000" w:themeColor="text1"/>
          <w:szCs w:val="24"/>
          <w:lang w:val="en-GB"/>
        </w:rPr>
        <w:t xml:space="preserve">In this </w:t>
      </w:r>
      <w:r w:rsidR="00767F2F"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Pr="0028108F">
        <w:rPr>
          <w:rFonts w:ascii="Arial" w:hAnsi="Arial" w:cs="Arial"/>
          <w:color w:val="000000" w:themeColor="text1"/>
          <w:szCs w:val="24"/>
          <w:lang w:val="en-GB"/>
        </w:rPr>
        <w:t>, we will examine the divergent considerations for having a gender recognition scheme</w:t>
      </w:r>
      <w:r w:rsidR="00767F2F" w:rsidRPr="0028108F">
        <w:rPr>
          <w:rFonts w:ascii="Arial" w:hAnsi="Arial" w:cs="Arial"/>
          <w:color w:val="000000" w:themeColor="text1"/>
          <w:szCs w:val="24"/>
          <w:lang w:val="en-GB"/>
        </w:rPr>
        <w:t xml:space="preserve"> from </w:t>
      </w:r>
      <w:r w:rsidR="00D97030">
        <w:rPr>
          <w:rFonts w:ascii="Arial" w:hAnsi="Arial" w:cs="Arial"/>
          <w:color w:val="000000" w:themeColor="text1"/>
          <w:szCs w:val="24"/>
          <w:lang w:val="en-GB"/>
        </w:rPr>
        <w:t xml:space="preserve">different </w:t>
      </w:r>
      <w:r w:rsidR="00767F2F" w:rsidRPr="0028108F">
        <w:rPr>
          <w:rFonts w:ascii="Arial" w:hAnsi="Arial" w:cs="Arial"/>
          <w:color w:val="000000" w:themeColor="text1"/>
          <w:szCs w:val="24"/>
          <w:lang w:val="en-GB"/>
        </w:rPr>
        <w:t>perspectives</w:t>
      </w:r>
      <w:r w:rsidRPr="0028108F">
        <w:rPr>
          <w:rFonts w:ascii="Arial" w:hAnsi="Arial" w:cs="Arial"/>
          <w:color w:val="000000" w:themeColor="text1"/>
          <w:szCs w:val="24"/>
          <w:lang w:val="en-GB"/>
        </w:rPr>
        <w:t xml:space="preserve">, including, but not limited to, legal, medical, political and sociological considerations. </w:t>
      </w:r>
    </w:p>
    <w:p w:rsidR="00E773F6" w:rsidRPr="0028108F" w:rsidRDefault="00E773F6" w:rsidP="00E773F6">
      <w:pPr>
        <w:pStyle w:val="ListParagraph"/>
        <w:tabs>
          <w:tab w:val="left" w:pos="1418"/>
        </w:tabs>
        <w:adjustRightInd w:val="0"/>
        <w:snapToGrid w:val="0"/>
        <w:ind w:leftChars="0" w:left="0"/>
        <w:jc w:val="both"/>
        <w:rPr>
          <w:rFonts w:ascii="Arial" w:hAnsi="Arial" w:cs="Arial"/>
          <w:color w:val="000000" w:themeColor="text1"/>
          <w:szCs w:val="24"/>
          <w:lang w:val="en-GB"/>
        </w:rPr>
      </w:pPr>
    </w:p>
    <w:p w:rsidR="00E773F6" w:rsidRPr="0028108F" w:rsidRDefault="00E773F6" w:rsidP="001544FD">
      <w:pPr>
        <w:pStyle w:val="ListParagraph"/>
        <w:numPr>
          <w:ilvl w:val="0"/>
          <w:numId w:val="108"/>
        </w:numPr>
        <w:tabs>
          <w:tab w:val="left" w:pos="1418"/>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a matter of clarification, the possible arguments discussed in this </w:t>
      </w:r>
      <w:r w:rsidR="00767F2F"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Pr="0028108F">
        <w:rPr>
          <w:rFonts w:ascii="Arial" w:hAnsi="Arial" w:cs="Arial"/>
          <w:color w:val="000000" w:themeColor="text1"/>
          <w:szCs w:val="24"/>
          <w:lang w:val="en-GB"/>
        </w:rPr>
        <w:t xml:space="preserve"> are solely for the purposes of consultation and do not necessarily represent the IWG’s stance on any of the issues</w:t>
      </w:r>
      <w:r w:rsidR="00767F2F" w:rsidRPr="0028108F">
        <w:rPr>
          <w:rFonts w:ascii="Arial" w:hAnsi="Arial" w:cs="Arial"/>
          <w:color w:val="000000" w:themeColor="text1"/>
          <w:szCs w:val="24"/>
          <w:lang w:val="en-GB"/>
        </w:rPr>
        <w:t xml:space="preserve"> raised</w:t>
      </w:r>
      <w:r w:rsidRPr="0028108F">
        <w:rPr>
          <w:rFonts w:ascii="Arial" w:hAnsi="Arial" w:cs="Arial"/>
          <w:color w:val="000000" w:themeColor="text1"/>
          <w:szCs w:val="24"/>
          <w:lang w:val="en-GB"/>
        </w:rPr>
        <w:t xml:space="preserve">.  </w:t>
      </w:r>
      <w:r w:rsidRPr="00181CF2">
        <w:rPr>
          <w:rFonts w:ascii="Arial" w:hAnsi="Arial" w:cs="Arial"/>
          <w:color w:val="000000" w:themeColor="text1"/>
          <w:szCs w:val="24"/>
          <w:lang w:val="en-GB"/>
        </w:rPr>
        <w:t xml:space="preserve">No conclusion as to the IWG’s stance should therefore be drawn from the wording and mode of presentation of this </w:t>
      </w:r>
      <w:r w:rsidR="00767F2F"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00767F2F" w:rsidRPr="0028108F">
        <w:rPr>
          <w:rFonts w:ascii="Arial" w:hAnsi="Arial" w:cs="Arial"/>
          <w:color w:val="000000" w:themeColor="text1"/>
          <w:szCs w:val="24"/>
          <w:lang w:val="en-GB"/>
        </w:rPr>
        <w:t>, nor from the citing or referring to the comments</w:t>
      </w:r>
      <w:r w:rsidR="00A67419" w:rsidRPr="0028108F">
        <w:rPr>
          <w:rFonts w:ascii="Arial" w:hAnsi="Arial" w:cs="Arial"/>
          <w:color w:val="000000" w:themeColor="text1"/>
          <w:szCs w:val="24"/>
          <w:lang w:val="en-GB"/>
        </w:rPr>
        <w:t>, observations</w:t>
      </w:r>
      <w:r w:rsidR="00767F2F" w:rsidRPr="0028108F">
        <w:rPr>
          <w:rFonts w:ascii="Arial" w:hAnsi="Arial" w:cs="Arial"/>
          <w:color w:val="000000" w:themeColor="text1"/>
          <w:szCs w:val="24"/>
          <w:lang w:val="en-GB"/>
        </w:rPr>
        <w:t xml:space="preserve"> or arguments made by individuals or organisations </w:t>
      </w:r>
      <w:r w:rsidR="00A67419" w:rsidRPr="0028108F">
        <w:rPr>
          <w:rFonts w:ascii="Arial" w:hAnsi="Arial" w:cs="Arial"/>
          <w:color w:val="000000" w:themeColor="text1"/>
          <w:szCs w:val="24"/>
          <w:lang w:val="en-GB"/>
        </w:rPr>
        <w:t>mentioned in this chapter</w:t>
      </w:r>
      <w:r w:rsidRPr="0028108F">
        <w:rPr>
          <w:rFonts w:ascii="Arial" w:hAnsi="Arial" w:cs="Arial"/>
          <w:color w:val="000000" w:themeColor="text1"/>
          <w:szCs w:val="24"/>
          <w:lang w:val="en-GB"/>
        </w:rPr>
        <w:t xml:space="preserve">.  </w:t>
      </w:r>
      <w:r w:rsidR="007C05D9">
        <w:rPr>
          <w:rFonts w:ascii="Arial" w:hAnsi="Arial" w:cs="Arial" w:hint="eastAsia"/>
          <w:color w:val="000000" w:themeColor="text1"/>
          <w:szCs w:val="24"/>
          <w:lang w:val="en-GB"/>
        </w:rPr>
        <w:t xml:space="preserve">It should also be stressed that pending the result of the consultation, the IWG </w:t>
      </w:r>
      <w:r w:rsidR="00FE4E9E">
        <w:rPr>
          <w:rFonts w:ascii="Arial" w:hAnsi="Arial" w:cs="Arial" w:hint="eastAsia"/>
          <w:color w:val="000000" w:themeColor="text1"/>
          <w:szCs w:val="24"/>
          <w:lang w:val="en-GB"/>
        </w:rPr>
        <w:t xml:space="preserve">has not reached any conclusion on any of the issues.  </w:t>
      </w:r>
      <w:r w:rsidRPr="0028108F">
        <w:rPr>
          <w:rFonts w:ascii="Arial" w:hAnsi="Arial" w:cs="Arial"/>
          <w:color w:val="000000" w:themeColor="text1"/>
          <w:szCs w:val="24"/>
          <w:lang w:val="en-GB"/>
        </w:rPr>
        <w:t xml:space="preserve">Further, </w:t>
      </w:r>
      <w:r w:rsidR="00A67419" w:rsidRPr="0028108F">
        <w:rPr>
          <w:rFonts w:ascii="Arial" w:hAnsi="Arial" w:cs="Arial"/>
          <w:color w:val="000000" w:themeColor="text1"/>
          <w:szCs w:val="24"/>
          <w:lang w:val="en-GB"/>
        </w:rPr>
        <w:t xml:space="preserve">it should be borne in mind that </w:t>
      </w:r>
      <w:r w:rsidRPr="0028108F">
        <w:rPr>
          <w:rFonts w:ascii="Arial" w:hAnsi="Arial" w:cs="Arial"/>
          <w:color w:val="000000" w:themeColor="text1"/>
          <w:szCs w:val="24"/>
          <w:lang w:val="en-GB"/>
        </w:rPr>
        <w:t>the list of possible arguments discussed below is by no means exhaustive</w:t>
      </w:r>
      <w:r w:rsidR="007C05D9">
        <w:rPr>
          <w:rFonts w:ascii="Arial" w:hAnsi="Arial" w:cs="Arial" w:hint="eastAsia"/>
          <w:color w:val="000000" w:themeColor="text1"/>
          <w:szCs w:val="24"/>
          <w:lang w:val="en-GB"/>
        </w:rPr>
        <w:t>, and that the IWG is prepared to consider such other arguments as may be appropriate.</w:t>
      </w:r>
      <w:r w:rsidRPr="0028108F">
        <w:rPr>
          <w:rFonts w:ascii="Arial" w:hAnsi="Arial" w:cs="Arial"/>
          <w:color w:val="000000" w:themeColor="text1"/>
          <w:szCs w:val="24"/>
          <w:lang w:val="en-GB"/>
        </w:rPr>
        <w:t xml:space="preserve">  </w:t>
      </w:r>
    </w:p>
    <w:p w:rsidR="003675EF" w:rsidRPr="0028108F" w:rsidRDefault="003675EF" w:rsidP="00E773F6">
      <w:pPr>
        <w:adjustRightInd w:val="0"/>
        <w:snapToGrid w:val="0"/>
        <w:jc w:val="both"/>
        <w:rPr>
          <w:rFonts w:ascii="Arial" w:hAnsi="Arial" w:cs="Arial"/>
          <w:color w:val="FF0000"/>
          <w:szCs w:val="24"/>
          <w:lang w:val="en-GB"/>
        </w:rPr>
      </w:pPr>
    </w:p>
    <w:p w:rsidR="00E773F6" w:rsidRDefault="00E773F6" w:rsidP="00E773F6">
      <w:pPr>
        <w:adjustRightInd w:val="0"/>
        <w:snapToGrid w:val="0"/>
        <w:jc w:val="both"/>
        <w:rPr>
          <w:rFonts w:ascii="Arial" w:hAnsi="Arial" w:cs="Arial"/>
          <w:color w:val="0000FF"/>
          <w:szCs w:val="24"/>
          <w:lang w:val="en-GB"/>
        </w:rPr>
      </w:pPr>
    </w:p>
    <w:p w:rsidR="0095452E" w:rsidRDefault="0095452E" w:rsidP="00E773F6">
      <w:pPr>
        <w:adjustRightInd w:val="0"/>
        <w:snapToGrid w:val="0"/>
        <w:jc w:val="both"/>
        <w:rPr>
          <w:rFonts w:ascii="Arial" w:hAnsi="Arial" w:cs="Arial"/>
          <w:color w:val="0000FF"/>
          <w:szCs w:val="24"/>
          <w:lang w:val="en-GB"/>
        </w:rPr>
      </w:pPr>
    </w:p>
    <w:p w:rsidR="0095452E" w:rsidRDefault="0095452E" w:rsidP="00E773F6">
      <w:pPr>
        <w:adjustRightInd w:val="0"/>
        <w:snapToGrid w:val="0"/>
        <w:jc w:val="both"/>
        <w:rPr>
          <w:rFonts w:ascii="Arial" w:hAnsi="Arial" w:cs="Arial"/>
          <w:color w:val="0000FF"/>
          <w:szCs w:val="24"/>
          <w:lang w:val="en-GB"/>
        </w:rPr>
      </w:pPr>
    </w:p>
    <w:p w:rsidR="0095452E" w:rsidRDefault="0095452E" w:rsidP="00E773F6">
      <w:pPr>
        <w:adjustRightInd w:val="0"/>
        <w:snapToGrid w:val="0"/>
        <w:jc w:val="both"/>
        <w:rPr>
          <w:rFonts w:ascii="Arial" w:hAnsi="Arial" w:cs="Arial"/>
          <w:color w:val="0000FF"/>
          <w:szCs w:val="24"/>
          <w:lang w:val="en-GB"/>
        </w:rPr>
      </w:pPr>
    </w:p>
    <w:p w:rsidR="0095452E" w:rsidRPr="0028108F" w:rsidRDefault="0095452E" w:rsidP="00E773F6">
      <w:pPr>
        <w:adjustRightInd w:val="0"/>
        <w:snapToGrid w:val="0"/>
        <w:jc w:val="both"/>
        <w:rPr>
          <w:rFonts w:ascii="Arial" w:hAnsi="Arial" w:cs="Arial"/>
          <w:color w:val="0000FF"/>
          <w:szCs w:val="24"/>
          <w:lang w:val="en-GB"/>
        </w:rPr>
      </w:pPr>
    </w:p>
    <w:p w:rsidR="00E773F6" w:rsidRPr="0028108F" w:rsidRDefault="0006282B"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 xml:space="preserve">Arguments in support </w:t>
      </w:r>
      <w:r w:rsidR="00E773F6" w:rsidRPr="0028108F">
        <w:rPr>
          <w:rFonts w:ascii="Arial" w:hAnsi="Arial" w:cs="Arial"/>
          <w:b/>
          <w:color w:val="000000" w:themeColor="text1"/>
          <w:sz w:val="28"/>
          <w:szCs w:val="28"/>
          <w:lang w:val="en-GB"/>
        </w:rPr>
        <w:t>of having a gender recognition scheme</w:t>
      </w:r>
    </w:p>
    <w:p w:rsidR="00E773F6" w:rsidRPr="0028108F" w:rsidRDefault="00E773F6" w:rsidP="00E773F6">
      <w:pPr>
        <w:adjustRightInd w:val="0"/>
        <w:snapToGrid w:val="0"/>
        <w:jc w:val="both"/>
        <w:rPr>
          <w:rFonts w:ascii="Arial" w:hAnsi="Arial" w:cs="Arial"/>
          <w:color w:val="0000FF"/>
          <w:szCs w:val="24"/>
          <w:lang w:val="en-GB"/>
        </w:rPr>
      </w:pPr>
    </w:p>
    <w:p w:rsidR="00E773F6" w:rsidRPr="0028108F" w:rsidRDefault="00E773F6"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 xml:space="preserve">Argument (1): Recognition of the innate gender </w:t>
      </w:r>
      <w:r w:rsidR="00A42A11" w:rsidRPr="0028108F">
        <w:rPr>
          <w:rFonts w:ascii="Arial" w:hAnsi="Arial" w:cs="Arial"/>
          <w:b/>
          <w:i/>
          <w:color w:val="000000" w:themeColor="text1"/>
          <w:szCs w:val="24"/>
          <w:lang w:val="en-GB"/>
        </w:rPr>
        <w:t>identity</w:t>
      </w:r>
      <w:r w:rsidRPr="0028108F">
        <w:rPr>
          <w:rFonts w:ascii="Arial" w:hAnsi="Arial" w:cs="Arial"/>
          <w:b/>
          <w:i/>
          <w:color w:val="000000" w:themeColor="text1"/>
          <w:szCs w:val="24"/>
          <w:lang w:val="en-GB"/>
        </w:rPr>
        <w:t xml:space="preserve">, instead of the biological sex, of </w:t>
      </w:r>
      <w:r w:rsidR="00A42A11" w:rsidRPr="0028108F">
        <w:rPr>
          <w:rFonts w:ascii="Arial" w:hAnsi="Arial" w:cs="Arial"/>
          <w:b/>
          <w:i/>
          <w:color w:val="000000" w:themeColor="text1"/>
          <w:szCs w:val="24"/>
          <w:lang w:val="en-GB"/>
        </w:rPr>
        <w:t xml:space="preserve">a </w:t>
      </w:r>
      <w:r w:rsidRPr="0028108F">
        <w:rPr>
          <w:rFonts w:ascii="Arial" w:hAnsi="Arial" w:cs="Arial"/>
          <w:b/>
          <w:i/>
          <w:color w:val="000000" w:themeColor="text1"/>
          <w:szCs w:val="24"/>
          <w:lang w:val="en-GB"/>
        </w:rPr>
        <w:t>transgender person</w:t>
      </w:r>
    </w:p>
    <w:p w:rsidR="00E773F6" w:rsidRPr="0028108F" w:rsidRDefault="00E773F6" w:rsidP="00E773F6">
      <w:pPr>
        <w:adjustRightInd w:val="0"/>
        <w:snapToGrid w:val="0"/>
        <w:jc w:val="both"/>
        <w:rPr>
          <w:rFonts w:ascii="Arial" w:hAnsi="Arial" w:cs="Arial"/>
          <w:color w:val="0000FF"/>
          <w:szCs w:val="24"/>
          <w:lang w:val="en-GB"/>
        </w:rPr>
      </w:pPr>
    </w:p>
    <w:p w:rsidR="00E773F6" w:rsidRPr="00181CF2" w:rsidRDefault="007F4B03" w:rsidP="001544FD">
      <w:pPr>
        <w:pStyle w:val="ListParagraph"/>
        <w:numPr>
          <w:ilvl w:val="0"/>
          <w:numId w:val="108"/>
        </w:numPr>
        <w:tabs>
          <w:tab w:val="left" w:pos="1418"/>
        </w:tabs>
        <w:adjustRightInd w:val="0"/>
        <w:snapToGrid w:val="0"/>
        <w:ind w:leftChars="0" w:left="0" w:firstLine="0"/>
        <w:jc w:val="both"/>
        <w:rPr>
          <w:rFonts w:ascii="Arial" w:hAnsi="Arial" w:cs="Arial"/>
          <w:color w:val="0000FF"/>
          <w:szCs w:val="24"/>
          <w:lang w:val="en-GB"/>
        </w:rPr>
      </w:pPr>
      <w:r>
        <w:rPr>
          <w:rFonts w:ascii="Arial" w:hAnsi="Arial" w:cs="Arial" w:hint="eastAsia"/>
          <w:color w:val="000000" w:themeColor="text1"/>
          <w:szCs w:val="24"/>
          <w:lang w:val="en-GB"/>
        </w:rPr>
        <w:t>It has been argued that p</w:t>
      </w:r>
      <w:r w:rsidR="00E773F6" w:rsidRPr="0028108F">
        <w:rPr>
          <w:rFonts w:ascii="Arial" w:hAnsi="Arial" w:cs="Arial"/>
          <w:color w:val="000000" w:themeColor="text1"/>
          <w:szCs w:val="24"/>
          <w:lang w:val="en-GB"/>
        </w:rPr>
        <w:t>eople may not experience and perceive their gender identities according to one standardised pattern.</w:t>
      </w:r>
      <w:r w:rsidR="00E773F6" w:rsidRPr="00181CF2">
        <w:rPr>
          <w:rStyle w:val="FootnoteReference"/>
          <w:rFonts w:ascii="Arial" w:hAnsi="Arial" w:cs="Arial"/>
          <w:color w:val="000000" w:themeColor="text1"/>
          <w:szCs w:val="24"/>
          <w:lang w:val="en-GB"/>
        </w:rPr>
        <w:footnoteReference w:id="395"/>
      </w:r>
      <w:r w:rsidR="00E773F6" w:rsidRPr="00181CF2">
        <w:rPr>
          <w:rFonts w:ascii="Arial" w:hAnsi="Arial" w:cs="Arial"/>
          <w:color w:val="000000" w:themeColor="text1"/>
          <w:szCs w:val="24"/>
          <w:lang w:val="en-GB"/>
        </w:rPr>
        <w:t xml:space="preserve">  An argument for having a gender recognition scheme is that a person’s innate sense of gender identity may differ from the person’s sex assigned at birth,</w:t>
      </w:r>
      <w:r w:rsidR="00E773F6" w:rsidRPr="00181CF2">
        <w:rPr>
          <w:rStyle w:val="FootnoteReference"/>
          <w:rFonts w:ascii="Arial" w:hAnsi="Arial" w:cs="Arial"/>
          <w:color w:val="000000" w:themeColor="text1"/>
          <w:szCs w:val="24"/>
          <w:lang w:val="en-GB"/>
        </w:rPr>
        <w:footnoteReference w:id="396"/>
      </w:r>
      <w:r w:rsidR="00E773F6" w:rsidRPr="00181CF2">
        <w:rPr>
          <w:rFonts w:ascii="Arial" w:hAnsi="Arial" w:cs="Arial"/>
          <w:color w:val="000000" w:themeColor="text1"/>
          <w:szCs w:val="24"/>
          <w:lang w:val="en-GB"/>
        </w:rPr>
        <w:t xml:space="preserve"> and </w:t>
      </w:r>
      <w:r w:rsidR="00A42A11" w:rsidRPr="00181CF2">
        <w:rPr>
          <w:rFonts w:ascii="Arial" w:hAnsi="Arial" w:cs="Arial"/>
          <w:color w:val="000000" w:themeColor="text1"/>
          <w:szCs w:val="24"/>
          <w:lang w:val="en-GB"/>
        </w:rPr>
        <w:t>accordingly</w:t>
      </w:r>
      <w:r w:rsidR="006F7B05" w:rsidRPr="00181CF2">
        <w:rPr>
          <w:rFonts w:ascii="Arial" w:hAnsi="Arial" w:cs="Arial"/>
          <w:color w:val="000000" w:themeColor="text1"/>
          <w:szCs w:val="24"/>
          <w:lang w:val="en-GB"/>
        </w:rPr>
        <w:t>,</w:t>
      </w:r>
      <w:r w:rsidR="00A42A11" w:rsidRPr="00C57CE1">
        <w:rPr>
          <w:rFonts w:ascii="Arial" w:hAnsi="Arial" w:cs="Arial"/>
          <w:color w:val="000000" w:themeColor="text1"/>
          <w:szCs w:val="24"/>
          <w:lang w:val="en-GB"/>
        </w:rPr>
        <w:t xml:space="preserve"> </w:t>
      </w:r>
      <w:r w:rsidR="00E773F6" w:rsidRPr="0028108F">
        <w:rPr>
          <w:rFonts w:ascii="Arial" w:hAnsi="Arial" w:cs="Arial"/>
          <w:color w:val="000000" w:themeColor="text1"/>
          <w:szCs w:val="24"/>
          <w:lang w:val="en-GB"/>
        </w:rPr>
        <w:t>a person’s inborn gender identity</w:t>
      </w:r>
      <w:r w:rsidR="00A42A11" w:rsidRPr="00181CF2">
        <w:rPr>
          <w:rFonts w:ascii="Arial" w:hAnsi="Arial" w:cs="Arial"/>
          <w:color w:val="000000" w:themeColor="text1"/>
          <w:szCs w:val="24"/>
          <w:lang w:val="en-GB"/>
        </w:rPr>
        <w:t>, instead of his or her biological sex,</w:t>
      </w:r>
      <w:r w:rsidR="00E773F6" w:rsidRPr="00181CF2">
        <w:rPr>
          <w:rFonts w:ascii="Arial" w:hAnsi="Arial" w:cs="Arial"/>
          <w:color w:val="000000" w:themeColor="text1"/>
          <w:szCs w:val="24"/>
          <w:lang w:val="en-GB"/>
        </w:rPr>
        <w:t xml:space="preserve"> should be recognised.  This is generally referred to as </w:t>
      </w:r>
      <w:r w:rsidR="00940215" w:rsidRPr="00181CF2">
        <w:rPr>
          <w:rFonts w:ascii="Arial" w:hAnsi="Arial" w:cs="Arial"/>
          <w:color w:val="000000" w:themeColor="text1"/>
          <w:szCs w:val="24"/>
          <w:lang w:val="en-GB"/>
        </w:rPr>
        <w:t xml:space="preserve">the </w:t>
      </w:r>
      <w:r w:rsidR="00E773F6" w:rsidRPr="00181CF2">
        <w:rPr>
          <w:rFonts w:ascii="Arial" w:hAnsi="Arial" w:cs="Arial"/>
          <w:color w:val="000000" w:themeColor="text1"/>
          <w:szCs w:val="24"/>
          <w:lang w:val="en-GB"/>
        </w:rPr>
        <w:t xml:space="preserve">“brain-sex theories” </w:t>
      </w:r>
      <w:r w:rsidR="00940215" w:rsidRPr="00181CF2">
        <w:rPr>
          <w:rFonts w:ascii="Arial" w:hAnsi="Arial" w:cs="Arial"/>
          <w:color w:val="000000" w:themeColor="text1"/>
          <w:szCs w:val="24"/>
          <w:lang w:val="en-GB"/>
        </w:rPr>
        <w:t xml:space="preserve">which </w:t>
      </w:r>
      <w:r w:rsidR="00E773F6" w:rsidRPr="00181CF2">
        <w:rPr>
          <w:rFonts w:ascii="Arial" w:hAnsi="Arial" w:cs="Arial"/>
          <w:color w:val="000000" w:themeColor="text1"/>
          <w:szCs w:val="24"/>
          <w:lang w:val="en-GB"/>
        </w:rPr>
        <w:t>argue</w:t>
      </w:r>
      <w:r w:rsidR="00940215" w:rsidRPr="00181CF2">
        <w:rPr>
          <w:rFonts w:ascii="Arial" w:hAnsi="Arial" w:cs="Arial"/>
          <w:color w:val="000000" w:themeColor="text1"/>
          <w:szCs w:val="24"/>
          <w:lang w:val="en-GB"/>
        </w:rPr>
        <w:t>, amongst other things,</w:t>
      </w:r>
      <w:r w:rsidR="00E773F6" w:rsidRPr="00C57CE1">
        <w:rPr>
          <w:rFonts w:ascii="Arial" w:hAnsi="Arial" w:cs="Arial"/>
          <w:color w:val="000000" w:themeColor="text1"/>
          <w:szCs w:val="24"/>
          <w:lang w:val="en-GB"/>
        </w:rPr>
        <w:t xml:space="preserve"> that there is a possible bio</w:t>
      </w:r>
      <w:r w:rsidR="00E773F6" w:rsidRPr="0028108F">
        <w:rPr>
          <w:rFonts w:ascii="Arial" w:hAnsi="Arial" w:cs="Arial"/>
          <w:color w:val="000000" w:themeColor="text1"/>
          <w:szCs w:val="24"/>
          <w:lang w:val="en-GB"/>
        </w:rPr>
        <w:t>logical basis underlying transgenderism or transsexuality.</w:t>
      </w:r>
      <w:r w:rsidR="00940215" w:rsidRPr="00181CF2">
        <w:rPr>
          <w:rStyle w:val="FootnoteReference"/>
          <w:rFonts w:ascii="Arial" w:hAnsi="Arial" w:cs="Arial"/>
          <w:color w:val="000000" w:themeColor="text1"/>
          <w:szCs w:val="24"/>
          <w:lang w:val="en-GB"/>
        </w:rPr>
        <w:footnoteReference w:id="397"/>
      </w:r>
      <w:r w:rsidR="00E773F6" w:rsidRPr="00181CF2">
        <w:rPr>
          <w:rFonts w:ascii="Arial" w:hAnsi="Arial" w:cs="Arial"/>
          <w:color w:val="0000FF"/>
          <w:szCs w:val="24"/>
          <w:lang w:val="en-GB"/>
        </w:rPr>
        <w:t xml:space="preserve"> </w:t>
      </w:r>
    </w:p>
    <w:p w:rsidR="00E773F6" w:rsidRPr="00C57CE1" w:rsidRDefault="00E773F6" w:rsidP="00E773F6">
      <w:pPr>
        <w:pStyle w:val="ListParagraph"/>
        <w:tabs>
          <w:tab w:val="left" w:pos="1418"/>
        </w:tabs>
        <w:adjustRightInd w:val="0"/>
        <w:snapToGrid w:val="0"/>
        <w:ind w:leftChars="0" w:left="0"/>
        <w:jc w:val="both"/>
        <w:rPr>
          <w:rFonts w:ascii="Arial" w:hAnsi="Arial" w:cs="Arial"/>
          <w:color w:val="0000FF"/>
          <w:szCs w:val="24"/>
          <w:lang w:val="en-GB"/>
        </w:rPr>
      </w:pPr>
    </w:p>
    <w:p w:rsidR="00E773F6" w:rsidRPr="00C57CE1" w:rsidRDefault="00E773F6" w:rsidP="001544FD">
      <w:pPr>
        <w:pStyle w:val="ListParagraph"/>
        <w:numPr>
          <w:ilvl w:val="0"/>
          <w:numId w:val="108"/>
        </w:numPr>
        <w:tabs>
          <w:tab w:val="left" w:pos="1418"/>
        </w:tabs>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 xml:space="preserve">Moreover, it has been argued that the principal unchanging biological aspect of gender identity, </w:t>
      </w:r>
      <w:r w:rsidR="00D6311F" w:rsidRPr="0028108F">
        <w:rPr>
          <w:rFonts w:ascii="Arial" w:hAnsi="Arial" w:cs="Arial"/>
          <w:szCs w:val="24"/>
          <w:lang w:val="en-GB"/>
        </w:rPr>
        <w:t>ie</w:t>
      </w:r>
      <w:r w:rsidR="006B78C8">
        <w:rPr>
          <w:rFonts w:ascii="Arial" w:hAnsi="Arial" w:cs="Arial" w:hint="eastAsia"/>
          <w:szCs w:val="24"/>
          <w:lang w:val="en-GB"/>
        </w:rPr>
        <w:t>,</w:t>
      </w:r>
      <w:r w:rsidRPr="0028108F">
        <w:rPr>
          <w:rFonts w:ascii="Arial" w:hAnsi="Arial" w:cs="Arial"/>
          <w:szCs w:val="24"/>
          <w:lang w:val="en-GB"/>
        </w:rPr>
        <w:t xml:space="preserve"> the chromosomal element, should not be decisive for the purposes of legal attribution of a person’s gender identity.  </w:t>
      </w:r>
      <w:r w:rsidR="00105061" w:rsidRPr="00181CF2">
        <w:rPr>
          <w:rFonts w:ascii="Arial" w:hAnsi="Arial" w:cs="Arial"/>
          <w:szCs w:val="24"/>
          <w:lang w:val="en-GB"/>
        </w:rPr>
        <w:t xml:space="preserve">The </w:t>
      </w:r>
      <w:r w:rsidR="00451AB0" w:rsidRPr="00C57CE1">
        <w:rPr>
          <w:rFonts w:ascii="Arial" w:hAnsi="Arial" w:cs="Arial"/>
          <w:szCs w:val="24"/>
          <w:lang w:val="en-GB"/>
        </w:rPr>
        <w:t>ECtHR</w:t>
      </w:r>
      <w:r w:rsidR="00105061" w:rsidRPr="0028108F">
        <w:rPr>
          <w:rFonts w:ascii="Arial" w:hAnsi="Arial" w:cs="Arial"/>
          <w:szCs w:val="24"/>
          <w:lang w:val="en-GB"/>
        </w:rPr>
        <w:t xml:space="preserve"> </w:t>
      </w:r>
      <w:r w:rsidR="006F7B05" w:rsidRPr="00181CF2">
        <w:rPr>
          <w:rFonts w:ascii="Arial" w:hAnsi="Arial" w:cs="Arial"/>
          <w:szCs w:val="24"/>
          <w:lang w:val="en-GB"/>
        </w:rPr>
        <w:t xml:space="preserve">held </w:t>
      </w:r>
      <w:r w:rsidR="00105061" w:rsidRPr="00181CF2">
        <w:rPr>
          <w:rFonts w:ascii="Arial" w:hAnsi="Arial" w:cs="Arial"/>
          <w:szCs w:val="24"/>
          <w:lang w:val="en-GB"/>
        </w:rPr>
        <w:t xml:space="preserve">in the case of </w:t>
      </w:r>
      <w:r w:rsidR="00451AB0" w:rsidRPr="00C57CE1">
        <w:rPr>
          <w:rFonts w:ascii="Arial" w:hAnsi="Arial" w:cs="Arial"/>
          <w:i/>
          <w:szCs w:val="24"/>
          <w:lang w:val="en-GB"/>
        </w:rPr>
        <w:t>Goodwin</w:t>
      </w:r>
      <w:r w:rsidR="00451AB0" w:rsidRPr="00181CF2">
        <w:rPr>
          <w:rStyle w:val="FootnoteReference"/>
          <w:rFonts w:ascii="Arial" w:hAnsi="Arial" w:cs="Arial"/>
          <w:color w:val="000000" w:themeColor="text1"/>
          <w:szCs w:val="24"/>
          <w:lang w:val="en-GB"/>
        </w:rPr>
        <w:footnoteReference w:id="398"/>
      </w:r>
      <w:r w:rsidR="00451AB0" w:rsidRPr="00181CF2">
        <w:rPr>
          <w:rFonts w:ascii="Arial" w:hAnsi="Arial" w:cs="Arial"/>
          <w:szCs w:val="24"/>
          <w:lang w:val="en-GB"/>
        </w:rPr>
        <w:t xml:space="preserve"> </w:t>
      </w:r>
      <w:r w:rsidR="00451AB0" w:rsidRPr="0028108F">
        <w:rPr>
          <w:rFonts w:ascii="Arial" w:hAnsi="Arial" w:cs="Arial"/>
          <w:szCs w:val="24"/>
          <w:lang w:val="en-GB"/>
        </w:rPr>
        <w:t>that</w:t>
      </w:r>
      <w:r w:rsidR="00940215" w:rsidRPr="0028108F">
        <w:rPr>
          <w:rFonts w:ascii="Arial" w:hAnsi="Arial" w:cs="Arial"/>
          <w:szCs w:val="24"/>
          <w:lang w:val="en-GB"/>
        </w:rPr>
        <w:t xml:space="preserve"> a</w:t>
      </w:r>
      <w:r w:rsidRPr="00C57CE1">
        <w:rPr>
          <w:rFonts w:ascii="Arial" w:hAnsi="Arial" w:cs="Arial"/>
          <w:szCs w:val="24"/>
          <w:lang w:val="en-GB"/>
        </w:rPr>
        <w:t xml:space="preserve"> test of congruent biological factors </w:t>
      </w:r>
      <w:r w:rsidR="00940215" w:rsidRPr="00181CF2">
        <w:rPr>
          <w:rFonts w:ascii="Arial" w:hAnsi="Arial" w:cs="Arial"/>
          <w:szCs w:val="24"/>
          <w:lang w:val="en-GB"/>
        </w:rPr>
        <w:t xml:space="preserve">might </w:t>
      </w:r>
      <w:r w:rsidRPr="00C57CE1">
        <w:rPr>
          <w:rFonts w:ascii="Arial" w:hAnsi="Arial" w:cs="Arial"/>
          <w:szCs w:val="24"/>
          <w:lang w:val="en-GB"/>
        </w:rPr>
        <w:t xml:space="preserve">no longer be decisive in denying legal recognition to the change of gender of a post-operative transsexual person.  </w:t>
      </w:r>
      <w:r w:rsidR="006F7B05" w:rsidRPr="0028108F">
        <w:rPr>
          <w:rFonts w:ascii="Arial" w:hAnsi="Arial" w:cs="Arial"/>
          <w:szCs w:val="24"/>
          <w:lang w:val="en-GB"/>
        </w:rPr>
        <w:t>The Court stated that t</w:t>
      </w:r>
      <w:r w:rsidRPr="0028108F">
        <w:rPr>
          <w:rFonts w:ascii="Arial" w:hAnsi="Arial" w:cs="Arial"/>
          <w:szCs w:val="24"/>
          <w:lang w:val="en-GB"/>
        </w:rPr>
        <w:t>here are other important factors to consider</w:t>
      </w:r>
      <w:r w:rsidR="006F7B05" w:rsidRPr="0028108F">
        <w:rPr>
          <w:rFonts w:ascii="Arial" w:hAnsi="Arial" w:cs="Arial"/>
          <w:szCs w:val="24"/>
          <w:lang w:val="en-GB"/>
        </w:rPr>
        <w:t>;</w:t>
      </w:r>
      <w:r w:rsidRPr="0028108F">
        <w:rPr>
          <w:rFonts w:ascii="Arial" w:hAnsi="Arial" w:cs="Arial"/>
          <w:szCs w:val="24"/>
          <w:lang w:val="en-GB"/>
        </w:rPr>
        <w:t xml:space="preserve"> for example, the acceptance of the condition of gender identity disorder or gender dysphoria by the medical professions and health authorities, the provision of treatment including surgery to assimilate the individual as closely as possible to the gender in which they perceive that they properly belong</w:t>
      </w:r>
      <w:r w:rsidR="006F7B05" w:rsidRPr="0028108F">
        <w:rPr>
          <w:rFonts w:ascii="Arial" w:hAnsi="Arial" w:cs="Arial"/>
          <w:szCs w:val="24"/>
          <w:lang w:val="en-GB"/>
        </w:rPr>
        <w:t>,</w:t>
      </w:r>
      <w:r w:rsidRPr="0028108F">
        <w:rPr>
          <w:rFonts w:ascii="Arial" w:hAnsi="Arial" w:cs="Arial"/>
          <w:szCs w:val="24"/>
          <w:lang w:val="en-GB"/>
        </w:rPr>
        <w:t xml:space="preserve"> and the assumption by the individual of the social role of the preferred gender.</w:t>
      </w:r>
      <w:r w:rsidRPr="00181CF2">
        <w:rPr>
          <w:rStyle w:val="FootnoteReference"/>
          <w:rFonts w:ascii="Arial" w:hAnsi="Arial" w:cs="Arial"/>
          <w:color w:val="000000" w:themeColor="text1"/>
          <w:szCs w:val="24"/>
          <w:lang w:val="en-GB"/>
        </w:rPr>
        <w:footnoteReference w:id="399"/>
      </w:r>
      <w:r w:rsidRPr="00181CF2">
        <w:rPr>
          <w:rFonts w:ascii="Arial" w:hAnsi="Arial" w:cs="Arial"/>
          <w:szCs w:val="24"/>
          <w:lang w:val="en-GB"/>
        </w:rPr>
        <w:t xml:space="preserve">     </w:t>
      </w:r>
    </w:p>
    <w:p w:rsidR="00E773F6" w:rsidRPr="0028108F" w:rsidRDefault="00E773F6" w:rsidP="0028108F">
      <w:pPr>
        <w:pStyle w:val="ListParagraph"/>
        <w:tabs>
          <w:tab w:val="left" w:pos="1418"/>
        </w:tabs>
        <w:adjustRightInd w:val="0"/>
        <w:snapToGrid w:val="0"/>
        <w:ind w:leftChars="0" w:left="0"/>
        <w:jc w:val="both"/>
        <w:rPr>
          <w:rFonts w:ascii="Arial" w:hAnsi="Arial" w:cs="Arial"/>
          <w:color w:val="0000FF"/>
          <w:szCs w:val="24"/>
          <w:lang w:val="en-GB"/>
        </w:rPr>
      </w:pPr>
    </w:p>
    <w:p w:rsidR="00E773F6" w:rsidRPr="00181CF2" w:rsidRDefault="00E773F6" w:rsidP="001544FD">
      <w:pPr>
        <w:pStyle w:val="ListParagraph"/>
        <w:numPr>
          <w:ilvl w:val="0"/>
          <w:numId w:val="108"/>
        </w:numPr>
        <w:tabs>
          <w:tab w:val="left" w:pos="1418"/>
        </w:tabs>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It was</w:t>
      </w:r>
      <w:r w:rsidR="005E6528">
        <w:rPr>
          <w:rFonts w:ascii="Arial" w:hAnsi="Arial" w:cs="Arial" w:hint="eastAsia"/>
          <w:szCs w:val="24"/>
          <w:lang w:val="en-GB"/>
        </w:rPr>
        <w:t xml:space="preserve"> observed</w:t>
      </w:r>
      <w:r w:rsidR="006F7B05" w:rsidRPr="0028108F">
        <w:rPr>
          <w:rFonts w:ascii="Arial" w:hAnsi="Arial" w:cs="Arial"/>
          <w:szCs w:val="24"/>
          <w:lang w:val="en-GB"/>
        </w:rPr>
        <w:t xml:space="preserve"> </w:t>
      </w:r>
      <w:r w:rsidRPr="0028108F">
        <w:rPr>
          <w:rFonts w:ascii="Arial" w:hAnsi="Arial" w:cs="Arial"/>
          <w:szCs w:val="24"/>
          <w:lang w:val="en-GB"/>
        </w:rPr>
        <w:t xml:space="preserve">by Lockhart J, sitting in the Australian Federal Court, General Division, NSW District Registry, in </w:t>
      </w:r>
      <w:r w:rsidRPr="0028108F">
        <w:rPr>
          <w:rFonts w:ascii="Arial" w:hAnsi="Arial" w:cs="Arial"/>
          <w:i/>
          <w:szCs w:val="24"/>
          <w:lang w:val="en-GB"/>
        </w:rPr>
        <w:t>Secretary, Dept of Social Security v ‘SRA’</w:t>
      </w:r>
      <w:r w:rsidR="00C9791A" w:rsidRPr="0028108F">
        <w:rPr>
          <w:rFonts w:ascii="Arial" w:hAnsi="Arial" w:cs="Arial"/>
          <w:i/>
          <w:szCs w:val="24"/>
          <w:lang w:val="en-GB"/>
        </w:rPr>
        <w:t xml:space="preserve"> </w:t>
      </w:r>
      <w:r w:rsidR="006F7B05" w:rsidRPr="0028108F">
        <w:rPr>
          <w:rFonts w:ascii="Arial" w:hAnsi="Arial" w:cs="Arial"/>
          <w:szCs w:val="24"/>
          <w:lang w:val="en-GB"/>
        </w:rPr>
        <w:t>that</w:t>
      </w:r>
      <w:r w:rsidRPr="0028108F">
        <w:rPr>
          <w:rFonts w:ascii="Arial" w:hAnsi="Arial" w:cs="Arial"/>
          <w:szCs w:val="24"/>
          <w:lang w:val="en-GB"/>
        </w:rPr>
        <w:t>:</w:t>
      </w:r>
      <w:r w:rsidRPr="00181CF2">
        <w:rPr>
          <w:rStyle w:val="FootnoteReference"/>
          <w:rFonts w:ascii="Arial" w:hAnsi="Arial" w:cs="Arial"/>
          <w:color w:val="000000" w:themeColor="text1"/>
          <w:szCs w:val="24"/>
          <w:lang w:val="en-GB"/>
        </w:rPr>
        <w:footnoteReference w:id="400"/>
      </w:r>
    </w:p>
    <w:p w:rsidR="00E773F6" w:rsidRPr="00C57CE1" w:rsidRDefault="00E773F6" w:rsidP="00E773F6">
      <w:pPr>
        <w:pStyle w:val="ListParagraph"/>
        <w:rPr>
          <w:rFonts w:ascii="Arial" w:hAnsi="Arial" w:cs="Arial"/>
          <w:color w:val="0000FF"/>
          <w:szCs w:val="24"/>
          <w:lang w:val="en-GB"/>
        </w:rPr>
      </w:pPr>
    </w:p>
    <w:p w:rsidR="00E773F6" w:rsidRPr="0028108F" w:rsidRDefault="00E773F6" w:rsidP="001544FD">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Sex is not merely a matter of chromosomes, although chromosomes are a very relevant consideration. Sex is also partly a psychological question (a question of self perception) and partly a social question (how society perceives the individual).</w:t>
      </w:r>
      <w:r w:rsidRPr="0028108F">
        <w:rPr>
          <w:rFonts w:ascii="Arial" w:hAnsi="Arial" w:cs="Arial"/>
          <w:szCs w:val="24"/>
          <w:lang w:val="en-GB"/>
        </w:rPr>
        <w:t>”</w:t>
      </w:r>
    </w:p>
    <w:p w:rsidR="00E773F6" w:rsidRPr="00181CF2" w:rsidRDefault="00E773F6" w:rsidP="001544FD">
      <w:pPr>
        <w:pStyle w:val="ListParagraph"/>
        <w:numPr>
          <w:ilvl w:val="0"/>
          <w:numId w:val="108"/>
        </w:numPr>
        <w:tabs>
          <w:tab w:val="left" w:pos="1418"/>
        </w:tabs>
        <w:adjustRightInd w:val="0"/>
        <w:snapToGrid w:val="0"/>
        <w:ind w:leftChars="0" w:left="0" w:firstLine="0"/>
        <w:jc w:val="both"/>
        <w:rPr>
          <w:rFonts w:ascii="Arial" w:hAnsi="Arial" w:cs="Arial"/>
          <w:color w:val="0D0D0D" w:themeColor="text1" w:themeTint="F2"/>
          <w:szCs w:val="24"/>
          <w:lang w:val="en-GB"/>
        </w:rPr>
      </w:pPr>
      <w:r w:rsidRPr="0028108F">
        <w:rPr>
          <w:rFonts w:ascii="Arial" w:hAnsi="Arial" w:cs="Arial"/>
          <w:color w:val="0D0D0D" w:themeColor="text1" w:themeTint="F2"/>
          <w:szCs w:val="24"/>
          <w:lang w:val="en-GB"/>
        </w:rPr>
        <w:t xml:space="preserve">The </w:t>
      </w:r>
      <w:r w:rsidR="00642C56" w:rsidRPr="0028108F">
        <w:rPr>
          <w:rFonts w:ascii="Arial" w:hAnsi="Arial" w:cs="Arial"/>
          <w:color w:val="0D0D0D" w:themeColor="text1" w:themeTint="F2"/>
          <w:szCs w:val="24"/>
          <w:lang w:val="en-GB"/>
        </w:rPr>
        <w:t xml:space="preserve">argument that </w:t>
      </w:r>
      <w:r w:rsidRPr="0028108F">
        <w:rPr>
          <w:rFonts w:ascii="Arial" w:hAnsi="Arial" w:cs="Arial"/>
          <w:color w:val="0D0D0D" w:themeColor="text1" w:themeTint="F2"/>
          <w:szCs w:val="24"/>
          <w:lang w:val="en-GB"/>
        </w:rPr>
        <w:t xml:space="preserve">one’s gender identity </w:t>
      </w:r>
      <w:r w:rsidR="00642C56" w:rsidRPr="0028108F">
        <w:rPr>
          <w:rFonts w:ascii="Arial" w:hAnsi="Arial" w:cs="Arial"/>
          <w:color w:val="0D0D0D" w:themeColor="text1" w:themeTint="F2"/>
          <w:szCs w:val="24"/>
          <w:lang w:val="en-GB"/>
        </w:rPr>
        <w:t xml:space="preserve">is immutable </w:t>
      </w:r>
      <w:r w:rsidRPr="00181CF2">
        <w:rPr>
          <w:rFonts w:ascii="Arial" w:hAnsi="Arial" w:cs="Arial"/>
          <w:color w:val="0D0D0D" w:themeColor="text1" w:themeTint="F2"/>
          <w:szCs w:val="24"/>
          <w:lang w:val="en-GB"/>
        </w:rPr>
        <w:t xml:space="preserve">was </w:t>
      </w:r>
      <w:r w:rsidR="00453260" w:rsidRPr="0028108F">
        <w:rPr>
          <w:rFonts w:ascii="Arial" w:hAnsi="Arial" w:cs="Arial"/>
          <w:color w:val="0D0D0D" w:themeColor="text1" w:themeTint="F2"/>
          <w:szCs w:val="24"/>
          <w:lang w:val="en-GB"/>
        </w:rPr>
        <w:t xml:space="preserve">canvassed </w:t>
      </w:r>
      <w:r w:rsidRPr="0028108F">
        <w:rPr>
          <w:rFonts w:ascii="Arial" w:hAnsi="Arial" w:cs="Arial"/>
          <w:color w:val="0D0D0D" w:themeColor="text1" w:themeTint="F2"/>
          <w:szCs w:val="24"/>
          <w:lang w:val="en-GB"/>
        </w:rPr>
        <w:t>in the report of the Interdepartmental Working Group on Transsexual People set up by the Home Office in the UK, in which it was stated that:</w:t>
      </w:r>
      <w:r w:rsidRPr="00181CF2">
        <w:rPr>
          <w:rStyle w:val="FootnoteReference"/>
          <w:rFonts w:ascii="Arial" w:hAnsi="Arial" w:cs="Arial"/>
          <w:szCs w:val="24"/>
          <w:lang w:val="en-GB"/>
        </w:rPr>
        <w:footnoteReference w:id="401"/>
      </w:r>
    </w:p>
    <w:p w:rsidR="00E773F6" w:rsidRPr="00C57CE1" w:rsidRDefault="00E773F6" w:rsidP="00E773F6">
      <w:pPr>
        <w:tabs>
          <w:tab w:val="left" w:pos="1418"/>
        </w:tabs>
        <w:snapToGrid w:val="0"/>
        <w:jc w:val="both"/>
        <w:rPr>
          <w:rFonts w:ascii="Arial" w:hAnsi="Arial" w:cs="Arial"/>
          <w:szCs w:val="24"/>
          <w:lang w:val="en-GB"/>
        </w:rPr>
      </w:pPr>
      <w:r w:rsidRPr="00C57CE1">
        <w:rPr>
          <w:rFonts w:ascii="Arial" w:hAnsi="Arial" w:cs="Arial"/>
          <w:szCs w:val="24"/>
          <w:lang w:val="en-GB"/>
        </w:rPr>
        <w:tab/>
      </w: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People with gender dysphoria or gender identity disorder live with a conviction that their physical anatomy is incompatible with their true gender role.  They have an overwhelming desire to live and function in the opposite biological sex.  Some people become aware of their transsexualism as children while others discover their feelings later in life.  Once experienced these feelings are unlikely to disappear.</w:t>
      </w:r>
      <w:r w:rsidRPr="0028108F">
        <w:rPr>
          <w:rFonts w:ascii="Arial" w:hAnsi="Arial" w:cs="Arial"/>
          <w:szCs w:val="24"/>
          <w:lang w:val="en-GB"/>
        </w:rPr>
        <w:t>”</w:t>
      </w:r>
    </w:p>
    <w:p w:rsidR="00E773F6" w:rsidRPr="0028108F" w:rsidRDefault="00E773F6" w:rsidP="00E773F6">
      <w:pPr>
        <w:pStyle w:val="ListParagraph"/>
        <w:tabs>
          <w:tab w:val="left" w:pos="1418"/>
        </w:tabs>
        <w:adjustRightInd w:val="0"/>
        <w:snapToGrid w:val="0"/>
        <w:ind w:leftChars="0" w:left="0"/>
        <w:jc w:val="both"/>
        <w:rPr>
          <w:rFonts w:ascii="Arial" w:hAnsi="Arial" w:cs="Arial"/>
          <w:color w:val="0000FF"/>
          <w:szCs w:val="24"/>
          <w:lang w:val="en-GB"/>
        </w:rPr>
      </w:pPr>
    </w:p>
    <w:p w:rsidR="00E773F6" w:rsidRPr="0028108F" w:rsidRDefault="00E773F6" w:rsidP="001544FD">
      <w:pPr>
        <w:pStyle w:val="ListParagraph"/>
        <w:numPr>
          <w:ilvl w:val="0"/>
          <w:numId w:val="108"/>
        </w:numPr>
        <w:tabs>
          <w:tab w:val="left" w:pos="1418"/>
        </w:tabs>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 xml:space="preserve">There is a viewpoint that </w:t>
      </w:r>
      <w:r w:rsidR="00334997" w:rsidRPr="0028108F">
        <w:rPr>
          <w:rFonts w:ascii="Arial" w:hAnsi="Arial" w:cs="Arial"/>
          <w:szCs w:val="24"/>
          <w:lang w:val="en-GB"/>
        </w:rPr>
        <w:t>because of the inconsistency between one</w:t>
      </w:r>
      <w:r w:rsidR="00334997" w:rsidRPr="00181CF2">
        <w:rPr>
          <w:rFonts w:ascii="Arial" w:hAnsi="Arial" w:cs="Arial"/>
          <w:szCs w:val="24"/>
          <w:lang w:val="en-GB"/>
        </w:rPr>
        <w:t>’</w:t>
      </w:r>
      <w:r w:rsidR="00334997" w:rsidRPr="0028108F">
        <w:rPr>
          <w:rFonts w:ascii="Arial" w:hAnsi="Arial" w:cs="Arial"/>
          <w:szCs w:val="24"/>
          <w:lang w:val="en-GB"/>
        </w:rPr>
        <w:t>s innate gender identity and his/her physical anatomy, many</w:t>
      </w:r>
      <w:r w:rsidR="00334997" w:rsidRPr="00181CF2">
        <w:rPr>
          <w:rFonts w:ascii="Arial" w:hAnsi="Arial" w:cs="Arial"/>
          <w:szCs w:val="24"/>
          <w:lang w:val="en-GB"/>
        </w:rPr>
        <w:t xml:space="preserve"> </w:t>
      </w:r>
      <w:r w:rsidRPr="00C57CE1">
        <w:rPr>
          <w:rFonts w:ascii="Arial" w:hAnsi="Arial" w:cs="Arial"/>
          <w:szCs w:val="24"/>
          <w:lang w:val="en-GB"/>
        </w:rPr>
        <w:t>cases</w:t>
      </w:r>
      <w:r w:rsidR="00334997" w:rsidRPr="0028108F">
        <w:rPr>
          <w:rFonts w:ascii="Arial" w:hAnsi="Arial" w:cs="Arial"/>
          <w:szCs w:val="24"/>
          <w:lang w:val="en-GB"/>
        </w:rPr>
        <w:t xml:space="preserve"> </w:t>
      </w:r>
      <w:r w:rsidRPr="00C57CE1">
        <w:rPr>
          <w:rFonts w:ascii="Arial" w:hAnsi="Arial" w:cs="Arial"/>
          <w:szCs w:val="24"/>
          <w:lang w:val="en-GB"/>
        </w:rPr>
        <w:t>of gender identity disorder or gender dysphoria</w:t>
      </w:r>
      <w:r w:rsidR="008A27C8" w:rsidRPr="0028108F">
        <w:rPr>
          <w:rFonts w:ascii="Arial" w:hAnsi="Arial" w:cs="Arial"/>
          <w:szCs w:val="24"/>
          <w:lang w:val="en-GB"/>
        </w:rPr>
        <w:t xml:space="preserve"> (especially the severe ones)</w:t>
      </w:r>
      <w:r w:rsidRPr="00181CF2">
        <w:rPr>
          <w:rFonts w:ascii="Arial" w:hAnsi="Arial" w:cs="Arial"/>
          <w:szCs w:val="24"/>
          <w:lang w:val="en-GB"/>
        </w:rPr>
        <w:t xml:space="preserve"> may give r</w:t>
      </w:r>
      <w:r w:rsidRPr="00C57CE1">
        <w:rPr>
          <w:rFonts w:ascii="Arial" w:hAnsi="Arial" w:cs="Arial"/>
          <w:szCs w:val="24"/>
          <w:lang w:val="en-GB"/>
        </w:rPr>
        <w:t xml:space="preserve">ise to </w:t>
      </w:r>
      <w:r w:rsidR="005D4FB4">
        <w:rPr>
          <w:rFonts w:ascii="Arial" w:hAnsi="Arial" w:cs="Arial"/>
          <w:szCs w:val="24"/>
          <w:lang w:val="en-GB"/>
        </w:rPr>
        <w:t xml:space="preserve">distress </w:t>
      </w:r>
      <w:r w:rsidRPr="00C57CE1">
        <w:rPr>
          <w:rFonts w:ascii="Arial" w:hAnsi="Arial" w:cs="Arial"/>
          <w:szCs w:val="24"/>
          <w:lang w:val="en-GB"/>
        </w:rPr>
        <w:t xml:space="preserve">and possibly self-destructive behaviour.  </w:t>
      </w:r>
      <w:r w:rsidR="008A27C8" w:rsidRPr="0028108F">
        <w:rPr>
          <w:rFonts w:ascii="Arial" w:hAnsi="Arial" w:cs="Arial"/>
          <w:szCs w:val="24"/>
          <w:lang w:val="en-GB"/>
        </w:rPr>
        <w:t xml:space="preserve">In </w:t>
      </w:r>
      <w:r w:rsidR="008A27C8" w:rsidRPr="0028108F">
        <w:rPr>
          <w:rFonts w:ascii="Arial" w:hAnsi="Arial" w:cs="Arial"/>
          <w:i/>
          <w:szCs w:val="24"/>
          <w:lang w:val="en-GB"/>
        </w:rPr>
        <w:t>W</w:t>
      </w:r>
      <w:r w:rsidR="008A27C8" w:rsidRPr="00181CF2">
        <w:rPr>
          <w:rFonts w:ascii="Arial" w:hAnsi="Arial" w:cs="Arial"/>
          <w:szCs w:val="24"/>
          <w:lang w:val="en-GB"/>
        </w:rPr>
        <w:t xml:space="preserve">’s case, </w:t>
      </w:r>
      <w:r w:rsidRPr="00C57CE1">
        <w:rPr>
          <w:rFonts w:ascii="Arial" w:hAnsi="Arial" w:cs="Arial"/>
          <w:szCs w:val="24"/>
          <w:lang w:val="en-GB"/>
        </w:rPr>
        <w:t xml:space="preserve">Ma CJ and Ribeiro PJ </w:t>
      </w:r>
      <w:r w:rsidRPr="0028108F">
        <w:rPr>
          <w:rFonts w:ascii="Arial" w:hAnsi="Arial" w:cs="Arial"/>
          <w:szCs w:val="24"/>
          <w:lang w:val="en-GB"/>
        </w:rPr>
        <w:t xml:space="preserve">quoted </w:t>
      </w:r>
      <w:r w:rsidR="00B73144" w:rsidRPr="0028108F">
        <w:rPr>
          <w:rFonts w:ascii="Arial" w:hAnsi="Arial" w:cs="Arial"/>
          <w:szCs w:val="24"/>
          <w:lang w:val="en-GB"/>
        </w:rPr>
        <w:t xml:space="preserve">Dr </w:t>
      </w:r>
      <w:r w:rsidRPr="0028108F">
        <w:rPr>
          <w:rFonts w:ascii="Arial" w:hAnsi="Arial" w:cs="Arial"/>
          <w:szCs w:val="24"/>
          <w:lang w:val="en-GB"/>
        </w:rPr>
        <w:t>Sam Winter’s affidavit</w:t>
      </w:r>
      <w:r w:rsidR="008A27C8" w:rsidRPr="0028108F">
        <w:rPr>
          <w:rFonts w:ascii="Arial" w:hAnsi="Arial" w:cs="Arial"/>
          <w:szCs w:val="24"/>
          <w:lang w:val="en-GB"/>
        </w:rPr>
        <w:t xml:space="preserve"> which had</w:t>
      </w:r>
      <w:r w:rsidRPr="0028108F">
        <w:rPr>
          <w:rFonts w:ascii="Arial" w:hAnsi="Arial" w:cs="Arial"/>
          <w:szCs w:val="24"/>
          <w:lang w:val="en-GB"/>
        </w:rPr>
        <w:t xml:space="preserve"> stat</w:t>
      </w:r>
      <w:r w:rsidR="008A27C8" w:rsidRPr="0028108F">
        <w:rPr>
          <w:rFonts w:ascii="Arial" w:hAnsi="Arial" w:cs="Arial"/>
          <w:szCs w:val="24"/>
          <w:lang w:val="en-GB"/>
        </w:rPr>
        <w:t>ed</w:t>
      </w:r>
      <w:r w:rsidRPr="0028108F">
        <w:rPr>
          <w:rFonts w:ascii="Arial" w:hAnsi="Arial" w:cs="Arial"/>
          <w:szCs w:val="24"/>
          <w:lang w:val="en-GB"/>
        </w:rPr>
        <w:t xml:space="preserve"> that:</w:t>
      </w:r>
    </w:p>
    <w:p w:rsidR="00E773F6" w:rsidRPr="0028108F" w:rsidRDefault="00E773F6" w:rsidP="00E773F6">
      <w:pPr>
        <w:pStyle w:val="ListParagraph"/>
        <w:rPr>
          <w:rFonts w:ascii="Arial" w:hAnsi="Arial" w:cs="Arial"/>
          <w:color w:val="0000FF"/>
          <w:szCs w:val="24"/>
          <w:lang w:val="en-GB"/>
        </w:rPr>
      </w:pPr>
    </w:p>
    <w:p w:rsidR="00E773F6" w:rsidRPr="00181CF2" w:rsidRDefault="00E773F6" w:rsidP="00E773F6">
      <w:pPr>
        <w:pStyle w:val="ListParagraph"/>
        <w:tabs>
          <w:tab w:val="left" w:pos="851"/>
        </w:tabs>
        <w:adjustRightInd w:val="0"/>
        <w:snapToGrid w:val="0"/>
        <w:ind w:leftChars="0" w:left="851" w:rightChars="212" w:right="509"/>
        <w:jc w:val="both"/>
        <w:rPr>
          <w:rFonts w:ascii="Arial" w:hAnsi="Arial" w:cs="Arial"/>
          <w:color w:val="0000FF"/>
          <w:szCs w:val="24"/>
          <w:lang w:val="en-GB"/>
        </w:rPr>
      </w:pPr>
      <w:r w:rsidRPr="0028108F">
        <w:rPr>
          <w:rFonts w:ascii="Arial" w:hAnsi="Arial" w:cs="Arial"/>
          <w:szCs w:val="24"/>
          <w:lang w:val="en-GB"/>
        </w:rPr>
        <w:t>“</w:t>
      </w:r>
      <w:r w:rsidRPr="0028108F">
        <w:rPr>
          <w:rFonts w:ascii="Arial" w:hAnsi="Arial" w:cs="Arial"/>
          <w:i/>
          <w:szCs w:val="24"/>
          <w:lang w:val="en-GB"/>
        </w:rPr>
        <w:t>[Male-to-female transsexual persons] consider themselves females imprisoned in the male bodies, or vice versa, and intensely resent their own sexual organs which constantly remind them of</w:t>
      </w:r>
      <w:r w:rsidRPr="0028108F">
        <w:rPr>
          <w:rFonts w:ascii="Arial" w:hAnsi="Arial" w:cs="Arial"/>
          <w:szCs w:val="24"/>
          <w:lang w:val="en-GB"/>
        </w:rPr>
        <w:t xml:space="preserve"> </w:t>
      </w:r>
      <w:r w:rsidRPr="0028108F">
        <w:rPr>
          <w:rFonts w:ascii="Arial" w:hAnsi="Arial" w:cs="Arial"/>
          <w:i/>
          <w:szCs w:val="24"/>
          <w:lang w:val="en-GB"/>
        </w:rPr>
        <w:t>their biological sex.</w:t>
      </w:r>
      <w:r w:rsidR="00CB200C" w:rsidRPr="0028108F">
        <w:rPr>
          <w:rFonts w:ascii="Arial" w:hAnsi="Arial" w:cs="Arial"/>
          <w:i/>
          <w:szCs w:val="24"/>
          <w:lang w:val="en-GB"/>
        </w:rPr>
        <w:t xml:space="preserve"> </w:t>
      </w:r>
      <w:r w:rsidRPr="00181CF2">
        <w:rPr>
          <w:rFonts w:ascii="Arial" w:hAnsi="Arial" w:cs="Arial"/>
          <w:i/>
          <w:szCs w:val="24"/>
          <w:lang w:val="en-GB"/>
        </w:rPr>
        <w:t xml:space="preserve"> They go to great lengths to relieve themselves of their psychological distress. For example, transsexual men put on make-up, remove fac</w:t>
      </w:r>
      <w:r w:rsidRPr="00C57CE1">
        <w:rPr>
          <w:rFonts w:ascii="Arial" w:hAnsi="Arial" w:cs="Arial"/>
          <w:i/>
          <w:szCs w:val="24"/>
          <w:lang w:val="en-GB"/>
        </w:rPr>
        <w:t xml:space="preserve">ial and pubic hair, and use oestrogen to promote the development of female breasts. They implore doctors to perform operations to remove their male genital organs and construct for them a vagina from their penis.  Some of them mutilate themselves in order </w:t>
      </w:r>
      <w:r w:rsidRPr="0028108F">
        <w:rPr>
          <w:rFonts w:ascii="Arial" w:hAnsi="Arial" w:cs="Arial"/>
          <w:i/>
          <w:szCs w:val="24"/>
          <w:lang w:val="en-GB"/>
        </w:rPr>
        <w:t>to be rid of the gonads and genitalia they detest. ... [T]he inner turmoil transsexuals experience prompts some of them to undergo prolonged and painful surgery or even take their own lives.</w:t>
      </w:r>
      <w:r w:rsidRPr="0028108F">
        <w:rPr>
          <w:rFonts w:ascii="Arial" w:hAnsi="Arial" w:cs="Arial"/>
          <w:szCs w:val="24"/>
          <w:lang w:val="en-GB"/>
        </w:rPr>
        <w:t>”</w:t>
      </w:r>
      <w:r w:rsidRPr="00181CF2">
        <w:rPr>
          <w:rStyle w:val="FootnoteReference"/>
          <w:rFonts w:ascii="Arial" w:hAnsi="Arial" w:cs="Arial"/>
          <w:szCs w:val="24"/>
          <w:lang w:val="en-GB"/>
        </w:rPr>
        <w:footnoteReference w:id="402"/>
      </w:r>
    </w:p>
    <w:p w:rsidR="00E773F6" w:rsidRPr="00C57CE1" w:rsidRDefault="00E773F6" w:rsidP="00E773F6">
      <w:pPr>
        <w:pStyle w:val="ListParagraph"/>
        <w:tabs>
          <w:tab w:val="left" w:pos="1418"/>
        </w:tabs>
        <w:adjustRightInd w:val="0"/>
        <w:snapToGrid w:val="0"/>
        <w:ind w:leftChars="0" w:left="0"/>
        <w:jc w:val="both"/>
        <w:rPr>
          <w:rFonts w:ascii="Arial" w:hAnsi="Arial" w:cs="Arial"/>
          <w:color w:val="0000FF"/>
          <w:szCs w:val="24"/>
          <w:lang w:val="en-GB"/>
        </w:rPr>
      </w:pPr>
    </w:p>
    <w:p w:rsidR="00E773F6" w:rsidRPr="0028108F" w:rsidRDefault="00E773F6" w:rsidP="001544FD">
      <w:pPr>
        <w:pStyle w:val="ListParagraph"/>
        <w:numPr>
          <w:ilvl w:val="0"/>
          <w:numId w:val="108"/>
        </w:numPr>
        <w:snapToGrid w:val="0"/>
        <w:ind w:leftChars="0" w:left="1418" w:hanging="1418"/>
        <w:jc w:val="both"/>
        <w:rPr>
          <w:rFonts w:ascii="Arial" w:hAnsi="Arial" w:cs="Arial"/>
          <w:i/>
          <w:szCs w:val="24"/>
          <w:lang w:val="en-GB"/>
        </w:rPr>
      </w:pPr>
      <w:r w:rsidRPr="00C57CE1">
        <w:rPr>
          <w:rFonts w:ascii="Arial" w:hAnsi="Arial" w:cs="Arial"/>
          <w:szCs w:val="24"/>
          <w:lang w:val="en-GB"/>
        </w:rPr>
        <w:t xml:space="preserve">Further, the dissenting judge in </w:t>
      </w:r>
      <w:r w:rsidR="00334997" w:rsidRPr="0028108F">
        <w:rPr>
          <w:rFonts w:ascii="Arial" w:hAnsi="Arial" w:cs="Arial"/>
          <w:i/>
          <w:szCs w:val="24"/>
          <w:lang w:val="en-GB"/>
        </w:rPr>
        <w:t>W</w:t>
      </w:r>
      <w:r w:rsidR="00334997" w:rsidRPr="00181CF2">
        <w:rPr>
          <w:rFonts w:ascii="Arial" w:hAnsi="Arial" w:cs="Arial"/>
          <w:szCs w:val="24"/>
          <w:lang w:val="en-GB"/>
        </w:rPr>
        <w:t>’s case</w:t>
      </w:r>
      <w:r w:rsidRPr="00C57CE1">
        <w:rPr>
          <w:rFonts w:ascii="Arial" w:hAnsi="Arial" w:cs="Arial"/>
          <w:szCs w:val="24"/>
          <w:lang w:val="en-GB"/>
        </w:rPr>
        <w:t xml:space="preserve">, Chan PJ, </w:t>
      </w:r>
      <w:r w:rsidR="008A27C8" w:rsidRPr="0028108F">
        <w:rPr>
          <w:rFonts w:ascii="Arial" w:hAnsi="Arial" w:cs="Arial"/>
          <w:szCs w:val="24"/>
          <w:lang w:val="en-GB"/>
        </w:rPr>
        <w:t xml:space="preserve">stated </w:t>
      </w:r>
      <w:r w:rsidRPr="0028108F">
        <w:rPr>
          <w:rFonts w:ascii="Arial" w:hAnsi="Arial" w:cs="Arial"/>
          <w:szCs w:val="24"/>
          <w:lang w:val="en-GB"/>
        </w:rPr>
        <w:t>that:</w:t>
      </w:r>
    </w:p>
    <w:p w:rsidR="00E773F6" w:rsidRPr="0028108F" w:rsidRDefault="00E773F6" w:rsidP="00E773F6">
      <w:pPr>
        <w:pStyle w:val="ListParagraph"/>
        <w:snapToGrid w:val="0"/>
        <w:ind w:leftChars="0" w:left="720"/>
        <w:jc w:val="both"/>
        <w:rPr>
          <w:rFonts w:ascii="Arial" w:hAnsi="Arial" w:cs="Arial"/>
          <w:szCs w:val="24"/>
          <w:lang w:val="en-GB"/>
        </w:rPr>
      </w:pPr>
    </w:p>
    <w:p w:rsidR="00E773F6" w:rsidRPr="0028108F" w:rsidRDefault="00E773F6" w:rsidP="001544FD">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I am mindful of the problems facing transsexuals. If their reassigned gender is not recognised, this may cause them great distress. … I can see the force of the reasoning of Ellis J in AG v Otahuhu Family Court [1995] 1 NZLR 603, 607:</w:t>
      </w:r>
    </w:p>
    <w:p w:rsidR="00E773F6" w:rsidRPr="0028108F" w:rsidRDefault="00E773F6" w:rsidP="00E773F6">
      <w:pPr>
        <w:pStyle w:val="ListParagraph"/>
        <w:snapToGrid w:val="0"/>
        <w:ind w:leftChars="295" w:left="708" w:firstLineChars="257" w:firstLine="617"/>
        <w:jc w:val="both"/>
        <w:rPr>
          <w:rFonts w:ascii="Arial" w:hAnsi="Arial" w:cs="Arial"/>
          <w:i/>
          <w:szCs w:val="24"/>
          <w:lang w:val="en-GB"/>
        </w:rPr>
      </w:pPr>
    </w:p>
    <w:p w:rsidR="00E773F6" w:rsidRPr="0028108F" w:rsidRDefault="00E51734" w:rsidP="00E51734">
      <w:pPr>
        <w:pStyle w:val="ListParagraph"/>
        <w:tabs>
          <w:tab w:val="left" w:pos="1418"/>
        </w:tabs>
        <w:adjustRightInd w:val="0"/>
        <w:snapToGrid w:val="0"/>
        <w:ind w:leftChars="-1" w:left="1416" w:rightChars="212" w:right="509" w:hangingChars="591" w:hanging="1418"/>
        <w:jc w:val="both"/>
        <w:rPr>
          <w:rFonts w:ascii="Arial" w:hAnsi="Arial" w:cs="Arial"/>
          <w:i/>
          <w:szCs w:val="24"/>
          <w:lang w:val="en-GB"/>
        </w:rPr>
      </w:pPr>
      <w:r>
        <w:rPr>
          <w:rFonts w:ascii="Arial" w:hAnsi="Arial" w:cs="Arial" w:hint="eastAsia"/>
          <w:i/>
          <w:szCs w:val="24"/>
          <w:lang w:val="en-GB"/>
        </w:rPr>
        <w:tab/>
      </w:r>
      <w:r w:rsidR="00E773F6" w:rsidRPr="0028108F">
        <w:rPr>
          <w:rFonts w:ascii="Arial" w:hAnsi="Arial" w:cs="Arial"/>
          <w:i/>
          <w:szCs w:val="24"/>
          <w:lang w:val="en-GB"/>
        </w:rPr>
        <w:t>‘If society allows such persons to undergo therapy and surgery in order to fulfill that desire, then it ought also to allow such persons to function as fully as possible in their reassigned sex, and this must include the capacity to marry.’</w:t>
      </w:r>
      <w:r w:rsidR="008C7BCB" w:rsidRPr="0028108F">
        <w:rPr>
          <w:rFonts w:ascii="Arial" w:hAnsi="Arial" w:cs="Arial"/>
          <w:i/>
          <w:szCs w:val="24"/>
          <w:lang w:val="en-GB"/>
        </w:rPr>
        <w:t xml:space="preserve"> </w:t>
      </w:r>
      <w:r w:rsidR="00E773F6" w:rsidRPr="0028108F">
        <w:rPr>
          <w:rFonts w:ascii="Arial" w:hAnsi="Arial" w:cs="Arial"/>
          <w:szCs w:val="24"/>
          <w:lang w:val="en-GB"/>
        </w:rPr>
        <w:t>”</w:t>
      </w:r>
      <w:r w:rsidR="00E773F6" w:rsidRPr="0028108F">
        <w:rPr>
          <w:rStyle w:val="FootnoteReference"/>
          <w:rFonts w:ascii="Arial" w:hAnsi="Arial" w:cs="Arial"/>
          <w:szCs w:val="24"/>
          <w:lang w:val="en-GB"/>
        </w:rPr>
        <w:footnoteReference w:id="403"/>
      </w:r>
    </w:p>
    <w:p w:rsidR="00E773F6" w:rsidRPr="0028108F" w:rsidRDefault="00E773F6" w:rsidP="00E773F6">
      <w:pPr>
        <w:tabs>
          <w:tab w:val="left" w:pos="1418"/>
        </w:tabs>
        <w:snapToGrid w:val="0"/>
        <w:ind w:leftChars="531" w:left="1274"/>
        <w:jc w:val="both"/>
        <w:rPr>
          <w:rFonts w:ascii="Arial" w:hAnsi="Arial" w:cs="Arial"/>
          <w:szCs w:val="24"/>
          <w:lang w:val="en-GB"/>
        </w:rPr>
      </w:pPr>
    </w:p>
    <w:p w:rsidR="008A27C8" w:rsidRPr="0028108F" w:rsidRDefault="00E773F6" w:rsidP="001544FD">
      <w:pPr>
        <w:pStyle w:val="ListParagraph"/>
        <w:numPr>
          <w:ilvl w:val="0"/>
          <w:numId w:val="108"/>
        </w:numPr>
        <w:tabs>
          <w:tab w:val="left" w:pos="1418"/>
        </w:tabs>
        <w:snapToGrid w:val="0"/>
        <w:ind w:leftChars="0" w:left="0" w:firstLine="0"/>
        <w:jc w:val="both"/>
        <w:rPr>
          <w:rFonts w:ascii="Arial" w:hAnsi="Arial" w:cs="Arial"/>
          <w:szCs w:val="24"/>
          <w:lang w:val="en-GB"/>
        </w:rPr>
      </w:pPr>
      <w:r w:rsidRPr="0028108F">
        <w:rPr>
          <w:rFonts w:ascii="Arial" w:hAnsi="Arial" w:cs="Arial"/>
          <w:szCs w:val="24"/>
          <w:lang w:val="en-GB"/>
        </w:rPr>
        <w:t xml:space="preserve">From the medical perspective, there have been arguments that psychotherapy could help transgender persons re-orient to become </w:t>
      </w:r>
      <w:r w:rsidRPr="0028108F">
        <w:rPr>
          <w:rFonts w:ascii="Arial" w:hAnsi="Arial" w:cs="Arial"/>
          <w:i/>
          <w:szCs w:val="24"/>
          <w:lang w:val="en-GB"/>
        </w:rPr>
        <w:t>“cisgender”</w:t>
      </w:r>
      <w:r w:rsidRPr="0028108F">
        <w:rPr>
          <w:rFonts w:ascii="Arial" w:hAnsi="Arial" w:cs="Arial"/>
          <w:szCs w:val="24"/>
          <w:lang w:val="en-GB"/>
        </w:rPr>
        <w:t>.</w:t>
      </w:r>
      <w:r w:rsidRPr="0028108F">
        <w:rPr>
          <w:rStyle w:val="FootnoteReference"/>
          <w:rFonts w:ascii="Arial" w:hAnsi="Arial" w:cs="Arial"/>
          <w:color w:val="000000" w:themeColor="text1"/>
          <w:szCs w:val="24"/>
          <w:lang w:val="en-GB"/>
        </w:rPr>
        <w:footnoteReference w:id="404"/>
      </w:r>
      <w:r w:rsidRPr="0028108F">
        <w:rPr>
          <w:rFonts w:ascii="Arial" w:hAnsi="Arial" w:cs="Arial"/>
          <w:szCs w:val="24"/>
          <w:lang w:val="en-GB"/>
        </w:rPr>
        <w:t xml:space="preserve">  In Hong Kong, the </w:t>
      </w:r>
      <w:r w:rsidR="008A27C8" w:rsidRPr="0028108F">
        <w:rPr>
          <w:rFonts w:ascii="Arial" w:hAnsi="Arial" w:cs="Arial"/>
          <w:szCs w:val="24"/>
          <w:lang w:val="en-GB"/>
        </w:rPr>
        <w:t>HA</w:t>
      </w:r>
      <w:r w:rsidRPr="0028108F">
        <w:rPr>
          <w:rFonts w:ascii="Arial" w:hAnsi="Arial" w:cs="Arial"/>
          <w:szCs w:val="24"/>
          <w:lang w:val="en-GB"/>
        </w:rPr>
        <w:t xml:space="preserve"> experts consider that psychotherapy, apart from hormones and surgery, is </w:t>
      </w:r>
      <w:r w:rsidR="008A27C8" w:rsidRPr="0028108F">
        <w:rPr>
          <w:rFonts w:ascii="Arial" w:hAnsi="Arial" w:cs="Arial"/>
          <w:szCs w:val="24"/>
          <w:lang w:val="en-GB"/>
        </w:rPr>
        <w:t xml:space="preserve">a </w:t>
      </w:r>
      <w:r w:rsidRPr="0028108F">
        <w:rPr>
          <w:rFonts w:ascii="Arial" w:hAnsi="Arial" w:cs="Arial"/>
          <w:szCs w:val="24"/>
          <w:lang w:val="en-GB"/>
        </w:rPr>
        <w:t xml:space="preserve">mainstay of care for adult patients diagnosed </w:t>
      </w:r>
      <w:r w:rsidR="008A27C8" w:rsidRPr="0028108F">
        <w:rPr>
          <w:rFonts w:ascii="Arial" w:hAnsi="Arial" w:cs="Arial"/>
          <w:szCs w:val="24"/>
          <w:lang w:val="en-GB"/>
        </w:rPr>
        <w:t>with</w:t>
      </w:r>
      <w:r w:rsidRPr="0028108F">
        <w:rPr>
          <w:rFonts w:ascii="Arial" w:hAnsi="Arial" w:cs="Arial"/>
          <w:szCs w:val="24"/>
          <w:lang w:val="en-GB"/>
        </w:rPr>
        <w:t xml:space="preserve"> gender dysphoria or gender identity disorder.  However, some medical specialists have indicated that psychotherapy </w:t>
      </w:r>
      <w:r w:rsidR="008A27C8" w:rsidRPr="0028108F">
        <w:rPr>
          <w:rFonts w:ascii="Arial" w:hAnsi="Arial" w:cs="Arial"/>
          <w:szCs w:val="24"/>
          <w:lang w:val="en-GB"/>
        </w:rPr>
        <w:t xml:space="preserve">on its own </w:t>
      </w:r>
      <w:r w:rsidRPr="0028108F">
        <w:rPr>
          <w:rFonts w:ascii="Arial" w:hAnsi="Arial" w:cs="Arial"/>
          <w:szCs w:val="24"/>
          <w:lang w:val="en-GB"/>
        </w:rPr>
        <w:t xml:space="preserve">has not been proved to be a successful treatment for </w:t>
      </w:r>
      <w:r w:rsidR="00D55139" w:rsidRPr="0028108F">
        <w:rPr>
          <w:rFonts w:ascii="Arial" w:hAnsi="Arial" w:cs="Arial"/>
          <w:szCs w:val="24"/>
          <w:lang w:val="en-GB"/>
        </w:rPr>
        <w:t>transgender persons</w:t>
      </w:r>
      <w:r w:rsidRPr="0028108F">
        <w:rPr>
          <w:rFonts w:ascii="Arial" w:hAnsi="Arial" w:cs="Arial"/>
          <w:szCs w:val="24"/>
          <w:lang w:val="en-GB"/>
        </w:rPr>
        <w:t>.</w:t>
      </w:r>
      <w:r w:rsidRPr="0028108F">
        <w:rPr>
          <w:rFonts w:ascii="Arial" w:hAnsi="Arial" w:cs="Arial"/>
          <w:szCs w:val="24"/>
          <w:vertAlign w:val="superscript"/>
          <w:lang w:val="en-GB"/>
        </w:rPr>
        <w:footnoteReference w:id="405"/>
      </w:r>
      <w:r w:rsidRPr="0028108F">
        <w:rPr>
          <w:rFonts w:ascii="Arial" w:hAnsi="Arial" w:cs="Arial"/>
          <w:szCs w:val="24"/>
          <w:lang w:val="en-GB"/>
        </w:rPr>
        <w:t xml:space="preserve"> </w:t>
      </w:r>
    </w:p>
    <w:p w:rsidR="008A27C8" w:rsidRPr="0028108F" w:rsidRDefault="008A27C8" w:rsidP="0028108F">
      <w:pPr>
        <w:pStyle w:val="ListParagraph"/>
        <w:tabs>
          <w:tab w:val="left" w:pos="1418"/>
        </w:tabs>
        <w:snapToGrid w:val="0"/>
        <w:ind w:leftChars="0" w:left="0"/>
        <w:jc w:val="both"/>
        <w:rPr>
          <w:rFonts w:ascii="Arial" w:hAnsi="Arial" w:cs="Arial"/>
          <w:szCs w:val="24"/>
          <w:lang w:val="en-GB"/>
        </w:rPr>
      </w:pPr>
    </w:p>
    <w:p w:rsidR="00E773F6" w:rsidRPr="00181CF2" w:rsidRDefault="00E773F6" w:rsidP="001544FD">
      <w:pPr>
        <w:pStyle w:val="ListParagraph"/>
        <w:numPr>
          <w:ilvl w:val="0"/>
          <w:numId w:val="108"/>
        </w:numPr>
        <w:tabs>
          <w:tab w:val="left" w:pos="1418"/>
        </w:tabs>
        <w:snapToGrid w:val="0"/>
        <w:ind w:leftChars="0" w:left="0" w:firstLine="0"/>
        <w:jc w:val="both"/>
        <w:rPr>
          <w:rFonts w:ascii="Arial" w:hAnsi="Arial" w:cs="Arial"/>
          <w:szCs w:val="24"/>
          <w:lang w:val="en-GB"/>
        </w:rPr>
      </w:pPr>
      <w:r w:rsidRPr="0028108F">
        <w:rPr>
          <w:rFonts w:ascii="Arial" w:hAnsi="Arial" w:cs="Arial"/>
          <w:szCs w:val="24"/>
          <w:lang w:val="en-GB"/>
        </w:rPr>
        <w:t>Whilst</w:t>
      </w:r>
      <w:r w:rsidR="008A27C8" w:rsidRPr="0028108F">
        <w:rPr>
          <w:rFonts w:ascii="Arial" w:hAnsi="Arial" w:cs="Arial"/>
          <w:szCs w:val="24"/>
          <w:lang w:val="en-GB"/>
        </w:rPr>
        <w:t xml:space="preserve"> it may be that</w:t>
      </w:r>
      <w:r w:rsidRPr="0028108F">
        <w:rPr>
          <w:rFonts w:ascii="Arial" w:hAnsi="Arial" w:cs="Arial"/>
          <w:szCs w:val="24"/>
          <w:lang w:val="en-GB"/>
        </w:rPr>
        <w:t xml:space="preserve"> </w:t>
      </w:r>
      <w:r w:rsidR="00A260A3" w:rsidRPr="0028108F">
        <w:rPr>
          <w:rFonts w:ascii="Arial" w:hAnsi="Arial" w:cs="Arial"/>
          <w:szCs w:val="24"/>
          <w:lang w:val="en-GB"/>
        </w:rPr>
        <w:t>t</w:t>
      </w:r>
      <w:r w:rsidRPr="00C57CE1">
        <w:rPr>
          <w:rFonts w:ascii="Arial" w:hAnsi="Arial" w:cs="Arial"/>
          <w:szCs w:val="24"/>
          <w:lang w:val="en-GB"/>
        </w:rPr>
        <w:t xml:space="preserve">he </w:t>
      </w:r>
      <w:r w:rsidR="00DE6C8E">
        <w:rPr>
          <w:rFonts w:ascii="Arial" w:hAnsi="Arial" w:cs="Arial"/>
          <w:szCs w:val="24"/>
          <w:lang w:val="en-GB"/>
        </w:rPr>
        <w:t xml:space="preserve">discomfort </w:t>
      </w:r>
      <w:r w:rsidRPr="00C57CE1">
        <w:rPr>
          <w:rFonts w:ascii="Arial" w:hAnsi="Arial" w:cs="Arial"/>
          <w:szCs w:val="24"/>
          <w:lang w:val="en-GB"/>
        </w:rPr>
        <w:t xml:space="preserve">of a </w:t>
      </w:r>
      <w:r w:rsidR="00A260A3" w:rsidRPr="0028108F">
        <w:rPr>
          <w:rFonts w:ascii="Arial" w:hAnsi="Arial" w:cs="Arial"/>
          <w:szCs w:val="24"/>
          <w:lang w:val="en-GB"/>
        </w:rPr>
        <w:t>transgender person</w:t>
      </w:r>
      <w:r w:rsidR="00A260A3" w:rsidRPr="00181CF2">
        <w:rPr>
          <w:rFonts w:ascii="Arial" w:hAnsi="Arial" w:cs="Arial"/>
          <w:szCs w:val="24"/>
          <w:lang w:val="en-GB"/>
        </w:rPr>
        <w:t xml:space="preserve"> </w:t>
      </w:r>
      <w:r w:rsidRPr="00C57CE1">
        <w:rPr>
          <w:rFonts w:ascii="Arial" w:hAnsi="Arial" w:cs="Arial"/>
          <w:szCs w:val="24"/>
          <w:lang w:val="en-GB"/>
        </w:rPr>
        <w:t xml:space="preserve">would not be relieved or cured by way of medical assistance only, a law that recognises his/her new gender identity in all respects </w:t>
      </w:r>
      <w:r w:rsidR="00A260A3" w:rsidRPr="0028108F">
        <w:rPr>
          <w:rFonts w:ascii="Arial" w:hAnsi="Arial" w:cs="Arial"/>
          <w:szCs w:val="24"/>
          <w:lang w:val="en-GB"/>
        </w:rPr>
        <w:t>might arguably</w:t>
      </w:r>
      <w:r w:rsidRPr="00181CF2">
        <w:rPr>
          <w:rFonts w:ascii="Arial" w:hAnsi="Arial" w:cs="Arial"/>
          <w:szCs w:val="24"/>
          <w:lang w:val="en-GB"/>
        </w:rPr>
        <w:t xml:space="preserve"> complete their </w:t>
      </w:r>
      <w:r w:rsidRPr="00C57CE1">
        <w:rPr>
          <w:rFonts w:ascii="Arial" w:hAnsi="Arial" w:cs="Arial"/>
          <w:i/>
          <w:szCs w:val="24"/>
          <w:lang w:val="en-GB"/>
        </w:rPr>
        <w:t>“r</w:t>
      </w:r>
      <w:r w:rsidRPr="0028108F">
        <w:rPr>
          <w:rFonts w:ascii="Arial" w:hAnsi="Arial" w:cs="Arial"/>
          <w:i/>
          <w:szCs w:val="24"/>
          <w:lang w:val="en-GB"/>
        </w:rPr>
        <w:t>ebirth”</w:t>
      </w:r>
      <w:r w:rsidRPr="0028108F">
        <w:rPr>
          <w:rFonts w:ascii="Arial" w:hAnsi="Arial" w:cs="Arial"/>
          <w:szCs w:val="24"/>
          <w:lang w:val="en-GB"/>
        </w:rPr>
        <w:t xml:space="preserve">.  Such views were envisaged in </w:t>
      </w:r>
      <w:r w:rsidR="004E2691">
        <w:rPr>
          <w:rFonts w:ascii="Arial" w:hAnsi="Arial" w:cs="Arial"/>
          <w:szCs w:val="24"/>
          <w:lang w:val="en-GB"/>
        </w:rPr>
        <w:t>the</w:t>
      </w:r>
      <w:r w:rsidRPr="0028108F">
        <w:rPr>
          <w:rFonts w:ascii="Arial" w:hAnsi="Arial" w:cs="Arial"/>
          <w:szCs w:val="24"/>
          <w:lang w:val="en-GB"/>
        </w:rPr>
        <w:t xml:space="preserve"> dissenting judgment in </w:t>
      </w:r>
      <w:r w:rsidRPr="0028108F">
        <w:rPr>
          <w:rFonts w:ascii="Arial" w:hAnsi="Arial" w:cs="Arial"/>
          <w:i/>
          <w:szCs w:val="24"/>
          <w:lang w:val="en-GB"/>
        </w:rPr>
        <w:t xml:space="preserve">Cossey v </w:t>
      </w:r>
      <w:r w:rsidR="008A27C8" w:rsidRPr="0028108F">
        <w:rPr>
          <w:rFonts w:ascii="Arial" w:hAnsi="Arial" w:cs="Arial"/>
          <w:i/>
          <w:szCs w:val="24"/>
          <w:lang w:val="en-GB"/>
        </w:rPr>
        <w:t xml:space="preserve">the </w:t>
      </w:r>
      <w:r w:rsidRPr="0028108F">
        <w:rPr>
          <w:rFonts w:ascii="Arial" w:hAnsi="Arial" w:cs="Arial"/>
          <w:i/>
          <w:szCs w:val="24"/>
          <w:lang w:val="en-GB"/>
        </w:rPr>
        <w:t>United Kingdom</w:t>
      </w:r>
      <w:r w:rsidR="00A260A3" w:rsidRPr="00181CF2">
        <w:rPr>
          <w:rStyle w:val="FootnoteReference"/>
          <w:rFonts w:ascii="Arial" w:hAnsi="Arial" w:cs="Arial"/>
          <w:szCs w:val="24"/>
          <w:lang w:val="en-GB"/>
        </w:rPr>
        <w:footnoteReference w:id="406"/>
      </w:r>
      <w:r w:rsidRPr="00181CF2">
        <w:rPr>
          <w:rFonts w:ascii="Arial" w:hAnsi="Arial" w:cs="Arial"/>
          <w:szCs w:val="24"/>
          <w:lang w:val="en-GB"/>
        </w:rPr>
        <w:t xml:space="preserve"> </w:t>
      </w:r>
      <w:r w:rsidRPr="0028108F">
        <w:rPr>
          <w:rFonts w:ascii="Arial" w:hAnsi="Arial" w:cs="Arial"/>
          <w:szCs w:val="24"/>
          <w:lang w:val="en-GB"/>
        </w:rPr>
        <w:t>where Judge Martens</w:t>
      </w:r>
      <w:r w:rsidR="00A260A3" w:rsidRPr="0028108F">
        <w:rPr>
          <w:rFonts w:ascii="Arial" w:hAnsi="Arial" w:cs="Arial"/>
          <w:szCs w:val="24"/>
          <w:lang w:val="en-GB"/>
        </w:rPr>
        <w:t xml:space="preserve"> of the ECtHR</w:t>
      </w:r>
      <w:r w:rsidRPr="00181CF2">
        <w:rPr>
          <w:rFonts w:ascii="Arial" w:hAnsi="Arial" w:cs="Arial"/>
          <w:szCs w:val="24"/>
          <w:lang w:val="en-GB"/>
        </w:rPr>
        <w:t xml:space="preserve"> pointed out that: </w:t>
      </w:r>
    </w:p>
    <w:p w:rsidR="00E773F6" w:rsidRPr="00C57CE1" w:rsidRDefault="00E773F6" w:rsidP="00E773F6">
      <w:pPr>
        <w:pStyle w:val="ListParagraph"/>
        <w:snapToGrid w:val="0"/>
        <w:ind w:leftChars="0" w:left="720"/>
        <w:jc w:val="both"/>
        <w:rPr>
          <w:rFonts w:ascii="Arial" w:hAnsi="Arial" w:cs="Arial"/>
          <w:szCs w:val="24"/>
          <w:lang w:val="en-GB"/>
        </w:rPr>
      </w:pPr>
    </w:p>
    <w:p w:rsidR="00E773F6" w:rsidRPr="00C57CE1" w:rsidRDefault="00E773F6" w:rsidP="00E773F6">
      <w:pPr>
        <w:pStyle w:val="ListParagraph"/>
        <w:tabs>
          <w:tab w:val="left" w:pos="851"/>
        </w:tabs>
        <w:adjustRightInd w:val="0"/>
        <w:snapToGrid w:val="0"/>
        <w:ind w:leftChars="0" w:left="851" w:rightChars="212" w:right="509"/>
        <w:jc w:val="both"/>
        <w:rPr>
          <w:rStyle w:val="FootnoteReference"/>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 xml:space="preserve">. . . </w:t>
      </w:r>
      <w:r w:rsidR="006C0E7A" w:rsidRPr="0028108F">
        <w:rPr>
          <w:rFonts w:ascii="Arial" w:hAnsi="Arial" w:cs="Arial"/>
          <w:i/>
          <w:szCs w:val="24"/>
          <w:lang w:val="en-GB"/>
        </w:rPr>
        <w:t>[</w:t>
      </w:r>
      <w:r w:rsidRPr="00C57CE1">
        <w:rPr>
          <w:rFonts w:ascii="Arial" w:hAnsi="Arial" w:cs="Arial"/>
          <w:i/>
          <w:szCs w:val="24"/>
          <w:lang w:val="en-GB"/>
        </w:rPr>
        <w:t>medical</w:t>
      </w:r>
      <w:r w:rsidR="006C0E7A" w:rsidRPr="0028108F">
        <w:rPr>
          <w:rFonts w:ascii="Arial" w:hAnsi="Arial" w:cs="Arial"/>
          <w:i/>
          <w:szCs w:val="24"/>
          <w:lang w:val="en-GB"/>
        </w:rPr>
        <w:t>)</w:t>
      </w:r>
      <w:r w:rsidRPr="0028108F">
        <w:rPr>
          <w:rFonts w:ascii="Arial" w:hAnsi="Arial" w:cs="Arial"/>
          <w:i/>
          <w:szCs w:val="24"/>
          <w:lang w:val="en-GB"/>
        </w:rPr>
        <w:t xml:space="preserve"> experts in this field have time and again stated that for a transsexual the ‘rebirth’ he seeks to achieve with the assistance of medical science is only successfully completed when his newly acquired sexual identity is fully and in all respects recognised by law. </w:t>
      </w:r>
      <w:r w:rsidR="00A260A3" w:rsidRPr="0028108F">
        <w:rPr>
          <w:rFonts w:ascii="Arial" w:hAnsi="Arial" w:cs="Arial"/>
          <w:i/>
          <w:szCs w:val="24"/>
          <w:lang w:val="en-GB"/>
        </w:rPr>
        <w:t xml:space="preserve"> </w:t>
      </w:r>
      <w:r w:rsidRPr="00181CF2">
        <w:rPr>
          <w:rFonts w:ascii="Arial" w:hAnsi="Arial" w:cs="Arial"/>
          <w:i/>
          <w:szCs w:val="24"/>
          <w:lang w:val="en-GB"/>
        </w:rPr>
        <w:t>This urge for full legal recognition is part of th</w:t>
      </w:r>
      <w:r w:rsidRPr="00C57CE1">
        <w:rPr>
          <w:rFonts w:ascii="Arial" w:hAnsi="Arial" w:cs="Arial"/>
          <w:i/>
          <w:szCs w:val="24"/>
          <w:lang w:val="en-GB"/>
        </w:rPr>
        <w:t xml:space="preserve">e transsexual’s plight. </w:t>
      </w:r>
      <w:r w:rsidR="00A260A3" w:rsidRPr="0028108F">
        <w:rPr>
          <w:rFonts w:ascii="Arial" w:hAnsi="Arial" w:cs="Arial"/>
          <w:i/>
          <w:szCs w:val="24"/>
          <w:lang w:val="en-GB"/>
        </w:rPr>
        <w:t xml:space="preserve"> </w:t>
      </w:r>
      <w:r w:rsidRPr="00181CF2">
        <w:rPr>
          <w:rFonts w:ascii="Arial" w:hAnsi="Arial" w:cs="Arial"/>
          <w:i/>
          <w:szCs w:val="24"/>
          <w:lang w:val="en-GB"/>
        </w:rPr>
        <w:t>That explains why so many transsexuals, after having suffered the medical ordeals they have to endure, still muster the courage to start and keep up the often long and humiliating fight for a new legal identity.</w:t>
      </w:r>
      <w:r w:rsidRPr="00181CF2">
        <w:rPr>
          <w:rFonts w:ascii="Arial" w:hAnsi="Arial" w:cs="Arial"/>
          <w:szCs w:val="24"/>
          <w:lang w:val="en-GB"/>
        </w:rPr>
        <w:t>”</w:t>
      </w:r>
      <w:r w:rsidRPr="00181CF2">
        <w:rPr>
          <w:rStyle w:val="FootnoteReference"/>
          <w:rFonts w:ascii="Arial" w:hAnsi="Arial" w:cs="Arial"/>
          <w:szCs w:val="24"/>
          <w:lang w:val="en-GB"/>
        </w:rPr>
        <w:footnoteReference w:id="407"/>
      </w:r>
      <w:r w:rsidRPr="00181CF2">
        <w:rPr>
          <w:rFonts w:ascii="Arial" w:hAnsi="Arial" w:cs="Arial"/>
          <w:szCs w:val="24"/>
          <w:lang w:val="en-GB"/>
        </w:rPr>
        <w:t xml:space="preserve"> </w:t>
      </w:r>
    </w:p>
    <w:p w:rsidR="00E773F6" w:rsidRPr="0028108F" w:rsidRDefault="00E773F6" w:rsidP="00E773F6">
      <w:pPr>
        <w:pStyle w:val="ListParagraph"/>
        <w:snapToGrid w:val="0"/>
        <w:ind w:leftChars="0" w:left="720"/>
        <w:jc w:val="both"/>
        <w:rPr>
          <w:rFonts w:ascii="Arial" w:hAnsi="Arial" w:cs="Arial"/>
          <w:szCs w:val="24"/>
          <w:lang w:val="en-GB"/>
        </w:rPr>
      </w:pPr>
    </w:p>
    <w:p w:rsidR="00E773F6" w:rsidRPr="0028108F" w:rsidRDefault="00E773F6" w:rsidP="00E773F6">
      <w:pPr>
        <w:pStyle w:val="ListParagraph"/>
        <w:tabs>
          <w:tab w:val="left" w:pos="1418"/>
        </w:tabs>
        <w:adjustRightInd w:val="0"/>
        <w:snapToGrid w:val="0"/>
        <w:ind w:leftChars="0" w:left="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 (2): Legal gender recognition can help eliminate discrimination against transgender persons in both social and legal contexts</w:t>
      </w:r>
    </w:p>
    <w:p w:rsidR="00E773F6" w:rsidRPr="0028108F" w:rsidRDefault="00E773F6" w:rsidP="00E773F6">
      <w:pPr>
        <w:tabs>
          <w:tab w:val="left" w:pos="2552"/>
        </w:tabs>
        <w:snapToGrid w:val="0"/>
        <w:jc w:val="both"/>
        <w:rPr>
          <w:rFonts w:ascii="Arial" w:hAnsi="Arial" w:cs="Arial"/>
          <w:szCs w:val="24"/>
          <w:lang w:val="en-GB"/>
        </w:rPr>
      </w:pPr>
    </w:p>
    <w:p w:rsidR="00064BD8" w:rsidRPr="0028108F" w:rsidRDefault="008A27C8"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some jurisdictions, public awareness and acceptance of </w:t>
      </w:r>
      <w:r w:rsidR="007003F5">
        <w:rPr>
          <w:rFonts w:ascii="Arial" w:hAnsi="Arial" w:cs="Arial"/>
          <w:szCs w:val="24"/>
          <w:lang w:val="en-GB"/>
        </w:rPr>
        <w:t>LGBTI</w:t>
      </w:r>
      <w:r w:rsidRPr="0028108F">
        <w:rPr>
          <w:rFonts w:ascii="Arial" w:hAnsi="Arial" w:cs="Arial"/>
          <w:szCs w:val="24"/>
          <w:lang w:val="en-GB"/>
        </w:rPr>
        <w:t xml:space="preserve"> persons has significantly increased in recent years.</w:t>
      </w:r>
      <w:r w:rsidRPr="00181CF2">
        <w:rPr>
          <w:rStyle w:val="FootnoteReference"/>
          <w:rFonts w:ascii="Arial" w:hAnsi="Arial" w:cs="Arial"/>
          <w:szCs w:val="24"/>
          <w:lang w:val="en-GB"/>
        </w:rPr>
        <w:footnoteReference w:id="408"/>
      </w:r>
      <w:r w:rsidRPr="00181CF2">
        <w:rPr>
          <w:rFonts w:ascii="Arial" w:hAnsi="Arial" w:cs="Arial"/>
          <w:szCs w:val="24"/>
          <w:lang w:val="en-GB"/>
        </w:rPr>
        <w:t xml:space="preserve">  </w:t>
      </w:r>
      <w:r w:rsidR="00064BD8" w:rsidRPr="00C57CE1">
        <w:rPr>
          <w:rFonts w:ascii="Arial" w:hAnsi="Arial" w:cs="Arial"/>
          <w:szCs w:val="24"/>
          <w:lang w:val="en-GB"/>
        </w:rPr>
        <w:t>It has been arg</w:t>
      </w:r>
      <w:r w:rsidR="00064BD8" w:rsidRPr="0028108F">
        <w:rPr>
          <w:rFonts w:ascii="Arial" w:hAnsi="Arial" w:cs="Arial"/>
          <w:szCs w:val="24"/>
          <w:lang w:val="en-GB"/>
        </w:rPr>
        <w:t xml:space="preserve">ued </w:t>
      </w:r>
      <w:r w:rsidR="00F43065" w:rsidRPr="00181CF2">
        <w:rPr>
          <w:rFonts w:ascii="Arial" w:hAnsi="Arial" w:cs="Arial"/>
          <w:szCs w:val="24"/>
          <w:lang w:val="en-GB"/>
        </w:rPr>
        <w:t>in some overseas jurisdiction</w:t>
      </w:r>
      <w:r w:rsidR="00A260A3" w:rsidRPr="00C57CE1">
        <w:rPr>
          <w:rFonts w:ascii="Arial" w:hAnsi="Arial" w:cs="Arial"/>
          <w:szCs w:val="24"/>
          <w:lang w:val="en-GB"/>
        </w:rPr>
        <w:t>s</w:t>
      </w:r>
      <w:r w:rsidR="00F43065" w:rsidRPr="0028108F">
        <w:rPr>
          <w:rFonts w:ascii="Arial" w:hAnsi="Arial" w:cs="Arial"/>
          <w:szCs w:val="24"/>
          <w:lang w:val="en-GB"/>
        </w:rPr>
        <w:t xml:space="preserve"> </w:t>
      </w:r>
      <w:r w:rsidR="00064BD8" w:rsidRPr="00181CF2">
        <w:rPr>
          <w:rFonts w:ascii="Arial" w:hAnsi="Arial" w:cs="Arial"/>
          <w:szCs w:val="24"/>
          <w:lang w:val="en-GB"/>
        </w:rPr>
        <w:t xml:space="preserve">that the lack of recognition of transgender persons’ gender identities would be a major contributing factor to the marginalisation of </w:t>
      </w:r>
      <w:r w:rsidR="00A260A3" w:rsidRPr="00181CF2">
        <w:rPr>
          <w:rFonts w:ascii="Arial" w:hAnsi="Arial" w:cs="Arial"/>
          <w:szCs w:val="24"/>
          <w:lang w:val="en-GB"/>
        </w:rPr>
        <w:t>those</w:t>
      </w:r>
      <w:r w:rsidR="00064BD8" w:rsidRPr="00181CF2">
        <w:rPr>
          <w:rFonts w:ascii="Arial" w:hAnsi="Arial" w:cs="Arial"/>
          <w:szCs w:val="24"/>
          <w:lang w:val="en-GB"/>
        </w:rPr>
        <w:t xml:space="preserve"> people</w:t>
      </w:r>
      <w:r w:rsidRPr="00C57CE1">
        <w:rPr>
          <w:rFonts w:ascii="Arial" w:hAnsi="Arial" w:cs="Arial"/>
          <w:szCs w:val="24"/>
          <w:lang w:val="en-GB"/>
        </w:rPr>
        <w:t xml:space="preserve"> in society</w:t>
      </w:r>
      <w:r w:rsidR="00064BD8" w:rsidRPr="0028108F">
        <w:rPr>
          <w:rFonts w:ascii="Arial" w:hAnsi="Arial" w:cs="Arial"/>
          <w:szCs w:val="24"/>
          <w:lang w:val="en-GB"/>
        </w:rPr>
        <w:t>.</w:t>
      </w:r>
      <w:r w:rsidR="00064BD8" w:rsidRPr="00181CF2">
        <w:rPr>
          <w:rStyle w:val="FootnoteReference"/>
          <w:rFonts w:ascii="Arial" w:hAnsi="Arial" w:cs="Arial"/>
          <w:color w:val="000000" w:themeColor="text1"/>
          <w:szCs w:val="24"/>
          <w:lang w:val="en-GB"/>
        </w:rPr>
        <w:footnoteReference w:id="409"/>
      </w:r>
      <w:r w:rsidR="00064BD8" w:rsidRPr="00181CF2">
        <w:rPr>
          <w:rFonts w:ascii="Arial" w:hAnsi="Arial" w:cs="Arial"/>
          <w:szCs w:val="24"/>
          <w:lang w:val="en-GB"/>
        </w:rPr>
        <w:t xml:space="preserve">  Hence, some people contend that carefully designed and imple</w:t>
      </w:r>
      <w:r w:rsidR="00064BD8" w:rsidRPr="00C57CE1">
        <w:rPr>
          <w:rFonts w:ascii="Arial" w:hAnsi="Arial" w:cs="Arial"/>
          <w:szCs w:val="24"/>
          <w:lang w:val="en-GB"/>
        </w:rPr>
        <w:t>mented gender recognition policies and laws, coupled with the anti-discrimination laws, can help prevent and/or lessen the stigma, discrimination, harassment and abuse transgender people often experience.</w:t>
      </w:r>
      <w:r w:rsidR="00064BD8" w:rsidRPr="0028108F">
        <w:rPr>
          <w:rStyle w:val="FootnoteReference"/>
          <w:rFonts w:ascii="Arial" w:hAnsi="Arial" w:cs="Arial"/>
          <w:color w:val="000000" w:themeColor="text1"/>
          <w:szCs w:val="24"/>
          <w:lang w:val="en-GB"/>
        </w:rPr>
        <w:footnoteReference w:id="410"/>
      </w:r>
      <w:r w:rsidR="00064BD8" w:rsidRPr="0028108F">
        <w:rPr>
          <w:rFonts w:ascii="Arial" w:hAnsi="Arial" w:cs="Arial"/>
          <w:szCs w:val="24"/>
          <w:lang w:val="en-GB"/>
        </w:rPr>
        <w:t xml:space="preserve">  Gender recognition is also considered essential in order for many trans</w:t>
      </w:r>
      <w:r w:rsidR="006C7303" w:rsidRPr="0028108F">
        <w:rPr>
          <w:rFonts w:ascii="Arial" w:hAnsi="Arial" w:cs="Arial"/>
          <w:szCs w:val="24"/>
          <w:lang w:val="en-GB"/>
        </w:rPr>
        <w:t>gender</w:t>
      </w:r>
      <w:r w:rsidR="00064BD8" w:rsidRPr="0028108F">
        <w:rPr>
          <w:rFonts w:ascii="Arial" w:hAnsi="Arial" w:cs="Arial"/>
          <w:szCs w:val="24"/>
          <w:lang w:val="en-GB"/>
        </w:rPr>
        <w:t xml:space="preserve"> pe</w:t>
      </w:r>
      <w:r w:rsidR="006C7303" w:rsidRPr="0028108F">
        <w:rPr>
          <w:rFonts w:ascii="Arial" w:hAnsi="Arial" w:cs="Arial"/>
          <w:szCs w:val="24"/>
          <w:lang w:val="en-GB"/>
        </w:rPr>
        <w:t>rsons</w:t>
      </w:r>
      <w:r w:rsidR="00064BD8" w:rsidRPr="0028108F">
        <w:rPr>
          <w:rFonts w:ascii="Arial" w:hAnsi="Arial" w:cs="Arial"/>
          <w:szCs w:val="24"/>
          <w:lang w:val="en-GB"/>
        </w:rPr>
        <w:t xml:space="preserve"> to be able to live a life of dignity and respect (see</w:t>
      </w:r>
      <w:r w:rsidR="00D75832" w:rsidRPr="0028108F">
        <w:rPr>
          <w:rFonts w:ascii="Arial" w:hAnsi="Arial" w:cs="Arial"/>
          <w:szCs w:val="24"/>
          <w:lang w:val="en-GB"/>
        </w:rPr>
        <w:t xml:space="preserve"> also</w:t>
      </w:r>
      <w:r w:rsidR="00064BD8" w:rsidRPr="0028108F">
        <w:rPr>
          <w:rFonts w:ascii="Arial" w:hAnsi="Arial" w:cs="Arial"/>
          <w:szCs w:val="24"/>
          <w:lang w:val="en-GB"/>
        </w:rPr>
        <w:t xml:space="preserve"> the discussion in Argument (3) below</w:t>
      </w:r>
      <w:r w:rsidR="006C7303" w:rsidRPr="0028108F">
        <w:rPr>
          <w:rFonts w:ascii="Arial" w:hAnsi="Arial" w:cs="Arial"/>
          <w:szCs w:val="24"/>
          <w:lang w:val="en-GB"/>
        </w:rPr>
        <w:t xml:space="preserve"> concerning human rights of transgender persons</w:t>
      </w:r>
      <w:r w:rsidR="00064BD8" w:rsidRPr="0028108F">
        <w:rPr>
          <w:rFonts w:ascii="Arial" w:hAnsi="Arial" w:cs="Arial"/>
          <w:szCs w:val="24"/>
          <w:lang w:val="en-GB"/>
        </w:rPr>
        <w:t>).</w:t>
      </w:r>
    </w:p>
    <w:p w:rsidR="00F43065" w:rsidRPr="0028108F" w:rsidRDefault="00F43065"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F43065" w:rsidRPr="0028108F" w:rsidRDefault="00B73144" w:rsidP="00F43065">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eastAsiaTheme="minorEastAsia" w:hAnsi="Arial" w:cs="Arial"/>
          <w:kern w:val="0"/>
          <w:szCs w:val="24"/>
          <w:lang w:val="en-GB"/>
        </w:rPr>
        <w:t>Dr</w:t>
      </w:r>
      <w:r w:rsidR="000C2B10" w:rsidRPr="0028108F">
        <w:rPr>
          <w:rFonts w:ascii="Arial" w:eastAsiaTheme="minorEastAsia" w:hAnsi="Arial" w:cs="Arial"/>
          <w:kern w:val="0"/>
          <w:szCs w:val="24"/>
          <w:lang w:val="en-GB"/>
        </w:rPr>
        <w:t xml:space="preserve"> </w:t>
      </w:r>
      <w:r w:rsidR="00F43065" w:rsidRPr="00181CF2">
        <w:rPr>
          <w:rFonts w:ascii="Arial" w:eastAsiaTheme="minorEastAsia" w:hAnsi="Arial" w:cs="Arial"/>
          <w:kern w:val="0"/>
          <w:szCs w:val="24"/>
          <w:lang w:val="en-GB"/>
        </w:rPr>
        <w:t xml:space="preserve">Sam Winter </w:t>
      </w:r>
      <w:r w:rsidR="00D75832" w:rsidRPr="00C57CE1">
        <w:rPr>
          <w:rFonts w:ascii="Arial" w:eastAsiaTheme="minorEastAsia" w:hAnsi="Arial" w:cs="Arial"/>
          <w:kern w:val="0"/>
          <w:szCs w:val="24"/>
          <w:lang w:val="en-GB"/>
        </w:rPr>
        <w:t xml:space="preserve">has </w:t>
      </w:r>
      <w:r w:rsidR="00F43065" w:rsidRPr="0028108F">
        <w:rPr>
          <w:rFonts w:ascii="Arial" w:eastAsiaTheme="minorEastAsia" w:hAnsi="Arial" w:cs="Arial"/>
          <w:kern w:val="0"/>
          <w:szCs w:val="24"/>
          <w:lang w:val="en-GB"/>
        </w:rPr>
        <w:t>noted that:</w:t>
      </w:r>
    </w:p>
    <w:p w:rsidR="00F43065" w:rsidRPr="0028108F" w:rsidRDefault="00F43065" w:rsidP="00F43065">
      <w:pPr>
        <w:pStyle w:val="ListParagraph"/>
        <w:tabs>
          <w:tab w:val="left" w:pos="1418"/>
          <w:tab w:val="left" w:pos="2552"/>
        </w:tabs>
        <w:adjustRightInd w:val="0"/>
        <w:snapToGrid w:val="0"/>
        <w:ind w:leftChars="0" w:left="0"/>
        <w:jc w:val="both"/>
        <w:rPr>
          <w:rFonts w:ascii="Arial" w:eastAsiaTheme="minorEastAsia" w:hAnsi="Arial" w:cs="Arial"/>
          <w:kern w:val="0"/>
          <w:szCs w:val="24"/>
          <w:lang w:val="en-GB"/>
        </w:rPr>
      </w:pPr>
    </w:p>
    <w:p w:rsidR="00F43065" w:rsidRPr="0028108F" w:rsidRDefault="00F43065" w:rsidP="0028108F">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eastAsiaTheme="minorEastAsia" w:hAnsi="Arial" w:cs="Arial"/>
          <w:kern w:val="0"/>
          <w:szCs w:val="24"/>
          <w:lang w:val="en-GB"/>
        </w:rPr>
        <w:t>“</w:t>
      </w:r>
      <w:r w:rsidRPr="0028108F">
        <w:rPr>
          <w:rFonts w:ascii="Arial" w:hAnsi="Arial" w:cs="Arial"/>
          <w:i/>
          <w:szCs w:val="24"/>
          <w:lang w:val="en-GB"/>
        </w:rPr>
        <w:t>Throughout much of the world, transsexual people experience daily stigma, prejudice, discrimination, harassment and abuse.  In much of the world they live in fear of transphobic violence.  Each of these alone or in combination often lead to poor emotional health and wellbeing, and drive transsexual people towards the margins (social, economic and legal) of their communities, and into situations (including sex work) and behaviour patterns (including unsafe sex) that put them at risk (including of sexually transmitted infections).</w:t>
      </w:r>
      <w:r w:rsidRPr="0028108F">
        <w:rPr>
          <w:rFonts w:ascii="Arial" w:hAnsi="Arial" w:cs="Arial"/>
          <w:szCs w:val="24"/>
          <w:lang w:val="en-GB"/>
        </w:rPr>
        <w:t>”</w:t>
      </w:r>
      <w:r w:rsidRPr="0028108F">
        <w:rPr>
          <w:rStyle w:val="FootnoteReference"/>
          <w:rFonts w:ascii="Arial" w:hAnsi="Arial" w:cs="Arial"/>
          <w:kern w:val="0"/>
          <w:szCs w:val="24"/>
          <w:lang w:val="en-GB"/>
        </w:rPr>
        <w:footnoteReference w:id="411"/>
      </w:r>
    </w:p>
    <w:p w:rsidR="00064BD8" w:rsidRPr="0028108F" w:rsidRDefault="00064BD8"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F43065" w:rsidRPr="00181CF2" w:rsidRDefault="00F43065"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eastAsiaTheme="minorEastAsia" w:hAnsi="Arial" w:cs="Arial"/>
          <w:kern w:val="0"/>
          <w:szCs w:val="24"/>
          <w:lang w:val="en-GB"/>
        </w:rPr>
        <w:t>As far as Hong Kong’s situation is concerned, it has been observed that transgender persons do experience harassment and abuse, find it difficult to access rented housing, banking and other basic services.</w:t>
      </w:r>
      <w:r w:rsidRPr="00181CF2">
        <w:rPr>
          <w:rStyle w:val="FootnoteReference"/>
          <w:rFonts w:ascii="Arial" w:hAnsi="Arial" w:cs="Arial"/>
          <w:kern w:val="0"/>
          <w:szCs w:val="24"/>
          <w:lang w:val="en-GB"/>
        </w:rPr>
        <w:footnoteReference w:id="412"/>
      </w:r>
      <w:r w:rsidRPr="00181CF2">
        <w:rPr>
          <w:rFonts w:ascii="Arial" w:eastAsiaTheme="minorEastAsia" w:hAnsi="Arial" w:cs="Arial"/>
          <w:kern w:val="0"/>
          <w:szCs w:val="24"/>
          <w:lang w:val="en-GB"/>
        </w:rPr>
        <w:t xml:space="preserve">  </w:t>
      </w:r>
      <w:r w:rsidRPr="00C57CE1">
        <w:rPr>
          <w:rFonts w:ascii="Arial" w:hAnsi="Arial" w:cs="Arial"/>
          <w:szCs w:val="24"/>
          <w:lang w:val="en-GB"/>
        </w:rPr>
        <w:t xml:space="preserve">In particular, </w:t>
      </w:r>
      <w:r w:rsidR="000C2B10" w:rsidRPr="0028108F">
        <w:rPr>
          <w:rFonts w:ascii="Arial" w:hAnsi="Arial" w:cs="Arial"/>
          <w:szCs w:val="24"/>
          <w:lang w:val="en-GB"/>
        </w:rPr>
        <w:t xml:space="preserve">some </w:t>
      </w:r>
      <w:r w:rsidR="00D75832" w:rsidRPr="00181CF2">
        <w:rPr>
          <w:rFonts w:ascii="Arial" w:hAnsi="Arial" w:cs="Arial"/>
          <w:szCs w:val="24"/>
          <w:lang w:val="en-GB"/>
        </w:rPr>
        <w:t xml:space="preserve">have </w:t>
      </w:r>
      <w:r w:rsidR="000C2B10" w:rsidRPr="0028108F">
        <w:rPr>
          <w:rFonts w:ascii="Arial" w:hAnsi="Arial" w:cs="Arial"/>
          <w:szCs w:val="24"/>
          <w:lang w:val="en-GB"/>
        </w:rPr>
        <w:t xml:space="preserve">noted that </w:t>
      </w:r>
      <w:r w:rsidRPr="00181CF2">
        <w:rPr>
          <w:rFonts w:ascii="Arial" w:hAnsi="Arial" w:cs="Arial"/>
          <w:szCs w:val="24"/>
          <w:lang w:val="en-GB"/>
        </w:rPr>
        <w:t>discrimination</w:t>
      </w:r>
      <w:r w:rsidR="000C2B10" w:rsidRPr="0028108F">
        <w:rPr>
          <w:rFonts w:ascii="Arial" w:hAnsi="Arial" w:cs="Arial"/>
          <w:szCs w:val="24"/>
          <w:lang w:val="en-GB"/>
        </w:rPr>
        <w:t xml:space="preserve"> against transgender persons</w:t>
      </w:r>
      <w:r w:rsidRPr="00181CF2">
        <w:rPr>
          <w:rFonts w:ascii="Arial" w:hAnsi="Arial" w:cs="Arial"/>
          <w:szCs w:val="24"/>
          <w:lang w:val="en-GB"/>
        </w:rPr>
        <w:t xml:space="preserve"> in the workplace is prevalent, especially during or after </w:t>
      </w:r>
      <w:r w:rsidR="000C2B10" w:rsidRPr="0028108F">
        <w:rPr>
          <w:rFonts w:ascii="Arial" w:hAnsi="Arial" w:cs="Arial"/>
          <w:szCs w:val="24"/>
          <w:lang w:val="en-GB"/>
        </w:rPr>
        <w:t xml:space="preserve">their </w:t>
      </w:r>
      <w:r w:rsidRPr="00181CF2">
        <w:rPr>
          <w:rFonts w:ascii="Arial" w:hAnsi="Arial" w:cs="Arial"/>
          <w:szCs w:val="24"/>
          <w:lang w:val="en-GB"/>
        </w:rPr>
        <w:t>transition</w:t>
      </w:r>
      <w:r w:rsidRPr="0028108F">
        <w:rPr>
          <w:rFonts w:ascii="Arial" w:hAnsi="Arial" w:cs="Arial"/>
          <w:szCs w:val="24"/>
          <w:lang w:val="en-GB"/>
        </w:rPr>
        <w:t>.</w:t>
      </w:r>
      <w:r w:rsidRPr="00181CF2">
        <w:rPr>
          <w:rFonts w:ascii="Arial" w:hAnsi="Arial" w:cs="Arial"/>
          <w:szCs w:val="24"/>
          <w:vertAlign w:val="superscript"/>
          <w:lang w:val="en-GB"/>
        </w:rPr>
        <w:footnoteReference w:id="413"/>
      </w:r>
      <w:r w:rsidRPr="00181CF2">
        <w:rPr>
          <w:rFonts w:ascii="Arial" w:hAnsi="Arial" w:cs="Arial"/>
          <w:szCs w:val="24"/>
          <w:lang w:val="en-GB"/>
        </w:rPr>
        <w:t xml:space="preserve"> </w:t>
      </w:r>
      <w:r w:rsidRPr="0028108F">
        <w:rPr>
          <w:rFonts w:ascii="Arial" w:hAnsi="Arial" w:cs="Arial"/>
          <w:szCs w:val="24"/>
          <w:lang w:val="en-GB"/>
        </w:rPr>
        <w:t xml:space="preserve"> </w:t>
      </w:r>
      <w:r w:rsidRPr="00181CF2">
        <w:rPr>
          <w:rFonts w:ascii="Arial" w:hAnsi="Arial" w:cs="Arial"/>
          <w:szCs w:val="24"/>
          <w:lang w:val="en-GB"/>
        </w:rPr>
        <w:t xml:space="preserve">It is also observed that </w:t>
      </w:r>
      <w:r w:rsidR="00D75832" w:rsidRPr="0028108F">
        <w:rPr>
          <w:rFonts w:ascii="Arial" w:hAnsi="Arial" w:cs="Arial"/>
          <w:szCs w:val="24"/>
          <w:lang w:val="en-GB"/>
        </w:rPr>
        <w:t xml:space="preserve">many </w:t>
      </w:r>
      <w:r w:rsidRPr="0028108F">
        <w:rPr>
          <w:rFonts w:ascii="Arial" w:hAnsi="Arial" w:cs="Arial"/>
          <w:szCs w:val="24"/>
          <w:lang w:val="en-GB"/>
        </w:rPr>
        <w:t>transgender persons in Hong Kong are unemployed, and the job</w:t>
      </w:r>
      <w:r w:rsidR="00D75832" w:rsidRPr="0028108F">
        <w:rPr>
          <w:rFonts w:ascii="Arial" w:hAnsi="Arial" w:cs="Arial"/>
          <w:szCs w:val="24"/>
          <w:lang w:val="en-GB"/>
        </w:rPr>
        <w:t xml:space="preserve"> types that are</w:t>
      </w:r>
      <w:r w:rsidRPr="0028108F">
        <w:rPr>
          <w:rFonts w:ascii="Arial" w:hAnsi="Arial" w:cs="Arial"/>
          <w:szCs w:val="24"/>
          <w:lang w:val="en-GB"/>
        </w:rPr>
        <w:t xml:space="preserve"> available </w:t>
      </w:r>
      <w:r w:rsidR="00D75832" w:rsidRPr="0028108F">
        <w:rPr>
          <w:rFonts w:ascii="Arial" w:hAnsi="Arial" w:cs="Arial"/>
          <w:szCs w:val="24"/>
          <w:lang w:val="en-GB"/>
        </w:rPr>
        <w:t>to</w:t>
      </w:r>
      <w:r w:rsidRPr="0028108F">
        <w:rPr>
          <w:rFonts w:ascii="Arial" w:hAnsi="Arial" w:cs="Arial"/>
          <w:szCs w:val="24"/>
          <w:lang w:val="en-GB"/>
        </w:rPr>
        <w:t xml:space="preserve"> them are </w:t>
      </w:r>
      <w:r w:rsidR="00D75832" w:rsidRPr="0028108F">
        <w:rPr>
          <w:rFonts w:ascii="Arial" w:hAnsi="Arial" w:cs="Arial"/>
          <w:szCs w:val="24"/>
          <w:lang w:val="en-GB"/>
        </w:rPr>
        <w:t>limited</w:t>
      </w:r>
      <w:r w:rsidRPr="0028108F">
        <w:rPr>
          <w:rFonts w:ascii="Arial" w:hAnsi="Arial" w:cs="Arial"/>
          <w:szCs w:val="24"/>
          <w:lang w:val="en-GB"/>
        </w:rPr>
        <w:t xml:space="preserve">.  Many of them </w:t>
      </w:r>
      <w:r w:rsidR="00D75832" w:rsidRPr="0028108F">
        <w:rPr>
          <w:rFonts w:ascii="Arial" w:hAnsi="Arial" w:cs="Arial"/>
          <w:szCs w:val="24"/>
          <w:lang w:val="en-GB"/>
        </w:rPr>
        <w:t>may be</w:t>
      </w:r>
      <w:r w:rsidRPr="0028108F">
        <w:rPr>
          <w:rFonts w:ascii="Arial" w:hAnsi="Arial" w:cs="Arial"/>
          <w:szCs w:val="24"/>
          <w:lang w:val="en-GB"/>
        </w:rPr>
        <w:t xml:space="preserve"> ostracised from the labour market as a result of discrimination, and they might engage in sex</w:t>
      </w:r>
      <w:r w:rsidR="00D75832" w:rsidRPr="0028108F">
        <w:rPr>
          <w:rFonts w:ascii="Arial" w:hAnsi="Arial" w:cs="Arial"/>
          <w:szCs w:val="24"/>
          <w:lang w:val="en-GB"/>
        </w:rPr>
        <w:t>-</w:t>
      </w:r>
      <w:r w:rsidRPr="0028108F">
        <w:rPr>
          <w:rFonts w:ascii="Arial" w:hAnsi="Arial" w:cs="Arial"/>
          <w:szCs w:val="24"/>
          <w:lang w:val="en-GB"/>
        </w:rPr>
        <w:t>works to make ends meet, but this expose</w:t>
      </w:r>
      <w:r w:rsidR="00D75832" w:rsidRPr="0028108F">
        <w:rPr>
          <w:rFonts w:ascii="Arial" w:hAnsi="Arial" w:cs="Arial"/>
          <w:szCs w:val="24"/>
          <w:lang w:val="en-GB"/>
        </w:rPr>
        <w:t>s</w:t>
      </w:r>
      <w:r w:rsidRPr="0028108F">
        <w:rPr>
          <w:rFonts w:ascii="Arial" w:hAnsi="Arial" w:cs="Arial"/>
          <w:szCs w:val="24"/>
          <w:lang w:val="en-GB"/>
        </w:rPr>
        <w:t xml:space="preserve"> them to the risk of harassment, abuse, and violence.</w:t>
      </w:r>
      <w:r w:rsidRPr="00181CF2">
        <w:rPr>
          <w:rStyle w:val="FootnoteReference"/>
          <w:rFonts w:ascii="Arial" w:hAnsi="Arial" w:cs="Arial"/>
          <w:color w:val="000000" w:themeColor="text1"/>
          <w:szCs w:val="24"/>
          <w:lang w:val="en-GB"/>
        </w:rPr>
        <w:footnoteReference w:id="414"/>
      </w:r>
      <w:r w:rsidRPr="00181CF2">
        <w:rPr>
          <w:rFonts w:ascii="Arial" w:hAnsi="Arial" w:cs="Arial"/>
          <w:szCs w:val="24"/>
          <w:lang w:val="en-GB"/>
        </w:rPr>
        <w:t xml:space="preserve"> </w:t>
      </w:r>
      <w:r w:rsidR="007215BD" w:rsidRPr="0028108F">
        <w:rPr>
          <w:rFonts w:ascii="Arial" w:hAnsi="Arial" w:cs="Arial"/>
          <w:szCs w:val="24"/>
          <w:lang w:val="en-GB"/>
        </w:rPr>
        <w:t xml:space="preserve"> </w:t>
      </w:r>
      <w:r w:rsidR="00697450" w:rsidRPr="00181CF2">
        <w:rPr>
          <w:rFonts w:ascii="Arial" w:hAnsi="Arial" w:cs="Arial"/>
          <w:szCs w:val="24"/>
          <w:lang w:val="en-GB"/>
        </w:rPr>
        <w:t xml:space="preserve">In a </w:t>
      </w:r>
      <w:r w:rsidR="00697450" w:rsidRPr="00C57CE1">
        <w:rPr>
          <w:rFonts w:ascii="Arial" w:hAnsi="Arial" w:cs="Arial"/>
          <w:szCs w:val="24"/>
          <w:lang w:val="en-GB"/>
        </w:rPr>
        <w:t xml:space="preserve">research study conducted </w:t>
      </w:r>
      <w:r w:rsidR="00697450" w:rsidRPr="0028108F">
        <w:rPr>
          <w:rFonts w:ascii="Arial" w:hAnsi="Arial" w:cs="Arial"/>
          <w:szCs w:val="24"/>
          <w:lang w:val="en-GB"/>
        </w:rPr>
        <w:t>in 2011 and 2012 by Community Business, a non-profit organisation in Hong Kong</w:t>
      </w:r>
      <w:r w:rsidR="00697450" w:rsidRPr="00181CF2">
        <w:rPr>
          <w:rFonts w:ascii="Arial" w:hAnsi="Arial" w:cs="Arial"/>
          <w:szCs w:val="24"/>
          <w:lang w:val="en-GB"/>
        </w:rPr>
        <w:t xml:space="preserve">, </w:t>
      </w:r>
      <w:r w:rsidR="00D75832" w:rsidRPr="00C57CE1">
        <w:rPr>
          <w:rFonts w:ascii="Arial" w:hAnsi="Arial" w:cs="Arial"/>
          <w:szCs w:val="24"/>
          <w:lang w:val="en-GB"/>
        </w:rPr>
        <w:t xml:space="preserve">it was found that </w:t>
      </w:r>
      <w:r w:rsidR="00697450" w:rsidRPr="0028108F">
        <w:rPr>
          <w:rFonts w:ascii="Arial" w:hAnsi="Arial" w:cs="Arial"/>
          <w:szCs w:val="24"/>
          <w:lang w:val="en-GB"/>
        </w:rPr>
        <w:t xml:space="preserve">the Hong Kong workplace remained intimidating and not inclusive </w:t>
      </w:r>
      <w:r w:rsidR="00D75832" w:rsidRPr="0028108F">
        <w:rPr>
          <w:rFonts w:ascii="Arial" w:hAnsi="Arial" w:cs="Arial"/>
          <w:szCs w:val="24"/>
          <w:lang w:val="en-GB"/>
        </w:rPr>
        <w:t>for</w:t>
      </w:r>
      <w:r w:rsidR="00697450" w:rsidRPr="0028108F">
        <w:rPr>
          <w:rFonts w:ascii="Arial" w:hAnsi="Arial" w:cs="Arial"/>
          <w:szCs w:val="24"/>
          <w:lang w:val="en-GB"/>
        </w:rPr>
        <w:t xml:space="preserve"> LGBT</w:t>
      </w:r>
      <w:r w:rsidR="009C72E7" w:rsidRPr="0028108F">
        <w:rPr>
          <w:rFonts w:ascii="Arial" w:hAnsi="Arial" w:cs="Arial"/>
          <w:szCs w:val="24"/>
          <w:lang w:val="en-GB"/>
        </w:rPr>
        <w:t>I</w:t>
      </w:r>
      <w:r w:rsidR="00697450" w:rsidRPr="0028108F">
        <w:rPr>
          <w:rFonts w:ascii="Arial" w:hAnsi="Arial" w:cs="Arial"/>
          <w:szCs w:val="24"/>
          <w:lang w:val="en-GB"/>
        </w:rPr>
        <w:t xml:space="preserve"> employees</w:t>
      </w:r>
      <w:r w:rsidR="00D75832" w:rsidRPr="0028108F">
        <w:rPr>
          <w:rFonts w:ascii="Arial" w:hAnsi="Arial" w:cs="Arial"/>
          <w:szCs w:val="24"/>
          <w:lang w:val="en-GB"/>
        </w:rPr>
        <w:t>,</w:t>
      </w:r>
      <w:r w:rsidR="00697450" w:rsidRPr="0028108F">
        <w:rPr>
          <w:rFonts w:ascii="Arial" w:hAnsi="Arial" w:cs="Arial"/>
          <w:szCs w:val="24"/>
          <w:lang w:val="en-GB"/>
        </w:rPr>
        <w:t xml:space="preserve"> and the majority of LGBT</w:t>
      </w:r>
      <w:r w:rsidR="009C72E7" w:rsidRPr="0028108F">
        <w:rPr>
          <w:rFonts w:ascii="Arial" w:hAnsi="Arial" w:cs="Arial"/>
          <w:szCs w:val="24"/>
          <w:lang w:val="en-GB"/>
        </w:rPr>
        <w:t>I</w:t>
      </w:r>
      <w:r w:rsidR="00697450" w:rsidRPr="0028108F">
        <w:rPr>
          <w:rFonts w:ascii="Arial" w:hAnsi="Arial" w:cs="Arial"/>
          <w:szCs w:val="24"/>
          <w:lang w:val="en-GB"/>
        </w:rPr>
        <w:t xml:space="preserve"> employees were not open at work</w:t>
      </w:r>
      <w:r w:rsidR="00D75832" w:rsidRPr="0028108F">
        <w:rPr>
          <w:rFonts w:ascii="Arial" w:hAnsi="Arial" w:cs="Arial"/>
          <w:szCs w:val="24"/>
          <w:lang w:val="en-GB"/>
        </w:rPr>
        <w:t>,</w:t>
      </w:r>
      <w:r w:rsidR="00697450" w:rsidRPr="0028108F">
        <w:rPr>
          <w:rFonts w:ascii="Arial" w:hAnsi="Arial" w:cs="Arial"/>
          <w:szCs w:val="24"/>
          <w:lang w:val="en-GB"/>
        </w:rPr>
        <w:t xml:space="preserve"> worrying about negative consequences such as discrimination and exclusion.</w:t>
      </w:r>
      <w:r w:rsidR="00697450" w:rsidRPr="00181CF2">
        <w:rPr>
          <w:rStyle w:val="FootnoteReference"/>
          <w:rFonts w:ascii="Arial" w:hAnsi="Arial" w:cs="Arial"/>
          <w:szCs w:val="24"/>
          <w:lang w:val="en-GB"/>
        </w:rPr>
        <w:footnoteReference w:id="415"/>
      </w:r>
    </w:p>
    <w:p w:rsidR="00F43065" w:rsidRPr="0028108F" w:rsidRDefault="00F43065"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C57CE1">
        <w:rPr>
          <w:rFonts w:ascii="Arial" w:hAnsi="Arial" w:cs="Arial"/>
          <w:szCs w:val="24"/>
          <w:lang w:val="en-GB"/>
        </w:rPr>
        <w:t>Robyn Emerton</w:t>
      </w:r>
      <w:r w:rsidR="00D75832" w:rsidRPr="0028108F">
        <w:rPr>
          <w:rFonts w:ascii="Arial" w:hAnsi="Arial" w:cs="Arial"/>
          <w:szCs w:val="24"/>
          <w:lang w:val="en-GB"/>
        </w:rPr>
        <w:t xml:space="preserve"> has commented</w:t>
      </w:r>
      <w:r w:rsidRPr="0028108F">
        <w:rPr>
          <w:rFonts w:ascii="Arial" w:hAnsi="Arial" w:cs="Arial"/>
          <w:szCs w:val="24"/>
          <w:lang w:val="en-GB"/>
        </w:rPr>
        <w:t>:</w:t>
      </w:r>
    </w:p>
    <w:p w:rsidR="00E773F6" w:rsidRPr="0028108F" w:rsidRDefault="00E773F6" w:rsidP="00E773F6">
      <w:pPr>
        <w:tabs>
          <w:tab w:val="left" w:pos="2552"/>
        </w:tabs>
        <w:snapToGrid w:val="0"/>
        <w:jc w:val="both"/>
        <w:rPr>
          <w:rFonts w:ascii="Arial" w:hAnsi="Arial" w:cs="Arial"/>
          <w:szCs w:val="24"/>
          <w:lang w:val="en-GB"/>
        </w:rPr>
      </w:pP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b/>
          <w:szCs w:val="24"/>
          <w:lang w:val="en-GB"/>
        </w:rPr>
      </w:pPr>
      <w:r w:rsidRPr="0028108F">
        <w:rPr>
          <w:rFonts w:ascii="Arial" w:hAnsi="Arial" w:cs="Arial"/>
          <w:szCs w:val="24"/>
          <w:lang w:val="en-GB"/>
        </w:rPr>
        <w:t>“</w:t>
      </w:r>
      <w:r w:rsidRPr="0028108F">
        <w:rPr>
          <w:rFonts w:ascii="Arial" w:hAnsi="Arial" w:cs="Arial"/>
          <w:i/>
          <w:szCs w:val="24"/>
          <w:lang w:val="en-GB"/>
        </w:rPr>
        <w:t>[Hong Kong’s] lack of legal recognition has a number of consequences.  First, the fact that their birth certificate still shows their birth sex renders transgender people vulnerable to prejudice and discrimination whenever their transgender status is revealed against their wishes.  Second, the sex on their birth certificate determines their status for all legal purposes, including for the purposes of … sexual offences legislation</w:t>
      </w:r>
      <w:r w:rsidR="00724CB2">
        <w:rPr>
          <w:rFonts w:ascii="Arial" w:hAnsi="Arial" w:cs="Arial"/>
          <w:i/>
          <w:szCs w:val="24"/>
          <w:lang w:val="en-GB"/>
        </w:rPr>
        <w:t xml:space="preserve"> </w:t>
      </w:r>
      <w:r w:rsidRPr="0028108F">
        <w:rPr>
          <w:rFonts w:ascii="Arial" w:hAnsi="Arial" w:cs="Arial"/>
          <w:i/>
          <w:szCs w:val="24"/>
          <w:lang w:val="en-GB"/>
        </w:rPr>
        <w:t>… Thus, a post-operative transgender woman technically cannot be raped under Hong Kong law, as the crime of rape can only be committed by a man against a woman.  Despite having a vagina, a post-operative transsexual woman is still legally a man in Hong Kong.  She could be indecently assaulted, but this is subject to only 10 years’ imprisonment, compared to life imprisonment for rape</w:t>
      </w:r>
      <w:r w:rsidR="00724CB2">
        <w:rPr>
          <w:rFonts w:ascii="Arial" w:hAnsi="Arial" w:cs="Arial"/>
          <w:i/>
          <w:szCs w:val="24"/>
          <w:lang w:val="en-GB"/>
        </w:rPr>
        <w:t xml:space="preserve"> </w:t>
      </w:r>
      <w:r w:rsidRPr="0028108F">
        <w:rPr>
          <w:rFonts w:ascii="Arial" w:hAnsi="Arial" w:cs="Arial"/>
          <w:i/>
          <w:szCs w:val="24"/>
          <w:lang w:val="en-GB"/>
        </w:rPr>
        <w:t>… Finally, the situation gives rise to a fundamental discrepancy between the legal status and personal identity of transgender people, which the European Court of Human Rights held in 2002 was a serious interference with their private life, one of the human rights guaranteed in the European Convention on Human Rights, and also, importantly, in the Hong Kong’s Bill of Rights Ordinance.</w:t>
      </w:r>
      <w:r w:rsidRPr="0028108F">
        <w:rPr>
          <w:rFonts w:ascii="Arial" w:hAnsi="Arial" w:cs="Arial"/>
          <w:szCs w:val="24"/>
          <w:lang w:val="en-GB"/>
        </w:rPr>
        <w:t>”</w:t>
      </w:r>
      <w:r w:rsidRPr="0028108F">
        <w:rPr>
          <w:rStyle w:val="FootnoteReference"/>
          <w:rFonts w:ascii="Arial" w:hAnsi="Arial" w:cs="Arial"/>
          <w:szCs w:val="24"/>
          <w:lang w:val="en-GB"/>
        </w:rPr>
        <w:footnoteReference w:id="416"/>
      </w: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another article, Robyn Emerton explained the practical difficulties facing transgender persons in their daily lives when a change of gender marker on their birth certificates is disallowed under the existing laws of Hong Kong: </w:t>
      </w:r>
    </w:p>
    <w:p w:rsidR="00E773F6" w:rsidRPr="0028108F" w:rsidRDefault="00E773F6" w:rsidP="00E773F6">
      <w:pPr>
        <w:tabs>
          <w:tab w:val="left" w:pos="1418"/>
        </w:tabs>
        <w:snapToGrid w:val="0"/>
        <w:jc w:val="both"/>
        <w:rPr>
          <w:rFonts w:ascii="Arial" w:hAnsi="Arial" w:cs="Arial"/>
          <w:szCs w:val="24"/>
          <w:lang w:val="en-GB"/>
        </w:rPr>
      </w:pP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“[T]he existence of the compulsory identity card scheme minimises the occasions on which the birth certificate is relied upon for identification purposes in Hong Kong.  However, a transgender person must still disclose the sex recorded on their birth certificate for various official purposes, as well as when they enter into certain types of insurance contract, which might otherwise be rendered invalid.  In addition, their birth certificate remains the mechanism by which their sex is determined for the purpose of the law. This situation results in a fundamental discrepancy between their legal status and personal identity, which can be most distressing to transgender persons. …</w:t>
      </w:r>
    </w:p>
    <w:p w:rsidR="00E773F6" w:rsidRPr="0028108F" w:rsidRDefault="00E773F6" w:rsidP="00E773F6">
      <w:pPr>
        <w:tabs>
          <w:tab w:val="left" w:pos="1418"/>
        </w:tabs>
        <w:snapToGrid w:val="0"/>
        <w:ind w:left="1699" w:hangingChars="708" w:hanging="1699"/>
        <w:jc w:val="both"/>
        <w:rPr>
          <w:rFonts w:ascii="Arial" w:hAnsi="Arial" w:cs="Arial"/>
          <w:i/>
          <w:szCs w:val="24"/>
          <w:lang w:val="en-GB"/>
        </w:rPr>
      </w:pPr>
    </w:p>
    <w:p w:rsidR="00F43065" w:rsidRPr="0028108F" w:rsidRDefault="00E773F6" w:rsidP="00E773F6">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They cannot even use a public toilet or changing facility without fearing that they might be charged of an offence.  They may find that even if they have a vagina, they cannot be raped under the law.  They are vulnerable to discrimination whenever their transgender history is disclosed, added to the general prejudice in a society which labels them as ‘evil’ or ‘abnormal’ and even suggests that they might be committing an offence by wearing the clothes they wish to wear, as everyone else is free to do. …”</w:t>
      </w:r>
      <w:r w:rsidRPr="0028108F">
        <w:rPr>
          <w:rStyle w:val="FootnoteReference"/>
          <w:rFonts w:ascii="Arial" w:hAnsi="Arial" w:cs="Arial"/>
          <w:szCs w:val="24"/>
          <w:lang w:val="en-GB"/>
        </w:rPr>
        <w:footnoteReference w:id="417"/>
      </w:r>
    </w:p>
    <w:p w:rsidR="00F43065" w:rsidRPr="0028108F" w:rsidRDefault="00F43065" w:rsidP="0028108F">
      <w:pPr>
        <w:tabs>
          <w:tab w:val="left" w:pos="851"/>
        </w:tabs>
        <w:snapToGrid w:val="0"/>
        <w:ind w:left="851" w:rightChars="212" w:right="509"/>
        <w:jc w:val="both"/>
        <w:rPr>
          <w:rFonts w:ascii="Arial" w:hAnsi="Arial" w:cs="Arial"/>
          <w:szCs w:val="24"/>
          <w:lang w:val="en-GB"/>
        </w:rPr>
      </w:pPr>
    </w:p>
    <w:p w:rsidR="00E773F6" w:rsidRPr="0028108F" w:rsidRDefault="00E773F6" w:rsidP="00E773F6">
      <w:pPr>
        <w:tabs>
          <w:tab w:val="left" w:pos="2552"/>
        </w:tabs>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 (3): Legal gender recognition is a human right of transgender persons</w:t>
      </w:r>
    </w:p>
    <w:p w:rsidR="00E773F6" w:rsidRPr="0028108F" w:rsidRDefault="00E773F6" w:rsidP="00E773F6">
      <w:pPr>
        <w:pStyle w:val="ListParagraph"/>
        <w:snapToGrid w:val="0"/>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It has been argued that countries that do not allow legal gender recognition or have highly restrictive laws or regulations for changing name and sex violate fundamental human rights obligations.</w:t>
      </w:r>
      <w:r w:rsidRPr="0028108F">
        <w:rPr>
          <w:rStyle w:val="FootnoteReference"/>
          <w:rFonts w:ascii="Arial" w:hAnsi="Arial" w:cs="Arial"/>
          <w:color w:val="000000" w:themeColor="text1"/>
          <w:szCs w:val="24"/>
          <w:lang w:val="en-GB"/>
        </w:rPr>
        <w:footnoteReference w:id="418"/>
      </w:r>
      <w:r w:rsidRPr="0028108F">
        <w:rPr>
          <w:rFonts w:ascii="Arial" w:hAnsi="Arial" w:cs="Arial"/>
          <w:sz w:val="26"/>
          <w:szCs w:val="26"/>
          <w:lang w:val="en-GB"/>
        </w:rPr>
        <w:t xml:space="preserve">  </w:t>
      </w:r>
      <w:r w:rsidRPr="0028108F">
        <w:rPr>
          <w:rFonts w:ascii="Arial" w:hAnsi="Arial" w:cs="Arial"/>
          <w:szCs w:val="24"/>
          <w:lang w:val="en-GB"/>
        </w:rPr>
        <w:t>The absence of any system to recognise transgender persons’ gender identity may have implications in the context of the</w:t>
      </w:r>
      <w:r w:rsidR="007215BD" w:rsidRPr="0028108F">
        <w:rPr>
          <w:rFonts w:ascii="Arial" w:hAnsi="Arial" w:cs="Arial"/>
          <w:szCs w:val="24"/>
          <w:lang w:val="en-GB"/>
        </w:rPr>
        <w:t>ir</w:t>
      </w:r>
      <w:r w:rsidRPr="0028108F">
        <w:rPr>
          <w:rFonts w:ascii="Arial" w:hAnsi="Arial" w:cs="Arial"/>
          <w:szCs w:val="24"/>
          <w:lang w:val="en-GB"/>
        </w:rPr>
        <w:t xml:space="preserve"> enjoyment of the right to privacy and the</w:t>
      </w:r>
      <w:r w:rsidR="007215BD" w:rsidRPr="0028108F">
        <w:rPr>
          <w:rFonts w:ascii="Arial" w:hAnsi="Arial" w:cs="Arial"/>
          <w:szCs w:val="24"/>
          <w:lang w:val="en-GB"/>
        </w:rPr>
        <w:t>ir</w:t>
      </w:r>
      <w:r w:rsidRPr="0028108F">
        <w:rPr>
          <w:rFonts w:ascii="Arial" w:hAnsi="Arial" w:cs="Arial"/>
          <w:szCs w:val="24"/>
          <w:lang w:val="en-GB"/>
        </w:rPr>
        <w:t xml:space="preserve"> right to recognition as a person before the law.  </w:t>
      </w:r>
    </w:p>
    <w:p w:rsidR="00E773F6" w:rsidRPr="0028108F" w:rsidRDefault="00E773F6" w:rsidP="00E773F6">
      <w:pPr>
        <w:adjustRightInd w:val="0"/>
        <w:snapToGrid w:val="0"/>
        <w:jc w:val="both"/>
        <w:rPr>
          <w:rFonts w:ascii="Arial" w:hAnsi="Arial" w:cs="Arial"/>
          <w:b/>
          <w:i/>
          <w:szCs w:val="24"/>
          <w:lang w:val="en-GB"/>
        </w:rPr>
      </w:pPr>
    </w:p>
    <w:p w:rsidR="00E773F6" w:rsidRPr="0028108F" w:rsidRDefault="00E773F6" w:rsidP="00E773F6">
      <w:pPr>
        <w:adjustRightInd w:val="0"/>
        <w:snapToGrid w:val="0"/>
        <w:jc w:val="both"/>
        <w:rPr>
          <w:rFonts w:ascii="Arial" w:hAnsi="Arial" w:cs="Arial"/>
          <w:i/>
          <w:szCs w:val="24"/>
          <w:lang w:val="en-GB"/>
        </w:rPr>
      </w:pPr>
      <w:r w:rsidRPr="0028108F">
        <w:rPr>
          <w:rFonts w:ascii="Arial" w:hAnsi="Arial" w:cs="Arial"/>
          <w:i/>
          <w:szCs w:val="24"/>
          <w:lang w:val="en-GB"/>
        </w:rPr>
        <w:t xml:space="preserve">Right to privacy </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right to privacy is protected by Article 14 of the HKBOR which is identical to Article 17 of the International Covenant on Civil and Political Rights (“</w:t>
      </w:r>
      <w:r w:rsidRPr="008813DE">
        <w:rPr>
          <w:rFonts w:ascii="Arial" w:hAnsi="Arial" w:cs="Arial"/>
          <w:i/>
          <w:szCs w:val="24"/>
          <w:lang w:val="en-GB"/>
        </w:rPr>
        <w:t>ICCPR</w:t>
      </w:r>
      <w:r w:rsidRPr="0028108F">
        <w:rPr>
          <w:rFonts w:ascii="Arial" w:hAnsi="Arial" w:cs="Arial"/>
          <w:szCs w:val="24"/>
          <w:lang w:val="en-GB"/>
        </w:rPr>
        <w:t>”) and is similar to Article 8 of the ECHR which protects a person’s right to respect for private life.</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Prior to </w:t>
      </w:r>
      <w:r w:rsidRPr="0028108F">
        <w:rPr>
          <w:rFonts w:ascii="Arial" w:hAnsi="Arial" w:cs="Arial"/>
          <w:i/>
          <w:szCs w:val="24"/>
          <w:lang w:val="en-GB"/>
        </w:rPr>
        <w:t>Goodwin</w:t>
      </w:r>
      <w:r w:rsidRPr="0028108F">
        <w:rPr>
          <w:rFonts w:ascii="Arial" w:hAnsi="Arial" w:cs="Arial"/>
          <w:szCs w:val="24"/>
          <w:lang w:val="en-GB"/>
        </w:rPr>
        <w:t>, the</w:t>
      </w:r>
      <w:r w:rsidR="00451606" w:rsidRPr="0028108F">
        <w:rPr>
          <w:rFonts w:ascii="Arial" w:hAnsi="Arial" w:cs="Arial"/>
          <w:szCs w:val="24"/>
          <w:lang w:val="en-GB"/>
        </w:rPr>
        <w:t xml:space="preserve"> </w:t>
      </w:r>
      <w:r w:rsidRPr="0028108F">
        <w:rPr>
          <w:rFonts w:ascii="Arial" w:hAnsi="Arial" w:cs="Arial"/>
          <w:szCs w:val="24"/>
          <w:lang w:val="en-GB"/>
        </w:rPr>
        <w:t xml:space="preserve">ECtHR did not find any breach of Article 8 of the ECHR when dealing with cases relating to transsexual persons.  The </w:t>
      </w:r>
      <w:r w:rsidR="00451606" w:rsidRPr="0028108F">
        <w:rPr>
          <w:rFonts w:ascii="Arial" w:hAnsi="Arial" w:cs="Arial"/>
          <w:szCs w:val="24"/>
          <w:lang w:val="en-GB"/>
        </w:rPr>
        <w:t xml:space="preserve">ECtHR </w:t>
      </w:r>
      <w:r w:rsidRPr="0028108F">
        <w:rPr>
          <w:rFonts w:ascii="Arial" w:hAnsi="Arial" w:cs="Arial"/>
          <w:szCs w:val="24"/>
          <w:lang w:val="en-GB"/>
        </w:rPr>
        <w:t>considered that it was within each country’s margin of appreciation to retain congruent biological factors as the determining criteria for “</w:t>
      </w:r>
      <w:r w:rsidRPr="0028108F">
        <w:rPr>
          <w:rFonts w:ascii="Arial" w:hAnsi="Arial" w:cs="Arial"/>
          <w:i/>
          <w:szCs w:val="24"/>
          <w:lang w:val="en-GB"/>
        </w:rPr>
        <w:t>sex</w:t>
      </w:r>
      <w:r w:rsidRPr="00181CF2">
        <w:rPr>
          <w:rFonts w:ascii="Arial" w:hAnsi="Arial" w:cs="Arial"/>
          <w:szCs w:val="24"/>
          <w:lang w:val="en-GB"/>
        </w:rPr>
        <w:t>” in the context of both birth and marriage.</w:t>
      </w:r>
      <w:r w:rsidRPr="00C57CE1">
        <w:rPr>
          <w:rStyle w:val="FootnoteReference"/>
          <w:rFonts w:ascii="Arial" w:hAnsi="Arial" w:cs="Arial"/>
          <w:color w:val="000000" w:themeColor="text1"/>
          <w:szCs w:val="24"/>
          <w:lang w:val="en-GB"/>
        </w:rPr>
        <w:footnoteReference w:id="419"/>
      </w:r>
      <w:r w:rsidRPr="0028108F">
        <w:rPr>
          <w:rFonts w:ascii="Arial" w:hAnsi="Arial" w:cs="Arial"/>
          <w:szCs w:val="24"/>
          <w:lang w:val="en-GB"/>
        </w:rPr>
        <w:t xml:space="preserve">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w:t>
      </w:r>
      <w:r w:rsidRPr="0028108F">
        <w:rPr>
          <w:rFonts w:ascii="Arial" w:hAnsi="Arial" w:cs="Arial"/>
          <w:i/>
          <w:szCs w:val="24"/>
          <w:lang w:val="en-GB"/>
        </w:rPr>
        <w:t>Goodwin</w:t>
      </w:r>
      <w:r w:rsidRPr="0028108F">
        <w:rPr>
          <w:rFonts w:ascii="Arial" w:hAnsi="Arial" w:cs="Arial"/>
          <w:szCs w:val="24"/>
          <w:lang w:val="en-GB"/>
        </w:rPr>
        <w:t>, the ECtHR recognised the evidence of a continuing international trend towards increased social acceptance of transsexuals and towards legal recognition of the new sexual identity of post-operative transsexuals.  Since</w:t>
      </w:r>
      <w:r w:rsidR="00042F01" w:rsidRPr="0028108F">
        <w:rPr>
          <w:rFonts w:ascii="Arial" w:hAnsi="Arial" w:cs="Arial"/>
          <w:szCs w:val="24"/>
          <w:lang w:val="en-GB"/>
        </w:rPr>
        <w:t xml:space="preserve"> it was considered</w:t>
      </w:r>
      <w:r w:rsidRPr="0028108F">
        <w:rPr>
          <w:rFonts w:ascii="Arial" w:hAnsi="Arial" w:cs="Arial"/>
          <w:szCs w:val="24"/>
          <w:lang w:val="en-GB"/>
        </w:rPr>
        <w:t xml:space="preserve"> there were no significant factors of public interest to weigh against the interest of the individual applicant in obtaining legal recognition of her gender reassignment, the Court concluded unanimously that the balance tilted decisively in favour of the applicant, and accordingly, there had been a failure to respect her right to private life in breach of Article 8 of the ECHR.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Subsequently, the ECtHR in </w:t>
      </w:r>
      <w:r w:rsidRPr="0028108F">
        <w:rPr>
          <w:rFonts w:ascii="Arial" w:hAnsi="Arial" w:cs="Arial"/>
          <w:i/>
          <w:szCs w:val="24"/>
          <w:lang w:val="en-GB"/>
        </w:rPr>
        <w:t xml:space="preserve">Grant v </w:t>
      </w:r>
      <w:r w:rsidR="00451606" w:rsidRPr="0028108F">
        <w:rPr>
          <w:rFonts w:ascii="Arial" w:hAnsi="Arial" w:cs="Arial"/>
          <w:i/>
          <w:szCs w:val="24"/>
          <w:lang w:val="en-GB"/>
        </w:rPr>
        <w:t xml:space="preserve">The </w:t>
      </w:r>
      <w:r w:rsidRPr="0028108F">
        <w:rPr>
          <w:rFonts w:ascii="Arial" w:hAnsi="Arial" w:cs="Arial"/>
          <w:i/>
          <w:szCs w:val="24"/>
          <w:lang w:val="en-GB"/>
        </w:rPr>
        <w:t>United Kingdom</w:t>
      </w:r>
      <w:r w:rsidR="00451606" w:rsidRPr="0028108F">
        <w:rPr>
          <w:rStyle w:val="FootnoteReference"/>
          <w:rFonts w:ascii="Arial" w:hAnsi="Arial" w:cs="Arial"/>
          <w:szCs w:val="24"/>
          <w:lang w:val="en-GB"/>
        </w:rPr>
        <w:footnoteReference w:id="420"/>
      </w:r>
      <w:r w:rsidRPr="0028108F">
        <w:rPr>
          <w:rFonts w:ascii="Arial" w:hAnsi="Arial" w:cs="Arial"/>
          <w:szCs w:val="24"/>
          <w:lang w:val="en-GB"/>
        </w:rPr>
        <w:t xml:space="preserve"> and </w:t>
      </w:r>
      <w:r w:rsidRPr="0028108F">
        <w:rPr>
          <w:rFonts w:ascii="Arial" w:hAnsi="Arial" w:cs="Arial"/>
          <w:i/>
          <w:szCs w:val="24"/>
          <w:lang w:val="en-GB"/>
        </w:rPr>
        <w:t>L v Lithuania</w:t>
      </w:r>
      <w:r w:rsidR="00451606" w:rsidRPr="0028108F">
        <w:rPr>
          <w:rStyle w:val="FootnoteReference"/>
          <w:rFonts w:ascii="Arial" w:hAnsi="Arial" w:cs="Arial"/>
          <w:szCs w:val="24"/>
          <w:lang w:val="en-GB"/>
        </w:rPr>
        <w:footnoteReference w:id="421"/>
      </w:r>
      <w:r w:rsidRPr="0028108F">
        <w:rPr>
          <w:rFonts w:ascii="Arial" w:hAnsi="Arial" w:cs="Arial"/>
          <w:szCs w:val="24"/>
          <w:lang w:val="en-GB"/>
        </w:rPr>
        <w:t xml:space="preserve"> referred to </w:t>
      </w:r>
      <w:r w:rsidRPr="0028108F">
        <w:rPr>
          <w:rFonts w:ascii="Arial" w:hAnsi="Arial" w:cs="Arial"/>
          <w:i/>
          <w:szCs w:val="24"/>
          <w:lang w:val="en-GB"/>
        </w:rPr>
        <w:t>Goodwin</w:t>
      </w:r>
      <w:r w:rsidRPr="0028108F">
        <w:rPr>
          <w:rFonts w:ascii="Arial" w:hAnsi="Arial" w:cs="Arial"/>
          <w:szCs w:val="24"/>
          <w:lang w:val="en-GB"/>
        </w:rPr>
        <w:t xml:space="preserve"> and held that States </w:t>
      </w:r>
      <w:r w:rsidR="004A47D5" w:rsidRPr="0028108F">
        <w:rPr>
          <w:rFonts w:ascii="Arial" w:hAnsi="Arial" w:cs="Arial"/>
          <w:szCs w:val="24"/>
          <w:lang w:val="en-GB"/>
        </w:rPr>
        <w:t xml:space="preserve">were </w:t>
      </w:r>
      <w:r w:rsidRPr="0028108F">
        <w:rPr>
          <w:rFonts w:ascii="Arial" w:hAnsi="Arial" w:cs="Arial"/>
          <w:szCs w:val="24"/>
          <w:lang w:val="en-GB"/>
        </w:rPr>
        <w:t xml:space="preserve">required, by their positive obligation under Article 8 of the ECHR, to implement the recognition of gender change in post-operative transsexuals through, </w:t>
      </w:r>
      <w:r w:rsidRPr="0028108F">
        <w:rPr>
          <w:rFonts w:ascii="Arial" w:hAnsi="Arial" w:cs="Arial"/>
          <w:i/>
          <w:szCs w:val="24"/>
          <w:lang w:val="en-GB"/>
        </w:rPr>
        <w:t>inter alia</w:t>
      </w:r>
      <w:r w:rsidRPr="0028108F">
        <w:rPr>
          <w:rFonts w:ascii="Arial" w:hAnsi="Arial" w:cs="Arial"/>
          <w:szCs w:val="24"/>
          <w:lang w:val="en-GB"/>
        </w:rPr>
        <w:t xml:space="preserve">, amendments to their civil-status data, with its ensuing consequences.  Nevertheless, the ECtHR has so far only addressed the rights of transsexual persons who either have undergone gender reassignment surgery, or are in the process of doing so.  The Court has not yet addressed the right to gender identity as a broader category than </w:t>
      </w:r>
      <w:r w:rsidR="00042F01" w:rsidRPr="0028108F">
        <w:rPr>
          <w:rFonts w:ascii="Arial" w:hAnsi="Arial" w:cs="Arial"/>
          <w:szCs w:val="24"/>
          <w:lang w:val="en-GB"/>
        </w:rPr>
        <w:t xml:space="preserve">to </w:t>
      </w:r>
      <w:r w:rsidRPr="0028108F">
        <w:rPr>
          <w:rFonts w:ascii="Arial" w:hAnsi="Arial" w:cs="Arial"/>
          <w:szCs w:val="24"/>
          <w:lang w:val="en-GB"/>
        </w:rPr>
        <w:t xml:space="preserve">the specific rights of post-operative transsexual individuals.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Notably, in 2006</w:t>
      </w:r>
      <w:r w:rsidR="00042F01" w:rsidRPr="0028108F">
        <w:rPr>
          <w:rFonts w:ascii="Arial" w:hAnsi="Arial" w:cs="Arial"/>
          <w:szCs w:val="24"/>
          <w:lang w:val="en-GB"/>
        </w:rPr>
        <w:t>,</w:t>
      </w:r>
      <w:r w:rsidRPr="0028108F">
        <w:rPr>
          <w:rFonts w:ascii="Arial" w:hAnsi="Arial" w:cs="Arial"/>
          <w:szCs w:val="24"/>
          <w:lang w:val="en-GB"/>
        </w:rPr>
        <w:t xml:space="preserve"> a panel of human rights experts from diverse regions and backgrounds adopted the Yogyakarta Principles</w:t>
      </w:r>
      <w:r w:rsidRPr="00C57CE1">
        <w:rPr>
          <w:rFonts w:ascii="Arial" w:hAnsi="Arial" w:cs="Arial"/>
          <w:szCs w:val="24"/>
          <w:lang w:val="en-GB"/>
        </w:rPr>
        <w:t>.</w:t>
      </w:r>
      <w:r w:rsidRPr="0028108F">
        <w:rPr>
          <w:rStyle w:val="FootnoteReference"/>
          <w:rFonts w:ascii="Arial" w:hAnsi="Arial" w:cs="Arial"/>
          <w:color w:val="000000" w:themeColor="text1"/>
          <w:szCs w:val="24"/>
          <w:lang w:val="en-GB"/>
        </w:rPr>
        <w:footnoteReference w:id="422"/>
      </w:r>
      <w:r w:rsidRPr="0028108F">
        <w:rPr>
          <w:rFonts w:ascii="Arial" w:hAnsi="Arial" w:cs="Arial"/>
          <w:szCs w:val="24"/>
          <w:lang w:val="en-GB"/>
        </w:rPr>
        <w:t xml:space="preserve">  With regard to transgender persons’ enjoyment of privacy, Principle 6 of the Yogyakarta Principles provides that:</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Everyone, regardless of sexual orientation or gender identity, is entitled to the enjoyment of privacy without arbitrary or unlawful interference … The right to privacy ordinarily includes the choice to disclose or not to disclose information relating to one’s sexual orientation or gender identity, as well as decisions and choices regarding both one’s own body and consensual sexual and other relations with others.</w:t>
      </w:r>
      <w:r w:rsidRPr="0028108F">
        <w:rPr>
          <w:rFonts w:ascii="Arial" w:hAnsi="Arial" w:cs="Arial"/>
          <w:szCs w:val="24"/>
          <w:lang w:val="en-GB"/>
        </w:rPr>
        <w:t>”</w:t>
      </w:r>
    </w:p>
    <w:p w:rsidR="00E773F6" w:rsidRPr="0028108F" w:rsidRDefault="00E773F6" w:rsidP="00E773F6">
      <w:pPr>
        <w:snapToGrid w:val="0"/>
        <w:ind w:left="144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2011</w:t>
      </w:r>
      <w:r w:rsidR="004A47D5" w:rsidRPr="0028108F">
        <w:rPr>
          <w:rFonts w:ascii="Arial" w:hAnsi="Arial" w:cs="Arial"/>
          <w:szCs w:val="24"/>
          <w:lang w:val="en-GB"/>
        </w:rPr>
        <w:t>,</w:t>
      </w:r>
      <w:r w:rsidRPr="0028108F">
        <w:rPr>
          <w:rFonts w:ascii="Arial" w:hAnsi="Arial" w:cs="Arial"/>
          <w:szCs w:val="24"/>
          <w:lang w:val="en-GB"/>
        </w:rPr>
        <w:t xml:space="preserve"> the U</w:t>
      </w:r>
      <w:r w:rsidR="00046A5D" w:rsidRPr="0028108F">
        <w:rPr>
          <w:rFonts w:ascii="Arial" w:hAnsi="Arial" w:cs="Arial"/>
          <w:szCs w:val="24"/>
          <w:lang w:val="en-GB"/>
        </w:rPr>
        <w:t xml:space="preserve">nited </w:t>
      </w:r>
      <w:r w:rsidRPr="0028108F">
        <w:rPr>
          <w:rFonts w:ascii="Arial" w:hAnsi="Arial" w:cs="Arial"/>
          <w:szCs w:val="24"/>
          <w:lang w:val="en-GB"/>
        </w:rPr>
        <w:t>N</w:t>
      </w:r>
      <w:r w:rsidR="00046A5D" w:rsidRPr="0028108F">
        <w:rPr>
          <w:rFonts w:ascii="Arial" w:hAnsi="Arial" w:cs="Arial"/>
          <w:szCs w:val="24"/>
          <w:lang w:val="en-GB"/>
        </w:rPr>
        <w:t>ations</w:t>
      </w:r>
      <w:r w:rsidRPr="0028108F">
        <w:rPr>
          <w:rFonts w:ascii="Arial" w:hAnsi="Arial" w:cs="Arial"/>
          <w:szCs w:val="24"/>
          <w:lang w:val="en-GB"/>
        </w:rPr>
        <w:t xml:space="preserve"> High Commissioner for Human Rights expressed concern regarding the lack of arrangements in Member States for granting legal recognition of transgender people’s identities.  </w:t>
      </w:r>
      <w:r w:rsidR="00263BA4" w:rsidRPr="0028108F">
        <w:rPr>
          <w:rFonts w:ascii="Arial" w:hAnsi="Arial" w:cs="Arial"/>
          <w:szCs w:val="24"/>
          <w:lang w:val="en-GB"/>
        </w:rPr>
        <w:t xml:space="preserve">The High Commissioner </w:t>
      </w:r>
      <w:r w:rsidRPr="0028108F">
        <w:rPr>
          <w:rFonts w:ascii="Arial" w:hAnsi="Arial" w:cs="Arial"/>
          <w:szCs w:val="24"/>
          <w:lang w:val="en-GB"/>
        </w:rPr>
        <w:t>has recommended that Member States should “</w:t>
      </w:r>
      <w:r w:rsidRPr="0028108F">
        <w:rPr>
          <w:rFonts w:ascii="Arial" w:hAnsi="Arial" w:cs="Arial"/>
          <w:i/>
          <w:szCs w:val="24"/>
          <w:lang w:val="en-GB"/>
        </w:rPr>
        <w:t>facilitate legal recognition of the preferred gender of transgender persons and establish arrangements to permit relevant identity documents to be reissued reflecting preferred gender and name, without infringements of other human rights.</w:t>
      </w:r>
      <w:r w:rsidRPr="0028108F">
        <w:rPr>
          <w:rFonts w:ascii="Arial" w:hAnsi="Arial" w:cs="Arial"/>
          <w:szCs w:val="24"/>
          <w:lang w:val="en-GB"/>
        </w:rPr>
        <w:t>”</w:t>
      </w:r>
      <w:r w:rsidRPr="0028108F">
        <w:rPr>
          <w:rStyle w:val="FootnoteReference"/>
          <w:rFonts w:ascii="Arial" w:hAnsi="Arial" w:cs="Arial"/>
          <w:color w:val="000000" w:themeColor="text1"/>
          <w:szCs w:val="24"/>
          <w:lang w:val="en-GB"/>
        </w:rPr>
        <w:footnoteReference w:id="423"/>
      </w:r>
      <w:r w:rsidRPr="0028108F">
        <w:rPr>
          <w:rFonts w:ascii="Arial" w:hAnsi="Arial" w:cs="Arial"/>
          <w:szCs w:val="24"/>
          <w:lang w:val="en-GB"/>
        </w:rPr>
        <w:t xml:space="preserve">  Then in 2015</w:t>
      </w:r>
      <w:r w:rsidR="004A47D5" w:rsidRPr="0028108F">
        <w:rPr>
          <w:rFonts w:ascii="Arial" w:hAnsi="Arial" w:cs="Arial"/>
          <w:szCs w:val="24"/>
          <w:lang w:val="en-GB"/>
        </w:rPr>
        <w:t>,</w:t>
      </w:r>
      <w:r w:rsidRPr="0028108F">
        <w:rPr>
          <w:rFonts w:ascii="Arial" w:hAnsi="Arial" w:cs="Arial"/>
          <w:szCs w:val="24"/>
          <w:lang w:val="en-GB"/>
        </w:rPr>
        <w:t xml:space="preserve"> he recommended that in order to address discrimination based on gender identity, and protect individuals from human rights violations, Member States should issue legal identity documents, upon request, that reflect preferred gender.</w:t>
      </w:r>
      <w:r w:rsidRPr="0028108F">
        <w:rPr>
          <w:rStyle w:val="FootnoteReference"/>
          <w:rFonts w:ascii="Arial" w:hAnsi="Arial" w:cs="Arial"/>
          <w:color w:val="000000" w:themeColor="text1"/>
          <w:szCs w:val="24"/>
          <w:lang w:val="en-GB"/>
        </w:rPr>
        <w:footnoteReference w:id="424"/>
      </w:r>
      <w:r w:rsidRPr="0028108F">
        <w:rPr>
          <w:rFonts w:ascii="Arial" w:hAnsi="Arial" w:cs="Arial"/>
          <w:szCs w:val="24"/>
          <w:lang w:val="en-GB"/>
        </w:rPr>
        <w:t xml:space="preserve">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U</w:t>
      </w:r>
      <w:r w:rsidR="00046A5D" w:rsidRPr="0028108F">
        <w:rPr>
          <w:rFonts w:ascii="Arial" w:hAnsi="Arial" w:cs="Arial"/>
          <w:szCs w:val="24"/>
          <w:lang w:val="en-GB"/>
        </w:rPr>
        <w:t xml:space="preserve">nited </w:t>
      </w:r>
      <w:r w:rsidRPr="0028108F">
        <w:rPr>
          <w:rFonts w:ascii="Arial" w:hAnsi="Arial" w:cs="Arial"/>
          <w:szCs w:val="24"/>
          <w:lang w:val="en-GB"/>
        </w:rPr>
        <w:t>N</w:t>
      </w:r>
      <w:r w:rsidR="00046A5D" w:rsidRPr="0028108F">
        <w:rPr>
          <w:rFonts w:ascii="Arial" w:hAnsi="Arial" w:cs="Arial"/>
          <w:szCs w:val="24"/>
          <w:lang w:val="en-GB"/>
        </w:rPr>
        <w:t>ations</w:t>
      </w:r>
      <w:r w:rsidRPr="0028108F">
        <w:rPr>
          <w:rFonts w:ascii="Arial" w:hAnsi="Arial" w:cs="Arial"/>
          <w:szCs w:val="24"/>
          <w:lang w:val="en-GB"/>
        </w:rPr>
        <w:t xml:space="preserve"> Human Rights Committee has also urged States parties to the ICCPR to recognise the right of transgender persons to change their gender by permitting the issuance of new birth certificates.</w:t>
      </w:r>
      <w:r w:rsidRPr="0028108F">
        <w:rPr>
          <w:rStyle w:val="FootnoteReference"/>
          <w:rFonts w:ascii="Arial" w:hAnsi="Arial" w:cs="Arial"/>
          <w:lang w:val="en-GB"/>
        </w:rPr>
        <w:footnoteReference w:id="425"/>
      </w:r>
      <w:r w:rsidRPr="0028108F">
        <w:rPr>
          <w:rFonts w:ascii="Arial" w:hAnsi="Arial" w:cs="Arial"/>
          <w:szCs w:val="24"/>
          <w:lang w:val="en-GB"/>
        </w:rPr>
        <w:t xml:space="preserve">  It has noted with approval legislation facilitating legal recognition of a change of gender in the UK.</w:t>
      </w:r>
      <w:r w:rsidRPr="0028108F">
        <w:rPr>
          <w:rStyle w:val="FootnoteReference"/>
          <w:rFonts w:ascii="Arial" w:hAnsi="Arial" w:cs="Arial"/>
          <w:color w:val="000000" w:themeColor="text1"/>
          <w:szCs w:val="24"/>
          <w:lang w:val="en-GB"/>
        </w:rPr>
        <w:footnoteReference w:id="426"/>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There is also case-law in </w:t>
      </w:r>
      <w:r w:rsidR="005E6528">
        <w:rPr>
          <w:rFonts w:ascii="Arial" w:hAnsi="Arial" w:cs="Arial" w:hint="eastAsia"/>
          <w:szCs w:val="24"/>
          <w:lang w:val="en-GB"/>
        </w:rPr>
        <w:t xml:space="preserve">some </w:t>
      </w:r>
      <w:r w:rsidRPr="0028108F">
        <w:rPr>
          <w:rFonts w:ascii="Arial" w:hAnsi="Arial" w:cs="Arial"/>
          <w:szCs w:val="24"/>
          <w:lang w:val="en-GB"/>
        </w:rPr>
        <w:t>countries, such as, Argentina,</w:t>
      </w:r>
      <w:r w:rsidRPr="0028108F">
        <w:rPr>
          <w:rStyle w:val="FootnoteReference"/>
          <w:rFonts w:ascii="Arial" w:hAnsi="Arial" w:cs="Arial"/>
          <w:color w:val="000000" w:themeColor="text1"/>
          <w:szCs w:val="24"/>
          <w:lang w:val="en-GB"/>
        </w:rPr>
        <w:footnoteReference w:id="427"/>
      </w:r>
      <w:r w:rsidRPr="0028108F">
        <w:rPr>
          <w:rFonts w:ascii="Arial" w:hAnsi="Arial" w:cs="Arial"/>
          <w:szCs w:val="24"/>
          <w:lang w:val="en-GB"/>
        </w:rPr>
        <w:t xml:space="preserve"> Ireland,</w:t>
      </w:r>
      <w:r w:rsidRPr="0028108F">
        <w:rPr>
          <w:rStyle w:val="FootnoteReference"/>
          <w:rFonts w:ascii="Arial" w:hAnsi="Arial" w:cs="Arial"/>
          <w:color w:val="000000" w:themeColor="text1"/>
          <w:szCs w:val="24"/>
          <w:lang w:val="en-GB"/>
        </w:rPr>
        <w:footnoteReference w:id="428"/>
      </w:r>
      <w:r w:rsidRPr="0028108F">
        <w:rPr>
          <w:rFonts w:ascii="Arial" w:hAnsi="Arial" w:cs="Arial"/>
          <w:szCs w:val="24"/>
          <w:lang w:val="en-GB"/>
        </w:rPr>
        <w:t xml:space="preserve"> Lithuania,</w:t>
      </w:r>
      <w:r w:rsidRPr="0028108F">
        <w:rPr>
          <w:rStyle w:val="FootnoteReference"/>
          <w:rFonts w:ascii="Arial" w:hAnsi="Arial" w:cs="Arial"/>
          <w:color w:val="000000" w:themeColor="text1"/>
          <w:szCs w:val="24"/>
          <w:lang w:val="en-GB"/>
        </w:rPr>
        <w:footnoteReference w:id="429"/>
      </w:r>
      <w:r w:rsidRPr="0028108F">
        <w:rPr>
          <w:rFonts w:ascii="Arial" w:hAnsi="Arial" w:cs="Arial"/>
          <w:szCs w:val="24"/>
          <w:lang w:val="en-GB"/>
        </w:rPr>
        <w:t xml:space="preserve"> Serbia</w:t>
      </w:r>
      <w:r w:rsidRPr="0028108F">
        <w:rPr>
          <w:rStyle w:val="FootnoteReference"/>
          <w:rFonts w:ascii="Arial" w:hAnsi="Arial" w:cs="Arial"/>
          <w:color w:val="000000" w:themeColor="text1"/>
          <w:szCs w:val="24"/>
          <w:lang w:val="en-GB"/>
        </w:rPr>
        <w:footnoteReference w:id="430"/>
      </w:r>
      <w:r w:rsidRPr="0028108F">
        <w:rPr>
          <w:rFonts w:ascii="Arial" w:hAnsi="Arial" w:cs="Arial"/>
          <w:szCs w:val="24"/>
          <w:lang w:val="en-GB"/>
        </w:rPr>
        <w:t xml:space="preserve"> and India,</w:t>
      </w:r>
      <w:r w:rsidRPr="0028108F">
        <w:rPr>
          <w:rStyle w:val="FootnoteReference"/>
          <w:rFonts w:ascii="Arial" w:hAnsi="Arial" w:cs="Arial"/>
          <w:color w:val="000000" w:themeColor="text1"/>
          <w:szCs w:val="24"/>
          <w:lang w:val="en-GB"/>
        </w:rPr>
        <w:footnoteReference w:id="431"/>
      </w:r>
      <w:r w:rsidRPr="0028108F">
        <w:rPr>
          <w:rFonts w:ascii="Arial" w:hAnsi="Arial" w:cs="Arial"/>
          <w:szCs w:val="24"/>
          <w:lang w:val="en-GB"/>
        </w:rPr>
        <w:t xml:space="preserve"> </w:t>
      </w:r>
      <w:r w:rsidR="00F40F70" w:rsidRPr="0028108F">
        <w:rPr>
          <w:rFonts w:ascii="Arial" w:hAnsi="Arial" w:cs="Arial"/>
          <w:szCs w:val="24"/>
          <w:lang w:val="en-GB"/>
        </w:rPr>
        <w:t xml:space="preserve">which has </w:t>
      </w:r>
      <w:r w:rsidRPr="0028108F">
        <w:rPr>
          <w:rFonts w:ascii="Arial" w:hAnsi="Arial" w:cs="Arial"/>
          <w:szCs w:val="24"/>
          <w:lang w:val="en-GB"/>
        </w:rPr>
        <w:t xml:space="preserve">decided that lack of arrangements for recognising the acquired gender of transgender or transsexual persons may have implications on the right to respect for private life which encompasses notions such as personal identity, personal autonomy, personal development, and physical and moral integrity.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E773F6">
      <w:pPr>
        <w:adjustRightInd w:val="0"/>
        <w:snapToGrid w:val="0"/>
        <w:jc w:val="both"/>
        <w:rPr>
          <w:rFonts w:ascii="Arial" w:hAnsi="Arial" w:cs="Arial"/>
          <w:i/>
          <w:szCs w:val="24"/>
          <w:lang w:val="en-GB"/>
        </w:rPr>
      </w:pPr>
      <w:r w:rsidRPr="0028108F">
        <w:rPr>
          <w:rFonts w:ascii="Arial" w:hAnsi="Arial" w:cs="Arial"/>
          <w:i/>
          <w:szCs w:val="24"/>
          <w:lang w:val="en-GB"/>
        </w:rPr>
        <w:t>Right to recognition as a person before the law</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impossibility </w:t>
      </w:r>
      <w:r w:rsidR="00F40F70" w:rsidRPr="0028108F">
        <w:rPr>
          <w:rFonts w:ascii="Arial" w:hAnsi="Arial" w:cs="Arial"/>
          <w:szCs w:val="24"/>
          <w:lang w:val="en-GB"/>
        </w:rPr>
        <w:t xml:space="preserve">of </w:t>
      </w:r>
      <w:r w:rsidRPr="0028108F">
        <w:rPr>
          <w:rFonts w:ascii="Arial" w:hAnsi="Arial" w:cs="Arial"/>
          <w:szCs w:val="24"/>
          <w:lang w:val="en-GB"/>
        </w:rPr>
        <w:t>obtain</w:t>
      </w:r>
      <w:r w:rsidR="00F40F70" w:rsidRPr="0028108F">
        <w:rPr>
          <w:rFonts w:ascii="Arial" w:hAnsi="Arial" w:cs="Arial"/>
          <w:szCs w:val="24"/>
          <w:lang w:val="en-GB"/>
        </w:rPr>
        <w:t>ing</w:t>
      </w:r>
      <w:r w:rsidRPr="0028108F">
        <w:rPr>
          <w:rFonts w:ascii="Arial" w:hAnsi="Arial" w:cs="Arial"/>
          <w:szCs w:val="24"/>
          <w:lang w:val="en-GB"/>
        </w:rPr>
        <w:t xml:space="preserve"> official documents that reflect gender identity may also raise an issue in relation to</w:t>
      </w:r>
      <w:r w:rsidR="00F40F70" w:rsidRPr="0028108F">
        <w:rPr>
          <w:rFonts w:ascii="Arial" w:hAnsi="Arial" w:cs="Arial"/>
          <w:szCs w:val="24"/>
          <w:lang w:val="en-GB"/>
        </w:rPr>
        <w:t xml:space="preserve"> a</w:t>
      </w:r>
      <w:r w:rsidRPr="0028108F">
        <w:rPr>
          <w:rFonts w:ascii="Arial" w:hAnsi="Arial" w:cs="Arial"/>
          <w:szCs w:val="24"/>
          <w:lang w:val="en-GB"/>
        </w:rPr>
        <w:t xml:space="preserve"> transgender person’</w:t>
      </w:r>
      <w:r w:rsidR="00F40F70" w:rsidRPr="0028108F">
        <w:rPr>
          <w:rFonts w:ascii="Arial" w:hAnsi="Arial" w:cs="Arial"/>
          <w:szCs w:val="24"/>
          <w:lang w:val="en-GB"/>
        </w:rPr>
        <w:t>s</w:t>
      </w:r>
      <w:r w:rsidRPr="0028108F">
        <w:rPr>
          <w:rFonts w:ascii="Arial" w:hAnsi="Arial" w:cs="Arial"/>
          <w:szCs w:val="24"/>
          <w:lang w:val="en-GB"/>
        </w:rPr>
        <w:t xml:space="preserve"> right to recognition as a person before the law, which is protected by Article 13 of the HKBOR (identical to Article 16 of the ICCPR).  The expression “</w:t>
      </w:r>
      <w:r w:rsidRPr="0028108F">
        <w:rPr>
          <w:rFonts w:ascii="Arial" w:hAnsi="Arial" w:cs="Arial"/>
          <w:i/>
          <w:szCs w:val="24"/>
          <w:lang w:val="en-GB"/>
        </w:rPr>
        <w:t>person before the law</w:t>
      </w:r>
      <w:r w:rsidRPr="00181CF2">
        <w:rPr>
          <w:rFonts w:ascii="Arial" w:hAnsi="Arial" w:cs="Arial"/>
          <w:szCs w:val="24"/>
          <w:lang w:val="en-GB"/>
        </w:rPr>
        <w:t xml:space="preserve">” is meant to ensure recognition of the legal status of every individual and of his </w:t>
      </w:r>
      <w:r w:rsidR="00F40F70" w:rsidRPr="00C57CE1">
        <w:rPr>
          <w:rFonts w:ascii="Arial" w:hAnsi="Arial" w:cs="Arial"/>
          <w:szCs w:val="24"/>
          <w:lang w:val="en-GB"/>
        </w:rPr>
        <w:t xml:space="preserve">or her </w:t>
      </w:r>
      <w:r w:rsidRPr="0028108F">
        <w:rPr>
          <w:rFonts w:ascii="Arial" w:hAnsi="Arial" w:cs="Arial"/>
          <w:szCs w:val="24"/>
          <w:lang w:val="en-GB"/>
        </w:rPr>
        <w:t>capacity to exercise rights and enter into contractual obligations.</w:t>
      </w:r>
      <w:r w:rsidRPr="0028108F">
        <w:rPr>
          <w:rStyle w:val="FootnoteReference"/>
          <w:rFonts w:ascii="Arial" w:hAnsi="Arial" w:cs="Arial"/>
          <w:szCs w:val="24"/>
          <w:lang w:val="en-GB"/>
        </w:rPr>
        <w:footnoteReference w:id="432"/>
      </w:r>
      <w:r w:rsidRPr="0028108F">
        <w:rPr>
          <w:rFonts w:ascii="Arial" w:hAnsi="Arial" w:cs="Arial"/>
          <w:szCs w:val="24"/>
          <w:lang w:val="en-GB"/>
        </w:rPr>
        <w:t xml:space="preserve">  The U</w:t>
      </w:r>
      <w:r w:rsidR="00046A5D" w:rsidRPr="0028108F">
        <w:rPr>
          <w:rFonts w:ascii="Arial" w:hAnsi="Arial" w:cs="Arial"/>
          <w:szCs w:val="24"/>
          <w:lang w:val="en-GB"/>
        </w:rPr>
        <w:t xml:space="preserve">nited </w:t>
      </w:r>
      <w:r w:rsidRPr="0028108F">
        <w:rPr>
          <w:rFonts w:ascii="Arial" w:hAnsi="Arial" w:cs="Arial"/>
          <w:szCs w:val="24"/>
          <w:lang w:val="en-GB"/>
        </w:rPr>
        <w:t>N</w:t>
      </w:r>
      <w:r w:rsidR="00046A5D" w:rsidRPr="0028108F">
        <w:rPr>
          <w:rFonts w:ascii="Arial" w:hAnsi="Arial" w:cs="Arial"/>
          <w:szCs w:val="24"/>
          <w:lang w:val="en-GB"/>
        </w:rPr>
        <w:t>ations</w:t>
      </w:r>
      <w:r w:rsidRPr="0028108F">
        <w:rPr>
          <w:rFonts w:ascii="Arial" w:hAnsi="Arial" w:cs="Arial"/>
          <w:szCs w:val="24"/>
          <w:lang w:val="en-GB"/>
        </w:rPr>
        <w:t xml:space="preserve"> Human Rights Committee has found in several instances that any State’s failure to issue birth certificates or to keep civil registries </w:t>
      </w:r>
      <w:r w:rsidR="00D50B54" w:rsidRPr="0028108F">
        <w:rPr>
          <w:rFonts w:ascii="Arial" w:hAnsi="Arial" w:cs="Arial"/>
          <w:szCs w:val="24"/>
          <w:lang w:val="en-GB"/>
        </w:rPr>
        <w:t xml:space="preserve">reflecting transgender individuals’ gender identity </w:t>
      </w:r>
      <w:r w:rsidRPr="0028108F">
        <w:rPr>
          <w:rFonts w:ascii="Arial" w:hAnsi="Arial" w:cs="Arial"/>
          <w:szCs w:val="24"/>
          <w:lang w:val="en-GB"/>
        </w:rPr>
        <w:t>amounted to a violation of Article 16 of the ICCPR and led to the violation of other rights, including access to social services or education.</w:t>
      </w:r>
      <w:r w:rsidRPr="0028108F">
        <w:rPr>
          <w:rStyle w:val="FootnoteReference"/>
          <w:rFonts w:ascii="Arial" w:hAnsi="Arial" w:cs="Arial"/>
          <w:szCs w:val="24"/>
          <w:lang w:val="en-GB"/>
        </w:rPr>
        <w:footnoteReference w:id="433"/>
      </w:r>
    </w:p>
    <w:p w:rsidR="00E773F6" w:rsidRPr="0028108F" w:rsidRDefault="00E773F6" w:rsidP="00E773F6">
      <w:pPr>
        <w:pStyle w:val="ListParagraph"/>
        <w:snapToGrid w:val="0"/>
        <w:rPr>
          <w:rFonts w:ascii="Arial" w:hAnsi="Arial" w:cs="Arial"/>
          <w:szCs w:val="24"/>
          <w:lang w:val="en-GB"/>
        </w:rPr>
      </w:pPr>
    </w:p>
    <w:p w:rsidR="00E773F6" w:rsidRPr="0028108F" w:rsidRDefault="00E773F6" w:rsidP="00E773F6">
      <w:pPr>
        <w:tabs>
          <w:tab w:val="left" w:pos="2552"/>
        </w:tabs>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 (4): International trend of legal gender recognition</w:t>
      </w:r>
    </w:p>
    <w:p w:rsidR="00E773F6" w:rsidRPr="0028108F" w:rsidRDefault="00E773F6" w:rsidP="00E773F6">
      <w:pPr>
        <w:tabs>
          <w:tab w:val="left" w:pos="2552"/>
        </w:tabs>
        <w:snapToGrid w:val="0"/>
        <w:jc w:val="both"/>
        <w:rPr>
          <w:rFonts w:ascii="Arial" w:hAnsi="Arial" w:cs="Arial"/>
          <w:color w:val="0000FF"/>
          <w:szCs w:val="24"/>
          <w:u w:val="single"/>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In 2004, </w:t>
      </w:r>
      <w:r w:rsidRPr="0028108F">
        <w:rPr>
          <w:rFonts w:ascii="Arial" w:hAnsi="Arial" w:cs="Arial"/>
          <w:szCs w:val="24"/>
          <w:lang w:val="en-GB"/>
        </w:rPr>
        <w:t>Robyn Emerton</w:t>
      </w:r>
      <w:r w:rsidRPr="0028108F">
        <w:rPr>
          <w:rFonts w:ascii="Arial" w:hAnsi="Arial" w:cs="Arial"/>
          <w:color w:val="000000" w:themeColor="text1"/>
          <w:szCs w:val="24"/>
          <w:lang w:val="en-GB"/>
        </w:rPr>
        <w:t xml:space="preserve"> commented that Hong Kong was “</w:t>
      </w:r>
      <w:r w:rsidRPr="0028108F">
        <w:rPr>
          <w:rFonts w:ascii="Arial" w:hAnsi="Arial" w:cs="Arial"/>
          <w:i/>
          <w:color w:val="000000" w:themeColor="text1"/>
          <w:szCs w:val="24"/>
          <w:lang w:val="en-GB"/>
        </w:rPr>
        <w:t>[s]ignificantly</w:t>
      </w:r>
      <w:r w:rsidR="00F40F70"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w:t>
      </w:r>
      <w:r w:rsidR="00F40F70"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out of sync with the international trend to legally recognise transgender persons</w:t>
      </w:r>
      <w:r w:rsidR="00F40F70"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w:t>
      </w:r>
      <w:r w:rsidR="00F40F70"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in their chosen gender</w:t>
      </w:r>
      <w:r w:rsidRPr="0028108F">
        <w:rPr>
          <w:rFonts w:ascii="Arial" w:hAnsi="Arial" w:cs="Arial"/>
          <w:color w:val="000000" w:themeColor="text1"/>
          <w:szCs w:val="24"/>
          <w:lang w:val="en-GB"/>
        </w:rPr>
        <w:t>” and “</w:t>
      </w:r>
      <w:r w:rsidR="00F40F70" w:rsidRPr="0028108F">
        <w:rPr>
          <w:rFonts w:ascii="Arial" w:hAnsi="Arial" w:cs="Arial"/>
          <w:i/>
          <w:color w:val="000000" w:themeColor="text1"/>
          <w:szCs w:val="24"/>
          <w:lang w:val="en-GB"/>
        </w:rPr>
        <w:t>[</w:t>
      </w:r>
      <w:r w:rsidRPr="00C57CE1">
        <w:rPr>
          <w:rFonts w:ascii="Arial" w:hAnsi="Arial" w:cs="Arial"/>
          <w:i/>
          <w:color w:val="000000" w:themeColor="text1"/>
          <w:szCs w:val="24"/>
          <w:lang w:val="en-GB"/>
        </w:rPr>
        <w:t>t</w:t>
      </w:r>
      <w:r w:rsidR="00F40F70" w:rsidRPr="0028108F">
        <w:rPr>
          <w:rFonts w:ascii="Arial" w:hAnsi="Arial" w:cs="Arial"/>
          <w:i/>
          <w:color w:val="000000" w:themeColor="text1"/>
          <w:szCs w:val="24"/>
          <w:lang w:val="en-GB"/>
        </w:rPr>
        <w:t>]</w:t>
      </w:r>
      <w:r w:rsidRPr="0028108F">
        <w:rPr>
          <w:rFonts w:ascii="Arial" w:hAnsi="Arial" w:cs="Arial"/>
          <w:i/>
          <w:color w:val="000000" w:themeColor="text1"/>
          <w:szCs w:val="24"/>
          <w:lang w:val="en-GB"/>
        </w:rPr>
        <w:t>he vast majority of countries in Europe, including…the United Kingdom, together with many states/ provinces in the United States and Canada now grant legal recognition to transgender persons.</w:t>
      </w:r>
      <w:r w:rsidRPr="0028108F">
        <w:rPr>
          <w:rFonts w:ascii="Arial" w:hAnsi="Arial" w:cs="Arial"/>
          <w:color w:val="000000" w:themeColor="text1"/>
          <w:szCs w:val="24"/>
          <w:lang w:val="en-GB"/>
        </w:rPr>
        <w:t>”</w:t>
      </w:r>
      <w:r w:rsidRPr="0028108F">
        <w:rPr>
          <w:rStyle w:val="FootnoteReference"/>
          <w:rFonts w:ascii="Arial" w:hAnsi="Arial" w:cs="Arial"/>
          <w:color w:val="000000" w:themeColor="text1"/>
          <w:szCs w:val="24"/>
          <w:lang w:val="en-GB"/>
        </w:rPr>
        <w:footnoteReference w:id="434"/>
      </w:r>
      <w:r w:rsidRPr="0028108F">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F40F70"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Similarly, </w:t>
      </w:r>
      <w:r w:rsidR="00E773F6" w:rsidRPr="0028108F">
        <w:rPr>
          <w:rFonts w:ascii="Arial" w:hAnsi="Arial" w:cs="Arial"/>
          <w:color w:val="000000" w:themeColor="text1"/>
          <w:szCs w:val="24"/>
          <w:lang w:val="en-GB"/>
        </w:rPr>
        <w:t xml:space="preserve">Dr Jens Scherpe </w:t>
      </w:r>
      <w:r w:rsidRPr="0028108F">
        <w:rPr>
          <w:rFonts w:ascii="Arial" w:hAnsi="Arial" w:cs="Arial"/>
          <w:szCs w:val="24"/>
          <w:lang w:val="en-GB"/>
        </w:rPr>
        <w:t>has observed</w:t>
      </w:r>
      <w:r w:rsidR="00E773F6" w:rsidRPr="0028108F">
        <w:rPr>
          <w:rFonts w:ascii="Arial" w:hAnsi="Arial" w:cs="Arial"/>
          <w:szCs w:val="24"/>
          <w:lang w:val="en-GB"/>
        </w:rPr>
        <w:t xml:space="preserve"> that Hong Kong is becoming “</w:t>
      </w:r>
      <w:r w:rsidR="00E773F6" w:rsidRPr="0028108F">
        <w:rPr>
          <w:rFonts w:ascii="Arial" w:hAnsi="Arial" w:cs="Arial"/>
          <w:i/>
          <w:szCs w:val="24"/>
          <w:lang w:val="en-GB"/>
        </w:rPr>
        <w:t>increasingly isolated in its legal position concerning the change of legal gender, and not only with regard to Europe but also the rest of the world.”</w:t>
      </w:r>
      <w:r w:rsidR="00E773F6" w:rsidRPr="0028108F">
        <w:rPr>
          <w:rStyle w:val="FootnoteReference"/>
          <w:rFonts w:ascii="Arial" w:hAnsi="Arial" w:cs="Arial"/>
          <w:szCs w:val="24"/>
          <w:lang w:val="en-GB"/>
        </w:rPr>
        <w:footnoteReference w:id="435"/>
      </w:r>
      <w:r w:rsidR="00E773F6" w:rsidRPr="0028108F">
        <w:rPr>
          <w:rFonts w:ascii="Arial" w:hAnsi="Arial" w:cs="Arial"/>
          <w:i/>
          <w:szCs w:val="24"/>
          <w:lang w:val="en-GB"/>
        </w:rPr>
        <w:t xml:space="preserve">  </w:t>
      </w:r>
      <w:r w:rsidRPr="0028108F">
        <w:rPr>
          <w:rFonts w:ascii="Arial" w:hAnsi="Arial" w:cs="Arial"/>
          <w:szCs w:val="24"/>
          <w:lang w:val="en-GB"/>
        </w:rPr>
        <w:t>H</w:t>
      </w:r>
      <w:r w:rsidR="00E773F6" w:rsidRPr="0028108F">
        <w:rPr>
          <w:rFonts w:ascii="Arial" w:hAnsi="Arial" w:cs="Arial"/>
          <w:szCs w:val="24"/>
          <w:lang w:val="en-GB"/>
        </w:rPr>
        <w:t xml:space="preserve">e </w:t>
      </w:r>
      <w:r w:rsidRPr="0028108F">
        <w:rPr>
          <w:rFonts w:ascii="Arial" w:hAnsi="Arial" w:cs="Arial"/>
          <w:szCs w:val="24"/>
          <w:lang w:val="en-GB"/>
        </w:rPr>
        <w:t>has commented</w:t>
      </w:r>
      <w:r w:rsidR="00E773F6" w:rsidRPr="0028108F">
        <w:rPr>
          <w:rFonts w:ascii="Arial" w:hAnsi="Arial" w:cs="Arial"/>
          <w:szCs w:val="24"/>
          <w:lang w:val="en-GB"/>
        </w:rPr>
        <w:t>:</w:t>
      </w:r>
    </w:p>
    <w:p w:rsidR="00E773F6" w:rsidRPr="0028108F" w:rsidRDefault="00E773F6" w:rsidP="00E773F6">
      <w:pPr>
        <w:tabs>
          <w:tab w:val="left" w:pos="2552"/>
        </w:tabs>
        <w:snapToGrid w:val="0"/>
        <w:jc w:val="both"/>
        <w:rPr>
          <w:rFonts w:ascii="Arial" w:hAnsi="Arial" w:cs="Arial"/>
          <w:color w:val="000000" w:themeColor="text1"/>
          <w:szCs w:val="24"/>
          <w:lang w:val="en-GB"/>
        </w:rPr>
      </w:pP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“One might argue that the legal position and social development in Europe and beyond is not necessarily determinative for Hong Kong.  However, it is highly doubtful whether the societal developments in Hong Kong really are so different that they justify refusing a change of legal gender for that reason alone, particularly when considering the enormous negative impact on the individuals </w:t>
      </w:r>
      <w:r w:rsidRPr="0028108F">
        <w:rPr>
          <w:rFonts w:ascii="Arial" w:hAnsi="Arial" w:cs="Arial"/>
          <w:i/>
          <w:szCs w:val="24"/>
          <w:lang w:val="en-GB"/>
        </w:rPr>
        <w:t>concerned</w:t>
      </w:r>
      <w:r w:rsidRPr="0028108F">
        <w:rPr>
          <w:rFonts w:ascii="Arial" w:hAnsi="Arial" w:cs="Arial"/>
          <w:i/>
          <w:color w:val="000000" w:themeColor="text1"/>
          <w:szCs w:val="24"/>
          <w:lang w:val="en-GB"/>
        </w:rPr>
        <w:t>, evidenced by international medical and psychological research and even accepted by the Court in W v Registrar of Marriages.  In the end, allowing a transsexual person to change his or her legal gender is not merely a legal question, not merely a human rights question (although that it certainly is) but most of all a question of a society’s humanity.”</w:t>
      </w:r>
      <w:r w:rsidRPr="0028108F">
        <w:rPr>
          <w:rStyle w:val="FootnoteReference"/>
          <w:rFonts w:ascii="Arial" w:hAnsi="Arial" w:cs="Arial"/>
          <w:szCs w:val="24"/>
          <w:lang w:val="en-GB"/>
        </w:rPr>
        <w:footnoteReference w:id="436"/>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can be seen from Chapter </w:t>
      </w:r>
      <w:r w:rsidRPr="008813DE">
        <w:rPr>
          <w:rFonts w:ascii="Arial" w:hAnsi="Arial" w:cs="Arial"/>
          <w:color w:val="000000" w:themeColor="text1"/>
          <w:szCs w:val="24"/>
          <w:lang w:val="en-GB"/>
        </w:rPr>
        <w:t>4</w:t>
      </w:r>
      <w:r w:rsidRPr="0028108F">
        <w:rPr>
          <w:rFonts w:ascii="Arial" w:hAnsi="Arial" w:cs="Arial"/>
          <w:color w:val="000000" w:themeColor="text1"/>
          <w:szCs w:val="24"/>
          <w:lang w:val="en-GB"/>
        </w:rPr>
        <w:t xml:space="preserve"> of this paper, legal gender recognition of transgender persons has now been granted in many overseas jurisdictions under </w:t>
      </w:r>
      <w:r w:rsidR="00987965" w:rsidRPr="0028108F">
        <w:rPr>
          <w:rFonts w:ascii="Arial" w:hAnsi="Arial" w:cs="Arial"/>
          <w:color w:val="000000" w:themeColor="text1"/>
          <w:szCs w:val="24"/>
          <w:lang w:val="en-GB"/>
        </w:rPr>
        <w:t xml:space="preserve">their </w:t>
      </w:r>
      <w:r w:rsidRPr="0028108F">
        <w:rPr>
          <w:rFonts w:ascii="Arial" w:hAnsi="Arial" w:cs="Arial"/>
          <w:color w:val="000000" w:themeColor="text1"/>
          <w:szCs w:val="24"/>
          <w:lang w:val="en-GB"/>
        </w:rPr>
        <w:t>new or amended legislation, administrative measures or judicial decisions, and this development has not been confined to the “western world”</w:t>
      </w:r>
      <w:r w:rsidR="00F40F70"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as similar developments have also been noted in the Asia-Pacific region.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 (5): A gender recognition scheme can provide legal certainty</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u w:val="single"/>
          <w:lang w:val="en-GB"/>
        </w:rPr>
      </w:pPr>
    </w:p>
    <w:p w:rsidR="00E773F6" w:rsidRPr="0028108F" w:rsidRDefault="00F40F70"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Robyn Emerton has argued that t</w:t>
      </w:r>
      <w:r w:rsidR="00E773F6" w:rsidRPr="0028108F">
        <w:rPr>
          <w:rFonts w:ascii="Arial" w:hAnsi="Arial" w:cs="Arial"/>
          <w:color w:val="000000" w:themeColor="text1"/>
          <w:szCs w:val="24"/>
          <w:lang w:val="en-GB"/>
        </w:rPr>
        <w:t>he absence of a gender recognition scheme providing for transgender persons’ legal rights and obligations would result in the Hong Kong authorities’ policies with respect to such rights and obligations be</w:t>
      </w:r>
      <w:r w:rsidRPr="0028108F">
        <w:rPr>
          <w:rFonts w:ascii="Arial" w:hAnsi="Arial" w:cs="Arial"/>
          <w:color w:val="000000" w:themeColor="text1"/>
          <w:szCs w:val="24"/>
          <w:lang w:val="en-GB"/>
        </w:rPr>
        <w:t>ing</w:t>
      </w:r>
      <w:r w:rsidR="00E773F6" w:rsidRPr="0028108F">
        <w:rPr>
          <w:rFonts w:ascii="Arial" w:hAnsi="Arial" w:cs="Arial"/>
          <w:color w:val="000000" w:themeColor="text1"/>
          <w:szCs w:val="24"/>
          <w:lang w:val="en-GB"/>
        </w:rPr>
        <w:t xml:space="preserve"> “</w:t>
      </w:r>
      <w:r w:rsidR="00E773F6" w:rsidRPr="0028108F">
        <w:rPr>
          <w:rFonts w:ascii="Arial" w:hAnsi="Arial" w:cs="Arial"/>
          <w:i/>
          <w:color w:val="000000" w:themeColor="text1"/>
          <w:szCs w:val="24"/>
          <w:lang w:val="en-GB"/>
        </w:rPr>
        <w:t>driven by their own interpretation of the relevant legislation</w:t>
      </w:r>
      <w:r w:rsidR="00E773F6" w:rsidRPr="0028108F">
        <w:rPr>
          <w:rFonts w:ascii="Arial" w:hAnsi="Arial" w:cs="Arial"/>
          <w:color w:val="000000" w:themeColor="text1"/>
          <w:szCs w:val="24"/>
          <w:lang w:val="en-GB"/>
        </w:rPr>
        <w:t>”.</w:t>
      </w:r>
      <w:r w:rsidR="00E773F6" w:rsidRPr="0028108F">
        <w:rPr>
          <w:rStyle w:val="FootnoteReference"/>
          <w:rFonts w:ascii="Arial" w:hAnsi="Arial" w:cs="Arial"/>
          <w:color w:val="000000" w:themeColor="text1"/>
          <w:szCs w:val="24"/>
          <w:lang w:val="en-GB"/>
        </w:rPr>
        <w:footnoteReference w:id="437"/>
      </w:r>
      <w:r w:rsidR="00E773F6" w:rsidRPr="0028108F">
        <w:rPr>
          <w:rFonts w:ascii="Arial" w:hAnsi="Arial" w:cs="Arial"/>
          <w:color w:val="000000" w:themeColor="text1"/>
          <w:szCs w:val="24"/>
          <w:lang w:val="en-GB"/>
        </w:rPr>
        <w:t xml:space="preserve">  She </w:t>
      </w:r>
      <w:r w:rsidRPr="0028108F">
        <w:rPr>
          <w:rFonts w:ascii="Arial" w:hAnsi="Arial" w:cs="Arial"/>
          <w:color w:val="000000" w:themeColor="text1"/>
          <w:szCs w:val="24"/>
          <w:lang w:val="en-GB"/>
        </w:rPr>
        <w:t xml:space="preserve">has </w:t>
      </w:r>
      <w:r w:rsidR="00E773F6" w:rsidRPr="0028108F">
        <w:rPr>
          <w:rFonts w:ascii="Arial" w:hAnsi="Arial" w:cs="Arial"/>
          <w:color w:val="000000" w:themeColor="text1"/>
          <w:szCs w:val="24"/>
          <w:lang w:val="en-GB"/>
        </w:rPr>
        <w:t>further stated that: “</w:t>
      </w:r>
      <w:r w:rsidR="00E773F6" w:rsidRPr="0028108F">
        <w:rPr>
          <w:rFonts w:ascii="Arial" w:hAnsi="Arial" w:cs="Arial"/>
          <w:i/>
          <w:color w:val="000000" w:themeColor="text1"/>
          <w:szCs w:val="24"/>
          <w:lang w:val="en-GB"/>
        </w:rPr>
        <w:t>[p]roviding a transgender person is willing to front a test case, and brave the time, costs and inevitable publicity involved, then the authorities’ implementation of these policies in his or her particular case is capable of challenge by way of judicial review</w:t>
      </w:r>
      <w:r w:rsidR="00E773F6" w:rsidRPr="0028108F">
        <w:rPr>
          <w:rFonts w:ascii="Arial" w:hAnsi="Arial" w:cs="Arial"/>
          <w:color w:val="000000" w:themeColor="text1"/>
          <w:szCs w:val="24"/>
          <w:lang w:val="en-GB"/>
        </w:rPr>
        <w:t>”.</w:t>
      </w:r>
      <w:r w:rsidR="00E773F6" w:rsidRPr="0028108F">
        <w:rPr>
          <w:rStyle w:val="FootnoteReference"/>
          <w:rFonts w:ascii="Arial" w:hAnsi="Arial" w:cs="Arial"/>
          <w:color w:val="000000" w:themeColor="text1"/>
          <w:szCs w:val="24"/>
          <w:lang w:val="en-GB"/>
        </w:rPr>
        <w:footnoteReference w:id="438"/>
      </w:r>
      <w:r w:rsidR="00E773F6"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Emerton observed </w:t>
      </w:r>
      <w:r w:rsidR="00063D47" w:rsidRPr="0028108F">
        <w:rPr>
          <w:rFonts w:ascii="Arial" w:hAnsi="Arial" w:cs="Arial"/>
          <w:color w:val="000000" w:themeColor="text1"/>
          <w:szCs w:val="24"/>
          <w:lang w:val="en-GB"/>
        </w:rPr>
        <w:t>that, i</w:t>
      </w:r>
      <w:r w:rsidR="00E773F6" w:rsidRPr="0028108F">
        <w:rPr>
          <w:rFonts w:ascii="Arial" w:hAnsi="Arial" w:cs="Arial"/>
          <w:color w:val="000000" w:themeColor="text1"/>
          <w:szCs w:val="24"/>
          <w:lang w:val="en-GB"/>
        </w:rPr>
        <w:t>f the authorities’ own interpretation of the law and consequent policies can be demonstrated as being incompatible with the Hong Kong Bill of Rights Ordinance and/or the Basic Law, then the courts would be obliged to declare them invalid, as well as to grant remedies in the applicant's particular case.</w:t>
      </w:r>
      <w:r w:rsidR="00E773F6" w:rsidRPr="0028108F">
        <w:rPr>
          <w:rStyle w:val="FootnoteReference"/>
          <w:rFonts w:ascii="Arial" w:hAnsi="Arial" w:cs="Arial"/>
          <w:color w:val="000000" w:themeColor="text1"/>
          <w:szCs w:val="24"/>
          <w:lang w:val="en-GB"/>
        </w:rPr>
        <w:footnoteReference w:id="439"/>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u w:val="single"/>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Emerton</w:t>
      </w:r>
      <w:r w:rsidRPr="0028108F">
        <w:rPr>
          <w:rFonts w:ascii="Arial" w:hAnsi="Arial" w:cs="Arial"/>
          <w:color w:val="000000" w:themeColor="text1"/>
          <w:szCs w:val="24"/>
          <w:lang w:val="en-GB"/>
        </w:rPr>
        <w:t xml:space="preserve"> made the following </w:t>
      </w:r>
      <w:r w:rsidR="005E6528">
        <w:rPr>
          <w:rFonts w:ascii="Arial" w:hAnsi="Arial" w:cs="Arial" w:hint="eastAsia"/>
          <w:color w:val="000000" w:themeColor="text1"/>
          <w:szCs w:val="24"/>
          <w:lang w:val="en-GB"/>
        </w:rPr>
        <w:t>observation</w:t>
      </w:r>
      <w:r w:rsidRPr="0028108F">
        <w:rPr>
          <w:rFonts w:ascii="Arial" w:hAnsi="Arial" w:cs="Arial"/>
          <w:color w:val="000000" w:themeColor="text1"/>
          <w:szCs w:val="24"/>
          <w:lang w:val="en-GB"/>
        </w:rPr>
        <w:t xml:space="preserve"> about the need for a gender recognition scheme in Hong Kong:</w:t>
      </w:r>
    </w:p>
    <w:p w:rsidR="00E773F6" w:rsidRPr="0028108F" w:rsidRDefault="00E773F6" w:rsidP="00E773F6">
      <w:pPr>
        <w:tabs>
          <w:tab w:val="left" w:pos="2552"/>
        </w:tabs>
        <w:snapToGrid w:val="0"/>
        <w:jc w:val="both"/>
        <w:rPr>
          <w:rFonts w:ascii="Arial" w:hAnsi="Arial" w:cs="Arial"/>
          <w:color w:val="000000" w:themeColor="text1"/>
          <w:szCs w:val="24"/>
          <w:lang w:val="en-GB"/>
        </w:rPr>
      </w:pP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“Clearly, legislation offers the only certain and comprehensive road to reform.  It is likely to be the only way </w:t>
      </w:r>
      <w:r w:rsidRPr="0028108F">
        <w:rPr>
          <w:rFonts w:ascii="Arial" w:hAnsi="Arial" w:cs="Arial"/>
          <w:i/>
          <w:szCs w:val="24"/>
          <w:lang w:val="en-GB"/>
        </w:rPr>
        <w:t>in</w:t>
      </w:r>
      <w:r w:rsidRPr="0028108F">
        <w:rPr>
          <w:rFonts w:ascii="Arial" w:hAnsi="Arial" w:cs="Arial"/>
          <w:i/>
          <w:color w:val="000000" w:themeColor="text1"/>
          <w:szCs w:val="24"/>
          <w:lang w:val="en-GB"/>
        </w:rPr>
        <w:t xml:space="preserve"> which to achieve the wholesale legal recognition of the chosen gender of transgender persons – not just for marriage purposes.  In addition, it is probably the only way in which the rights of transgender persons other than post-operative transsexual persons are likely to be addressed, as the international and comparative law relied upon to advance the position of transgender persons in the above analysis is so far limited to the situation of post-operative transsexual persons. …</w:t>
      </w:r>
    </w:p>
    <w:p w:rsidR="00E773F6" w:rsidRPr="0028108F" w:rsidRDefault="00E773F6" w:rsidP="00E773F6">
      <w:pPr>
        <w:tabs>
          <w:tab w:val="left" w:pos="2436"/>
        </w:tabs>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b/>
      </w: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[T]he prompt introduction of legislation in this area … would hopefully lead to more comprehensive coverage of the issues than can realistically be achieved in the courts, and to more inclusiveness in terms of the range of transgender persons who would benefit from the legislation.  The task is greatly aided by the availability of legislative models from around the world and in particular the UK Gender Recognition Act, which will take effect in the same legislative and administrative framework as Hong Kong.”</w:t>
      </w:r>
      <w:r w:rsidRPr="0028108F">
        <w:rPr>
          <w:rStyle w:val="FootnoteReference"/>
          <w:rFonts w:ascii="Arial" w:hAnsi="Arial" w:cs="Arial"/>
          <w:color w:val="000000" w:themeColor="text1"/>
          <w:szCs w:val="24"/>
          <w:lang w:val="en-GB"/>
        </w:rPr>
        <w:footnoteReference w:id="440"/>
      </w:r>
      <w:r w:rsidRPr="0028108F">
        <w:rPr>
          <w:rStyle w:val="FootnoteReference"/>
          <w:rFonts w:ascii="Arial" w:hAnsi="Arial" w:cs="Arial"/>
          <w:color w:val="000000" w:themeColor="text1"/>
          <w:szCs w:val="24"/>
          <w:lang w:val="en-GB"/>
        </w:rPr>
        <w:t xml:space="preserve"> </w:t>
      </w:r>
    </w:p>
    <w:p w:rsidR="00E773F6" w:rsidRPr="0028108F" w:rsidRDefault="00E773F6" w:rsidP="00E773F6">
      <w:pPr>
        <w:adjustRightInd w:val="0"/>
        <w:snapToGrid w:val="0"/>
        <w:ind w:leftChars="200" w:left="480"/>
        <w:jc w:val="both"/>
        <w:rPr>
          <w:rFonts w:ascii="Arial" w:hAnsi="Arial" w:cs="Arial"/>
          <w:b/>
          <w:szCs w:val="24"/>
          <w:lang w:val="en-GB"/>
        </w:rPr>
      </w:pPr>
    </w:p>
    <w:p w:rsidR="00E773F6" w:rsidRPr="0028108F" w:rsidRDefault="00E773F6" w:rsidP="00E773F6">
      <w:pPr>
        <w:adjustRightInd w:val="0"/>
        <w:snapToGrid w:val="0"/>
        <w:ind w:leftChars="200" w:left="480"/>
        <w:jc w:val="both"/>
        <w:rPr>
          <w:rFonts w:ascii="Arial" w:hAnsi="Arial" w:cs="Arial"/>
          <w:b/>
          <w:szCs w:val="24"/>
          <w:lang w:val="en-GB"/>
        </w:rPr>
      </w:pPr>
    </w:p>
    <w:p w:rsidR="00E773F6" w:rsidRPr="0028108F" w:rsidRDefault="0006282B"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Arguments against</w:t>
      </w:r>
      <w:r w:rsidR="00E773F6" w:rsidRPr="0028108F">
        <w:rPr>
          <w:rFonts w:ascii="Arial" w:hAnsi="Arial" w:cs="Arial"/>
          <w:b/>
          <w:color w:val="000000" w:themeColor="text1"/>
          <w:sz w:val="28"/>
          <w:szCs w:val="28"/>
          <w:lang w:val="en-GB"/>
        </w:rPr>
        <w:t xml:space="preserve"> having a gender recognition scheme</w:t>
      </w:r>
    </w:p>
    <w:p w:rsidR="00E773F6" w:rsidRPr="0028108F" w:rsidRDefault="00E773F6" w:rsidP="00E773F6">
      <w:pPr>
        <w:adjustRightInd w:val="0"/>
        <w:snapToGrid w:val="0"/>
        <w:jc w:val="both"/>
        <w:rPr>
          <w:rFonts w:ascii="Arial" w:hAnsi="Arial" w:cs="Arial"/>
          <w:color w:val="0000FF"/>
          <w:szCs w:val="24"/>
          <w:lang w:val="en-GB"/>
        </w:rPr>
      </w:pPr>
    </w:p>
    <w:p w:rsidR="00E773F6" w:rsidRPr="0028108F" w:rsidRDefault="00E773F6" w:rsidP="00E773F6">
      <w:pPr>
        <w:tabs>
          <w:tab w:val="left" w:pos="2552"/>
        </w:tabs>
        <w:snapToGrid w:val="0"/>
        <w:jc w:val="both"/>
        <w:rPr>
          <w:rFonts w:ascii="Arial" w:hAnsi="Arial" w:cs="Arial"/>
          <w:b/>
          <w:i/>
          <w:color w:val="0000FF"/>
          <w:szCs w:val="24"/>
          <w:lang w:val="en-GB"/>
        </w:rPr>
      </w:pPr>
      <w:r w:rsidRPr="0028108F">
        <w:rPr>
          <w:rFonts w:ascii="Arial" w:hAnsi="Arial" w:cs="Arial"/>
          <w:b/>
          <w:i/>
          <w:color w:val="000000" w:themeColor="text1"/>
          <w:szCs w:val="24"/>
          <w:lang w:val="en-GB"/>
        </w:rPr>
        <w:t xml:space="preserve">Argument (1): </w:t>
      </w:r>
      <w:r w:rsidR="00F40F70" w:rsidRPr="0028108F">
        <w:rPr>
          <w:rFonts w:ascii="Arial" w:hAnsi="Arial" w:cs="Arial"/>
          <w:b/>
          <w:i/>
          <w:color w:val="000000" w:themeColor="text1"/>
          <w:szCs w:val="24"/>
          <w:lang w:val="en-GB"/>
        </w:rPr>
        <w:t>The s</w:t>
      </w:r>
      <w:r w:rsidRPr="0028108F">
        <w:rPr>
          <w:rFonts w:ascii="Arial" w:hAnsi="Arial" w:cs="Arial"/>
          <w:b/>
          <w:i/>
          <w:color w:val="000000" w:themeColor="text1"/>
          <w:szCs w:val="24"/>
          <w:lang w:val="en-GB"/>
        </w:rPr>
        <w:t>ex of a person is determined at birth and recognising a person’s non-birth gender opposes the law of nature</w:t>
      </w:r>
    </w:p>
    <w:p w:rsidR="00E773F6" w:rsidRPr="0028108F" w:rsidRDefault="00E773F6" w:rsidP="00E773F6">
      <w:pPr>
        <w:adjustRightInd w:val="0"/>
        <w:snapToGrid w:val="0"/>
        <w:ind w:leftChars="200" w:left="480"/>
        <w:jc w:val="both"/>
        <w:rPr>
          <w:rFonts w:ascii="Arial" w:hAnsi="Arial" w:cs="Arial"/>
          <w:b/>
          <w:szCs w:val="24"/>
          <w:lang w:val="en-GB"/>
        </w:rPr>
      </w:pPr>
    </w:p>
    <w:p w:rsidR="00E773F6" w:rsidRPr="00181CF2"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observed by the Court of First Instance in </w:t>
      </w:r>
      <w:r w:rsidR="00334997" w:rsidRPr="0028108F">
        <w:rPr>
          <w:rFonts w:ascii="Arial" w:hAnsi="Arial" w:cs="Arial"/>
          <w:i/>
          <w:szCs w:val="24"/>
          <w:lang w:val="en-GB"/>
        </w:rPr>
        <w:t>W</w:t>
      </w:r>
      <w:r w:rsidR="00334997" w:rsidRPr="00181CF2">
        <w:rPr>
          <w:rFonts w:ascii="Arial" w:hAnsi="Arial" w:cs="Arial"/>
          <w:szCs w:val="24"/>
          <w:lang w:val="en-GB"/>
        </w:rPr>
        <w:t>’s case</w:t>
      </w:r>
      <w:r w:rsidR="00F40F70" w:rsidRPr="0028108F">
        <w:rPr>
          <w:rFonts w:ascii="Arial" w:hAnsi="Arial" w:cs="Arial"/>
          <w:szCs w:val="24"/>
          <w:lang w:val="en-GB"/>
        </w:rPr>
        <w:t>:</w:t>
      </w:r>
      <w:r w:rsidRPr="00181CF2">
        <w:rPr>
          <w:rStyle w:val="FootnoteReference"/>
          <w:rFonts w:ascii="Arial" w:hAnsi="Arial" w:cs="Arial"/>
          <w:szCs w:val="24"/>
          <w:lang w:val="en-GB"/>
        </w:rPr>
        <w:footnoteReference w:id="441"/>
      </w:r>
      <w:r w:rsidRPr="00181CF2">
        <w:rPr>
          <w:rFonts w:ascii="Arial" w:hAnsi="Arial" w:cs="Arial"/>
          <w:szCs w:val="24"/>
          <w:lang w:val="en-GB"/>
        </w:rPr>
        <w:t xml:space="preserve"> </w:t>
      </w:r>
    </w:p>
    <w:p w:rsidR="00E773F6" w:rsidRPr="00C57CE1" w:rsidRDefault="00E773F6" w:rsidP="00E773F6">
      <w:pPr>
        <w:pStyle w:val="ListParagraph"/>
        <w:tabs>
          <w:tab w:val="left" w:pos="1418"/>
          <w:tab w:val="left" w:pos="2552"/>
        </w:tabs>
        <w:adjustRightInd w:val="0"/>
        <w:snapToGrid w:val="0"/>
        <w:ind w:leftChars="0" w:left="0"/>
        <w:jc w:val="both"/>
        <w:rPr>
          <w:rFonts w:ascii="Arial" w:hAnsi="Arial" w:cs="Arial"/>
          <w:i/>
          <w:color w:val="000000" w:themeColor="text1"/>
          <w:szCs w:val="24"/>
          <w:lang w:val="en-GB"/>
        </w:rPr>
      </w:pPr>
    </w:p>
    <w:p w:rsidR="00E773F6" w:rsidRPr="0028108F" w:rsidRDefault="00E773F6" w:rsidP="00E773F6">
      <w:pPr>
        <w:pStyle w:val="ListParagraph"/>
        <w:tabs>
          <w:tab w:val="left" w:pos="851"/>
        </w:tabs>
        <w:adjustRightInd w:val="0"/>
        <w:snapToGrid w:val="0"/>
        <w:ind w:leftChars="0" w:left="851" w:rightChars="212" w:right="509"/>
        <w:jc w:val="both"/>
        <w:rPr>
          <w:rFonts w:ascii="Arial" w:hAnsi="Arial" w:cs="Arial"/>
          <w:color w:val="000000" w:themeColor="text1"/>
          <w:szCs w:val="24"/>
          <w:lang w:val="en-GB"/>
        </w:rPr>
      </w:pPr>
      <w:r w:rsidRPr="0028108F">
        <w:rPr>
          <w:rFonts w:ascii="Arial" w:hAnsi="Arial" w:cs="Arial"/>
          <w:i/>
          <w:color w:val="000000" w:themeColor="text1"/>
          <w:szCs w:val="24"/>
          <w:lang w:val="en-GB"/>
        </w:rPr>
        <w:t>“Surgery of either form [i.e. male-to-female transsexual surgery or female-to-male transsexual surgery], however, cannot change the chromosomes of the person or establish fertility.  Surgery can change the sex phenotype to suit the patient’s gender identity so that his or her distress can be relieved.  Surgery can also enable the individual to feel better accepted as a member of the desired gender.  Surgery, however, cannot change the genetic sex.”</w:t>
      </w:r>
      <w:r w:rsidRPr="0028108F">
        <w:rPr>
          <w:rStyle w:val="FootnoteReference"/>
          <w:rFonts w:ascii="Arial" w:hAnsi="Arial" w:cs="Arial"/>
          <w:i/>
          <w:color w:val="000000" w:themeColor="text1"/>
          <w:szCs w:val="24"/>
          <w:lang w:val="en-GB"/>
        </w:rPr>
        <w:footnoteReference w:id="442"/>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C57CE1" w:rsidRDefault="00E773F6" w:rsidP="0028108F">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Some people regard this binary division of humanity as immutable – ordained by God or nature and thus not </w:t>
      </w:r>
      <w:r w:rsidR="00F40F70" w:rsidRPr="0028108F">
        <w:rPr>
          <w:rFonts w:ascii="Arial" w:hAnsi="Arial" w:cs="Arial"/>
          <w:szCs w:val="24"/>
          <w:lang w:val="en-GB"/>
        </w:rPr>
        <w:t xml:space="preserve">to </w:t>
      </w:r>
      <w:r w:rsidRPr="0028108F">
        <w:rPr>
          <w:rFonts w:ascii="Arial" w:hAnsi="Arial" w:cs="Arial"/>
          <w:szCs w:val="24"/>
          <w:lang w:val="en-GB"/>
        </w:rPr>
        <w:t xml:space="preserve">be denied or challenged by conduct, advocacy or law.  </w:t>
      </w:r>
      <w:r w:rsidR="00C444D3" w:rsidRPr="0028108F">
        <w:rPr>
          <w:rFonts w:ascii="Arial" w:hAnsi="Arial" w:cs="Arial"/>
          <w:szCs w:val="24"/>
          <w:lang w:val="en-GB"/>
        </w:rPr>
        <w:t>It was noted that w</w:t>
      </w:r>
      <w:r w:rsidRPr="00C57CE1">
        <w:rPr>
          <w:rFonts w:ascii="Arial" w:hAnsi="Arial" w:cs="Arial"/>
          <w:szCs w:val="24"/>
          <w:lang w:val="en-GB"/>
        </w:rPr>
        <w:t>ithin Christianity, there</w:t>
      </w:r>
      <w:r w:rsidRPr="0028108F">
        <w:rPr>
          <w:rFonts w:ascii="Arial" w:hAnsi="Arial" w:cs="Arial"/>
          <w:szCs w:val="24"/>
          <w:lang w:val="en-GB"/>
        </w:rPr>
        <w:t xml:space="preserve"> are some pastors </w:t>
      </w:r>
      <w:r w:rsidR="00C444D3" w:rsidRPr="0028108F">
        <w:rPr>
          <w:rFonts w:ascii="Arial" w:hAnsi="Arial" w:cs="Arial"/>
          <w:szCs w:val="24"/>
          <w:lang w:val="en-GB"/>
        </w:rPr>
        <w:t>such as R</w:t>
      </w:r>
      <w:r w:rsidR="00C444D3" w:rsidRPr="00181CF2">
        <w:rPr>
          <w:rFonts w:ascii="Arial" w:hAnsi="Arial" w:cs="Arial"/>
          <w:szCs w:val="24"/>
          <w:lang w:val="en-GB"/>
        </w:rPr>
        <w:t>o</w:t>
      </w:r>
      <w:r w:rsidR="00C444D3" w:rsidRPr="0028108F">
        <w:rPr>
          <w:rFonts w:ascii="Arial" w:hAnsi="Arial" w:cs="Arial"/>
          <w:szCs w:val="24"/>
          <w:lang w:val="en-GB"/>
        </w:rPr>
        <w:t xml:space="preserve">bert A J Gagnon (an </w:t>
      </w:r>
      <w:r w:rsidR="00C444D3" w:rsidRPr="00181CF2">
        <w:rPr>
          <w:rFonts w:ascii="Arial" w:hAnsi="Arial" w:cs="Arial"/>
          <w:szCs w:val="24"/>
          <w:lang w:val="en-GB"/>
        </w:rPr>
        <w:t xml:space="preserve">ordained </w:t>
      </w:r>
      <w:r w:rsidR="00C444D3" w:rsidRPr="0028108F">
        <w:rPr>
          <w:rFonts w:ascii="Arial" w:hAnsi="Arial" w:cs="Arial"/>
          <w:szCs w:val="24"/>
          <w:lang w:val="en-GB"/>
        </w:rPr>
        <w:t xml:space="preserve">elder in the Presbyterian Church of the US) </w:t>
      </w:r>
      <w:r w:rsidRPr="00181CF2">
        <w:rPr>
          <w:rFonts w:ascii="Arial" w:hAnsi="Arial" w:cs="Arial"/>
          <w:szCs w:val="24"/>
          <w:lang w:val="en-GB"/>
        </w:rPr>
        <w:t>who regard transsexuality as a purely medical problem with a medical solution, as well as those who may even regard transsexuality as essentially blasp</w:t>
      </w:r>
      <w:r w:rsidRPr="00C57CE1">
        <w:rPr>
          <w:rFonts w:ascii="Arial" w:hAnsi="Arial" w:cs="Arial"/>
          <w:szCs w:val="24"/>
          <w:lang w:val="en-GB"/>
        </w:rPr>
        <w:t xml:space="preserve">hemous – a </w:t>
      </w:r>
      <w:r w:rsidRPr="0028108F">
        <w:rPr>
          <w:rFonts w:ascii="Arial" w:hAnsi="Arial" w:cs="Arial"/>
          <w:i/>
          <w:szCs w:val="24"/>
          <w:lang w:val="en-GB"/>
        </w:rPr>
        <w:t>“decisive complaint or rebellion against God.”</w:t>
      </w:r>
      <w:r w:rsidRPr="00181CF2">
        <w:rPr>
          <w:rStyle w:val="FootnoteReference"/>
          <w:rFonts w:ascii="Arial" w:hAnsi="Arial" w:cs="Arial"/>
          <w:color w:val="000000" w:themeColor="text1"/>
          <w:szCs w:val="24"/>
          <w:lang w:val="en-GB"/>
        </w:rPr>
        <w:footnoteReference w:id="443"/>
      </w:r>
      <w:r w:rsidRPr="00181CF2">
        <w:rPr>
          <w:rFonts w:ascii="Arial" w:hAnsi="Arial" w:cs="Arial"/>
          <w:szCs w:val="24"/>
          <w:lang w:val="en-GB"/>
        </w:rPr>
        <w:t xml:space="preserve">  </w:t>
      </w:r>
      <w:r w:rsidR="00163780" w:rsidRPr="0028108F">
        <w:rPr>
          <w:rFonts w:ascii="Arial" w:hAnsi="Arial" w:cs="Arial"/>
          <w:szCs w:val="24"/>
          <w:lang w:val="en-GB"/>
        </w:rPr>
        <w:t>Such</w:t>
      </w:r>
      <w:r w:rsidR="00163780" w:rsidRPr="00181CF2">
        <w:rPr>
          <w:rFonts w:ascii="Arial" w:hAnsi="Arial" w:cs="Arial"/>
          <w:szCs w:val="24"/>
          <w:lang w:val="en-GB"/>
        </w:rPr>
        <w:t xml:space="preserve"> </w:t>
      </w:r>
      <w:r w:rsidRPr="00C57CE1">
        <w:rPr>
          <w:rFonts w:ascii="Arial" w:hAnsi="Arial" w:cs="Arial"/>
          <w:szCs w:val="24"/>
          <w:lang w:val="en-GB"/>
        </w:rPr>
        <w:t>view</w:t>
      </w:r>
      <w:r w:rsidR="00163780" w:rsidRPr="0028108F">
        <w:rPr>
          <w:rFonts w:ascii="Arial" w:hAnsi="Arial" w:cs="Arial"/>
          <w:szCs w:val="24"/>
          <w:lang w:val="en-GB"/>
        </w:rPr>
        <w:t>s</w:t>
      </w:r>
      <w:r w:rsidRPr="00181CF2">
        <w:rPr>
          <w:rFonts w:ascii="Arial" w:hAnsi="Arial" w:cs="Arial"/>
          <w:szCs w:val="24"/>
          <w:lang w:val="en-GB"/>
        </w:rPr>
        <w:t xml:space="preserve"> </w:t>
      </w:r>
      <w:r w:rsidR="00163780" w:rsidRPr="0028108F">
        <w:rPr>
          <w:rFonts w:ascii="Arial" w:hAnsi="Arial" w:cs="Arial"/>
          <w:szCs w:val="24"/>
          <w:lang w:val="en-GB"/>
        </w:rPr>
        <w:t>were</w:t>
      </w:r>
      <w:r w:rsidRPr="00C57CE1">
        <w:rPr>
          <w:rFonts w:ascii="Arial" w:hAnsi="Arial" w:cs="Arial"/>
          <w:szCs w:val="24"/>
          <w:lang w:val="en-GB"/>
        </w:rPr>
        <w:t xml:space="preserve"> articulated by the Evangelical Anglican ethicist, Oliver O’Donovan:</w:t>
      </w:r>
    </w:p>
    <w:p w:rsidR="00E773F6" w:rsidRPr="0028108F" w:rsidRDefault="00E773F6" w:rsidP="0028108F">
      <w:pPr>
        <w:tabs>
          <w:tab w:val="left" w:pos="2436"/>
        </w:tabs>
        <w:snapToGrid w:val="0"/>
        <w:jc w:val="both"/>
        <w:rPr>
          <w:rFonts w:ascii="Arial" w:hAnsi="Arial" w:cs="Arial"/>
          <w:szCs w:val="24"/>
          <w:lang w:val="en-GB"/>
        </w:rPr>
      </w:pPr>
    </w:p>
    <w:p w:rsidR="00E773F6" w:rsidRPr="00181CF2" w:rsidRDefault="00E773F6" w:rsidP="00E773F6">
      <w:pPr>
        <w:pStyle w:val="ListParagraph"/>
        <w:tabs>
          <w:tab w:val="left" w:pos="851"/>
        </w:tabs>
        <w:adjustRightInd w:val="0"/>
        <w:snapToGrid w:val="0"/>
        <w:ind w:leftChars="0" w:left="851" w:rightChars="212" w:right="509"/>
        <w:jc w:val="both"/>
        <w:rPr>
          <w:rFonts w:ascii="Arial" w:hAnsi="Arial" w:cs="Arial"/>
          <w:color w:val="000000" w:themeColor="text1"/>
          <w:szCs w:val="24"/>
          <w:lang w:val="en-GB"/>
        </w:rPr>
      </w:pPr>
      <w:r w:rsidRPr="0028108F">
        <w:rPr>
          <w:rFonts w:ascii="Arial" w:hAnsi="Arial" w:cs="Arial"/>
          <w:i/>
          <w:color w:val="000000" w:themeColor="text1"/>
          <w:szCs w:val="24"/>
          <w:lang w:val="en-GB"/>
        </w:rPr>
        <w:t>“Human beings come into existence with a dimorphically differentiated sexuality, clearly ordered at the biological level towards heterosexual union as the human mode of procreation.  It is not possible to negotiate this fact about our common humanity; it can only be either welcomed or resented.”</w:t>
      </w:r>
      <w:r w:rsidRPr="0028108F">
        <w:rPr>
          <w:rStyle w:val="FootnoteReference"/>
          <w:rFonts w:ascii="Arial" w:hAnsi="Arial" w:cs="Arial"/>
          <w:color w:val="000000" w:themeColor="text1"/>
          <w:szCs w:val="24"/>
          <w:lang w:val="en-GB"/>
        </w:rPr>
        <w:footnoteReference w:id="444"/>
      </w:r>
    </w:p>
    <w:p w:rsidR="00E773F6" w:rsidRPr="00181CF2" w:rsidRDefault="00C444D3"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w:t>
      </w:r>
      <w:r w:rsidR="004B2E95" w:rsidRPr="00181CF2">
        <w:rPr>
          <w:rFonts w:ascii="Arial" w:hAnsi="Arial" w:cs="Arial"/>
          <w:szCs w:val="24"/>
          <w:lang w:val="en-GB"/>
        </w:rPr>
        <w:t xml:space="preserve">has been </w:t>
      </w:r>
      <w:r w:rsidRPr="0028108F">
        <w:rPr>
          <w:rFonts w:ascii="Arial" w:hAnsi="Arial" w:cs="Arial"/>
          <w:szCs w:val="24"/>
          <w:lang w:val="en-GB"/>
        </w:rPr>
        <w:t xml:space="preserve">observed by </w:t>
      </w:r>
      <w:r w:rsidR="0081355D" w:rsidRPr="0028108F">
        <w:rPr>
          <w:rFonts w:ascii="Arial" w:hAnsi="Arial" w:cs="Arial"/>
          <w:szCs w:val="24"/>
          <w:lang w:val="en-GB"/>
        </w:rPr>
        <w:t xml:space="preserve">Reverend Duncan Dormor, </w:t>
      </w:r>
      <w:r w:rsidR="004B2E95" w:rsidRPr="00181CF2">
        <w:rPr>
          <w:rFonts w:ascii="Arial" w:hAnsi="Arial" w:cs="Arial"/>
          <w:szCs w:val="24"/>
          <w:lang w:val="en-GB"/>
        </w:rPr>
        <w:t>D</w:t>
      </w:r>
      <w:r w:rsidR="0081355D" w:rsidRPr="0028108F">
        <w:rPr>
          <w:rFonts w:ascii="Arial" w:hAnsi="Arial" w:cs="Arial"/>
          <w:szCs w:val="24"/>
          <w:lang w:val="en-GB"/>
        </w:rPr>
        <w:t xml:space="preserve">ean </w:t>
      </w:r>
      <w:r w:rsidR="004B2E95" w:rsidRPr="00181CF2">
        <w:rPr>
          <w:rFonts w:ascii="Arial" w:hAnsi="Arial" w:cs="Arial"/>
          <w:szCs w:val="24"/>
          <w:lang w:val="en-GB"/>
        </w:rPr>
        <w:t>o</w:t>
      </w:r>
      <w:r w:rsidR="004B2E95" w:rsidRPr="00C57CE1">
        <w:rPr>
          <w:rFonts w:ascii="Arial" w:hAnsi="Arial" w:cs="Arial"/>
          <w:szCs w:val="24"/>
          <w:lang w:val="en-GB"/>
        </w:rPr>
        <w:t xml:space="preserve">f </w:t>
      </w:r>
      <w:r w:rsidR="004B2E95" w:rsidRPr="00181CF2">
        <w:rPr>
          <w:rFonts w:ascii="Arial" w:hAnsi="Arial" w:cs="Arial"/>
          <w:szCs w:val="24"/>
          <w:lang w:val="en-GB"/>
        </w:rPr>
        <w:t>C</w:t>
      </w:r>
      <w:r w:rsidR="0081355D" w:rsidRPr="0028108F">
        <w:rPr>
          <w:rFonts w:ascii="Arial" w:hAnsi="Arial" w:cs="Arial"/>
          <w:szCs w:val="24"/>
          <w:lang w:val="en-GB"/>
        </w:rPr>
        <w:t>hapel at St John</w:t>
      </w:r>
      <w:r w:rsidR="009635BF">
        <w:rPr>
          <w:rFonts w:ascii="Arial" w:hAnsi="Arial" w:cs="Arial"/>
          <w:szCs w:val="24"/>
          <w:lang w:val="en-GB"/>
        </w:rPr>
        <w:t>’</w:t>
      </w:r>
      <w:r w:rsidR="0081355D" w:rsidRPr="0028108F">
        <w:rPr>
          <w:rFonts w:ascii="Arial" w:hAnsi="Arial" w:cs="Arial"/>
          <w:szCs w:val="24"/>
          <w:lang w:val="en-GB"/>
        </w:rPr>
        <w:t>s College, the University of Cambridge,</w:t>
      </w:r>
      <w:r w:rsidRPr="0028108F">
        <w:rPr>
          <w:rFonts w:ascii="Arial" w:hAnsi="Arial" w:cs="Arial"/>
          <w:szCs w:val="24"/>
          <w:lang w:val="en-GB"/>
        </w:rPr>
        <w:t xml:space="preserve"> that t</w:t>
      </w:r>
      <w:r w:rsidR="00E773F6" w:rsidRPr="00C57CE1">
        <w:rPr>
          <w:rFonts w:ascii="Arial" w:hAnsi="Arial" w:cs="Arial"/>
          <w:szCs w:val="24"/>
          <w:lang w:val="en-GB"/>
        </w:rPr>
        <w:t>he overwhelming majority of Christians belong to churches that articulate a conservative or neo-conservative theological anthropology which place a great emphasis on the differences betwee</w:t>
      </w:r>
      <w:r w:rsidR="00E773F6" w:rsidRPr="0028108F">
        <w:rPr>
          <w:rFonts w:ascii="Arial" w:hAnsi="Arial" w:cs="Arial"/>
          <w:szCs w:val="24"/>
          <w:lang w:val="en-GB"/>
        </w:rPr>
        <w:t>n men and women, male and female.</w:t>
      </w:r>
      <w:r w:rsidR="00E773F6" w:rsidRPr="00181CF2">
        <w:rPr>
          <w:rStyle w:val="FootnoteReference"/>
          <w:rFonts w:ascii="Arial" w:hAnsi="Arial" w:cs="Arial"/>
          <w:color w:val="000000" w:themeColor="text1"/>
          <w:szCs w:val="24"/>
          <w:lang w:val="en-GB"/>
        </w:rPr>
        <w:footnoteReference w:id="445"/>
      </w:r>
      <w:r w:rsidR="00E773F6" w:rsidRPr="00181CF2">
        <w:rPr>
          <w:rFonts w:ascii="Arial" w:hAnsi="Arial" w:cs="Arial"/>
          <w:szCs w:val="24"/>
          <w:lang w:val="en-GB"/>
        </w:rPr>
        <w:t xml:space="preserve">  It has been contended </w:t>
      </w:r>
      <w:r w:rsidR="003E374E" w:rsidRPr="0028108F">
        <w:rPr>
          <w:rFonts w:ascii="Arial" w:hAnsi="Arial" w:cs="Arial"/>
          <w:szCs w:val="24"/>
          <w:lang w:val="en-GB"/>
        </w:rPr>
        <w:t xml:space="preserve">by some organisations like the General Presbytery of the Assemblies of God </w:t>
      </w:r>
      <w:r w:rsidR="00E773F6" w:rsidRPr="00181CF2">
        <w:rPr>
          <w:rFonts w:ascii="Arial" w:hAnsi="Arial" w:cs="Arial"/>
          <w:szCs w:val="24"/>
          <w:lang w:val="en-GB"/>
        </w:rPr>
        <w:t>that a transsexual person’s demand to change sex stem</w:t>
      </w:r>
      <w:r w:rsidR="004B2E95" w:rsidRPr="00C57CE1">
        <w:rPr>
          <w:rFonts w:ascii="Arial" w:hAnsi="Arial" w:cs="Arial"/>
          <w:szCs w:val="24"/>
          <w:lang w:val="en-GB"/>
        </w:rPr>
        <w:t>s</w:t>
      </w:r>
      <w:r w:rsidR="00E773F6" w:rsidRPr="0028108F">
        <w:rPr>
          <w:rFonts w:ascii="Arial" w:hAnsi="Arial" w:cs="Arial"/>
          <w:szCs w:val="24"/>
          <w:lang w:val="en-GB"/>
        </w:rPr>
        <w:t xml:space="preserve"> from his or her </w:t>
      </w:r>
      <w:r w:rsidR="00E773F6" w:rsidRPr="0028108F">
        <w:rPr>
          <w:rFonts w:ascii="Arial" w:hAnsi="Arial" w:cs="Arial"/>
          <w:i/>
          <w:szCs w:val="24"/>
          <w:lang w:val="en-GB"/>
        </w:rPr>
        <w:t>“disordered desire”</w:t>
      </w:r>
      <w:r w:rsidR="00E773F6" w:rsidRPr="0028108F">
        <w:rPr>
          <w:rFonts w:ascii="Arial" w:hAnsi="Arial" w:cs="Arial"/>
          <w:szCs w:val="24"/>
          <w:lang w:val="en-GB"/>
        </w:rPr>
        <w:t>, which likely attributes to same-sex erotic attractions and the aspiration to certain roles belonging properly to one sex.</w:t>
      </w:r>
      <w:r w:rsidR="00E773F6" w:rsidRPr="00181CF2">
        <w:rPr>
          <w:rStyle w:val="FootnoteReference"/>
          <w:rFonts w:ascii="Arial" w:hAnsi="Arial" w:cs="Arial"/>
          <w:color w:val="000000" w:themeColor="text1"/>
          <w:szCs w:val="24"/>
          <w:lang w:val="en-GB"/>
        </w:rPr>
        <w:footnoteReference w:id="446"/>
      </w:r>
      <w:r w:rsidR="00E773F6" w:rsidRPr="00181CF2">
        <w:rPr>
          <w:rFonts w:ascii="Arial" w:hAnsi="Arial" w:cs="Arial"/>
          <w:szCs w:val="24"/>
          <w:lang w:val="en-GB"/>
        </w:rPr>
        <w:t xml:space="preserve">  Transgenderism is therefore perceived as a moral problem </w:t>
      </w:r>
      <w:r w:rsidR="004B2E95" w:rsidRPr="00C57CE1">
        <w:rPr>
          <w:rFonts w:ascii="Arial" w:hAnsi="Arial" w:cs="Arial"/>
          <w:szCs w:val="24"/>
          <w:lang w:val="en-GB"/>
        </w:rPr>
        <w:t xml:space="preserve">and as </w:t>
      </w:r>
      <w:r w:rsidR="00E773F6" w:rsidRPr="0028108F">
        <w:rPr>
          <w:rFonts w:ascii="Arial" w:hAnsi="Arial" w:cs="Arial"/>
          <w:szCs w:val="24"/>
          <w:lang w:val="en-GB"/>
        </w:rPr>
        <w:t>akin to homosexuality, and the advocacy of rights for transgender persons</w:t>
      </w:r>
      <w:r w:rsidR="004B2E95" w:rsidRPr="0028108F">
        <w:rPr>
          <w:rFonts w:ascii="Arial" w:hAnsi="Arial" w:cs="Arial"/>
          <w:szCs w:val="24"/>
          <w:lang w:val="en-GB"/>
        </w:rPr>
        <w:t xml:space="preserve"> is perceived as</w:t>
      </w:r>
      <w:r w:rsidR="00E773F6" w:rsidRPr="0028108F">
        <w:rPr>
          <w:rFonts w:ascii="Arial" w:hAnsi="Arial" w:cs="Arial"/>
          <w:szCs w:val="24"/>
          <w:lang w:val="en-GB"/>
        </w:rPr>
        <w:t xml:space="preserve"> a manifestation of a secular </w:t>
      </w:r>
      <w:r w:rsidR="00E773F6" w:rsidRPr="0028108F">
        <w:rPr>
          <w:rFonts w:ascii="Arial" w:hAnsi="Arial" w:cs="Arial"/>
          <w:i/>
          <w:szCs w:val="24"/>
          <w:lang w:val="en-GB"/>
        </w:rPr>
        <w:t>“gender agenda”</w:t>
      </w:r>
      <w:r w:rsidR="00E773F6" w:rsidRPr="0028108F">
        <w:rPr>
          <w:rFonts w:ascii="Arial" w:hAnsi="Arial" w:cs="Arial"/>
          <w:szCs w:val="24"/>
          <w:lang w:val="en-GB"/>
        </w:rPr>
        <w:t>.</w:t>
      </w:r>
      <w:r w:rsidR="00E773F6" w:rsidRPr="00181CF2">
        <w:rPr>
          <w:rStyle w:val="FootnoteReference"/>
          <w:rFonts w:ascii="Arial" w:hAnsi="Arial" w:cs="Arial"/>
          <w:color w:val="000000" w:themeColor="text1"/>
          <w:szCs w:val="24"/>
          <w:lang w:val="en-GB"/>
        </w:rPr>
        <w:footnoteReference w:id="447"/>
      </w:r>
      <w:r w:rsidR="00E773F6" w:rsidRPr="00181CF2">
        <w:rPr>
          <w:rFonts w:ascii="Arial" w:hAnsi="Arial" w:cs="Arial"/>
          <w:i/>
          <w:szCs w:val="24"/>
          <w:lang w:val="en-GB"/>
        </w:rPr>
        <w:t xml:space="preserve">  </w:t>
      </w:r>
      <w:r w:rsidR="0081355D" w:rsidRPr="0028108F">
        <w:rPr>
          <w:rFonts w:ascii="Arial" w:hAnsi="Arial" w:cs="Arial"/>
          <w:szCs w:val="24"/>
          <w:lang w:val="en-GB"/>
        </w:rPr>
        <w:t>Reverend Dormor</w:t>
      </w:r>
      <w:r w:rsidR="00E773F6" w:rsidRPr="00C57CE1">
        <w:rPr>
          <w:rFonts w:ascii="Arial" w:hAnsi="Arial" w:cs="Arial"/>
          <w:szCs w:val="24"/>
          <w:lang w:val="en-GB"/>
        </w:rPr>
        <w:t xml:space="preserve"> </w:t>
      </w:r>
      <w:r w:rsidR="004B2E95" w:rsidRPr="0028108F">
        <w:rPr>
          <w:rFonts w:ascii="Arial" w:hAnsi="Arial" w:cs="Arial"/>
          <w:szCs w:val="24"/>
          <w:lang w:val="en-GB"/>
        </w:rPr>
        <w:t>set out</w:t>
      </w:r>
      <w:r w:rsidR="00E773F6" w:rsidRPr="0028108F">
        <w:rPr>
          <w:rFonts w:ascii="Arial" w:hAnsi="Arial" w:cs="Arial"/>
          <w:szCs w:val="24"/>
          <w:lang w:val="en-GB"/>
        </w:rPr>
        <w:t xml:space="preserve"> a detailed demonstration of this approach and the ideas and influence of the Roman Catholic Church on the “</w:t>
      </w:r>
      <w:r w:rsidR="00E773F6" w:rsidRPr="0028108F">
        <w:rPr>
          <w:rFonts w:ascii="Arial" w:hAnsi="Arial" w:cs="Arial"/>
          <w:i/>
          <w:szCs w:val="24"/>
          <w:lang w:val="en-GB"/>
        </w:rPr>
        <w:t>order of creation</w:t>
      </w:r>
      <w:r w:rsidR="00E773F6" w:rsidRPr="00181CF2">
        <w:rPr>
          <w:rFonts w:ascii="Arial" w:hAnsi="Arial" w:cs="Arial"/>
          <w:szCs w:val="24"/>
          <w:lang w:val="en-GB"/>
        </w:rPr>
        <w:t xml:space="preserve">” argument in </w:t>
      </w:r>
      <w:r w:rsidR="004B2E95" w:rsidRPr="0028108F">
        <w:rPr>
          <w:rFonts w:ascii="Arial" w:hAnsi="Arial" w:cs="Arial"/>
          <w:szCs w:val="24"/>
          <w:lang w:val="en-GB"/>
        </w:rPr>
        <w:t xml:space="preserve">a </w:t>
      </w:r>
      <w:r w:rsidR="00E773F6" w:rsidRPr="0028108F">
        <w:rPr>
          <w:rFonts w:ascii="Arial" w:hAnsi="Arial" w:cs="Arial"/>
          <w:szCs w:val="24"/>
          <w:lang w:val="en-GB"/>
        </w:rPr>
        <w:t>research project.</w:t>
      </w:r>
      <w:r w:rsidR="00E773F6" w:rsidRPr="00181CF2">
        <w:rPr>
          <w:rStyle w:val="FootnoteReference"/>
          <w:rFonts w:ascii="Arial" w:hAnsi="Arial" w:cs="Arial"/>
          <w:color w:val="000000" w:themeColor="text1"/>
          <w:szCs w:val="24"/>
          <w:lang w:val="en-GB"/>
        </w:rPr>
        <w:footnoteReference w:id="448"/>
      </w:r>
    </w:p>
    <w:p w:rsidR="00994399" w:rsidRPr="00C57CE1" w:rsidRDefault="00994399"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994399" w:rsidRPr="0028108F" w:rsidRDefault="00994399"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Such views echo the ruling in an Australian case </w:t>
      </w:r>
      <w:r w:rsidRPr="0028108F">
        <w:rPr>
          <w:rFonts w:ascii="Arial" w:hAnsi="Arial" w:cs="Arial"/>
          <w:i/>
          <w:szCs w:val="24"/>
          <w:lang w:val="en-GB"/>
        </w:rPr>
        <w:t>R v Harris &amp; McGuiness</w:t>
      </w:r>
      <w:r w:rsidRPr="00181CF2">
        <w:rPr>
          <w:rStyle w:val="FootnoteReference"/>
          <w:rFonts w:ascii="Arial" w:hAnsi="Arial" w:cs="Arial"/>
          <w:szCs w:val="24"/>
          <w:lang w:val="en-GB"/>
        </w:rPr>
        <w:footnoteReference w:id="449"/>
      </w:r>
      <w:r w:rsidRPr="00181CF2">
        <w:rPr>
          <w:rFonts w:ascii="Arial" w:hAnsi="Arial" w:cs="Arial"/>
          <w:szCs w:val="24"/>
          <w:lang w:val="en-GB"/>
        </w:rPr>
        <w:t xml:space="preserve"> that “</w:t>
      </w:r>
      <w:r w:rsidRPr="00C57CE1">
        <w:rPr>
          <w:rFonts w:ascii="Arial" w:hAnsi="Arial" w:cs="Arial"/>
          <w:i/>
          <w:szCs w:val="24"/>
          <w:lang w:val="en-GB"/>
        </w:rPr>
        <w:t>[t]he law could not countenance a definition of male or female which depends on how a particular person views his or her own gender</w:t>
      </w:r>
      <w:r w:rsidRPr="0028108F">
        <w:rPr>
          <w:rFonts w:ascii="Arial" w:hAnsi="Arial" w:cs="Arial"/>
          <w:szCs w:val="24"/>
          <w:lang w:val="en-GB"/>
        </w:rPr>
        <w:t>” because “</w:t>
      </w:r>
      <w:r w:rsidRPr="0028108F">
        <w:rPr>
          <w:rFonts w:ascii="Arial" w:hAnsi="Arial" w:cs="Arial"/>
          <w:i/>
          <w:szCs w:val="24"/>
          <w:lang w:val="en-GB"/>
        </w:rPr>
        <w:t>[t]he consequence of such an approach would be that a person could change sex from year to year despite the fact that the person’s chromosomes are immutable</w:t>
      </w:r>
      <w:r w:rsidRPr="0028108F">
        <w:rPr>
          <w:rFonts w:ascii="Arial" w:hAnsi="Arial" w:cs="Arial"/>
          <w:szCs w:val="24"/>
          <w:lang w:val="en-GB"/>
        </w:rPr>
        <w:t xml:space="preserve">.”  </w:t>
      </w:r>
    </w:p>
    <w:p w:rsidR="00994399" w:rsidRPr="0028108F" w:rsidRDefault="00994399" w:rsidP="0028108F">
      <w:pPr>
        <w:tabs>
          <w:tab w:val="left" w:pos="2436"/>
        </w:tabs>
        <w:snapToGrid w:val="0"/>
        <w:jc w:val="both"/>
        <w:rPr>
          <w:rFonts w:ascii="Arial" w:hAnsi="Arial" w:cs="Arial"/>
          <w:szCs w:val="24"/>
          <w:lang w:val="en-GB"/>
        </w:rPr>
      </w:pPr>
    </w:p>
    <w:p w:rsidR="00E773F6" w:rsidRPr="0028108F" w:rsidRDefault="008C22AB" w:rsidP="0028108F">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lang w:val="en-GB"/>
        </w:rPr>
      </w:pPr>
      <w:r w:rsidRPr="0028108F">
        <w:rPr>
          <w:rFonts w:ascii="Arial" w:hAnsi="Arial" w:cs="Arial"/>
          <w:lang w:val="en-GB"/>
        </w:rPr>
        <w:t>I</w:t>
      </w:r>
      <w:r w:rsidR="00FC747D" w:rsidRPr="0028108F">
        <w:rPr>
          <w:rFonts w:ascii="Arial" w:hAnsi="Arial" w:cs="Arial"/>
          <w:lang w:val="en-GB"/>
        </w:rPr>
        <w:t>n the medical sector</w:t>
      </w:r>
      <w:r w:rsidR="00E43503" w:rsidRPr="0028108F">
        <w:rPr>
          <w:rFonts w:ascii="Arial" w:hAnsi="Arial" w:cs="Arial"/>
          <w:lang w:val="en-GB"/>
        </w:rPr>
        <w:t>, the American College of Pediatricians</w:t>
      </w:r>
      <w:r w:rsidR="004B2E95" w:rsidRPr="0028108F">
        <w:rPr>
          <w:rFonts w:ascii="Arial" w:hAnsi="Arial" w:cs="Arial"/>
          <w:lang w:val="en-GB"/>
        </w:rPr>
        <w:t xml:space="preserve"> recently</w:t>
      </w:r>
      <w:r w:rsidR="00E43503" w:rsidRPr="0028108F">
        <w:rPr>
          <w:rFonts w:ascii="Arial" w:hAnsi="Arial" w:cs="Arial"/>
          <w:lang w:val="en-GB"/>
        </w:rPr>
        <w:t xml:space="preserve"> published a research article</w:t>
      </w:r>
      <w:r w:rsidR="00E43503" w:rsidRPr="00181CF2">
        <w:rPr>
          <w:rStyle w:val="FootnoteReference"/>
          <w:rFonts w:ascii="Arial" w:hAnsi="Arial" w:cs="Arial"/>
          <w:szCs w:val="24"/>
          <w:lang w:val="en-GB"/>
        </w:rPr>
        <w:footnoteReference w:id="450"/>
      </w:r>
      <w:r w:rsidR="00E43503" w:rsidRPr="0028108F">
        <w:rPr>
          <w:rFonts w:ascii="Arial" w:hAnsi="Arial" w:cs="Arial"/>
          <w:lang w:val="en-GB"/>
        </w:rPr>
        <w:t xml:space="preserve"> in which they contended, amongst other things, that it was false that brain differences observed in some studies between transgender adults and non-transgender adults proved that gender dysphoria is innate, and if differences do exist in brain structures of transgender adults, these differences are more likely to be the </w:t>
      </w:r>
      <w:r w:rsidR="004B2E95" w:rsidRPr="0028108F">
        <w:rPr>
          <w:rFonts w:ascii="Arial" w:hAnsi="Arial" w:cs="Arial"/>
          <w:lang w:val="en-GB"/>
        </w:rPr>
        <w:t>“</w:t>
      </w:r>
      <w:r w:rsidR="00E43503" w:rsidRPr="0028108F">
        <w:rPr>
          <w:rFonts w:ascii="Arial" w:hAnsi="Arial" w:cs="Arial"/>
          <w:i/>
          <w:lang w:val="en-GB"/>
        </w:rPr>
        <w:t>result</w:t>
      </w:r>
      <w:r w:rsidR="004B2E95" w:rsidRPr="0028108F">
        <w:rPr>
          <w:rFonts w:ascii="Arial" w:hAnsi="Arial" w:cs="Arial"/>
          <w:lang w:val="en-GB"/>
        </w:rPr>
        <w:t>”</w:t>
      </w:r>
      <w:r w:rsidR="00E43503" w:rsidRPr="0028108F">
        <w:rPr>
          <w:rFonts w:ascii="Arial" w:hAnsi="Arial" w:cs="Arial"/>
          <w:lang w:val="en-GB"/>
        </w:rPr>
        <w:t xml:space="preserve"> of transgender identification and behavio</w:t>
      </w:r>
      <w:r w:rsidR="00BA2699" w:rsidRPr="0028108F">
        <w:rPr>
          <w:rFonts w:ascii="Arial" w:hAnsi="Arial" w:cs="Arial"/>
          <w:lang w:val="en-GB"/>
        </w:rPr>
        <w:t>u</w:t>
      </w:r>
      <w:r w:rsidR="00E43503" w:rsidRPr="0028108F">
        <w:rPr>
          <w:rFonts w:ascii="Arial" w:hAnsi="Arial" w:cs="Arial"/>
          <w:lang w:val="en-GB"/>
        </w:rPr>
        <w:t xml:space="preserve">r, not the </w:t>
      </w:r>
      <w:r w:rsidR="004B2E95" w:rsidRPr="0028108F">
        <w:rPr>
          <w:rFonts w:ascii="Arial" w:hAnsi="Arial" w:cs="Arial"/>
          <w:lang w:val="en-GB"/>
        </w:rPr>
        <w:t>“</w:t>
      </w:r>
      <w:r w:rsidR="00E43503" w:rsidRPr="0028108F">
        <w:rPr>
          <w:rFonts w:ascii="Arial" w:hAnsi="Arial" w:cs="Arial"/>
          <w:i/>
          <w:lang w:val="en-GB"/>
        </w:rPr>
        <w:t>cause</w:t>
      </w:r>
      <w:r w:rsidR="004B2E95" w:rsidRPr="0028108F">
        <w:rPr>
          <w:rFonts w:ascii="Arial" w:hAnsi="Arial" w:cs="Arial"/>
          <w:lang w:val="en-GB"/>
        </w:rPr>
        <w:t>”</w:t>
      </w:r>
      <w:r w:rsidR="00E43503" w:rsidRPr="0028108F">
        <w:rPr>
          <w:rFonts w:ascii="Arial" w:hAnsi="Arial" w:cs="Arial"/>
          <w:lang w:val="en-GB"/>
        </w:rPr>
        <w:t xml:space="preserve"> of transgender identification and behaviour.</w:t>
      </w:r>
      <w:r w:rsidR="00BA2699" w:rsidRPr="0028108F">
        <w:rPr>
          <w:rFonts w:ascii="Arial" w:hAnsi="Arial" w:cs="Arial"/>
          <w:lang w:val="en-GB"/>
        </w:rPr>
        <w:t xml:space="preserve">  In their view, no one is born with an awareness of being male or female, and this awareness develops over time which may be derailed by a </w:t>
      </w:r>
      <w:r w:rsidR="00BA2699" w:rsidRPr="0028108F">
        <w:rPr>
          <w:rFonts w:ascii="Arial" w:hAnsi="Arial" w:cs="Arial"/>
          <w:color w:val="000000" w:themeColor="text1"/>
          <w:lang w:val="en-GB"/>
        </w:rPr>
        <w:t>child’s</w:t>
      </w:r>
      <w:r w:rsidR="00BA2699" w:rsidRPr="0028108F">
        <w:rPr>
          <w:rFonts w:ascii="Arial" w:hAnsi="Arial" w:cs="Arial"/>
          <w:lang w:val="en-GB"/>
        </w:rPr>
        <w:t xml:space="preserve"> subjective perceptions, relationships and adverse experiences from infancy forward.</w:t>
      </w:r>
      <w:r w:rsidR="00FC747D" w:rsidRPr="0028108F">
        <w:rPr>
          <w:rFonts w:ascii="Arial" w:hAnsi="Arial" w:cs="Arial"/>
          <w:lang w:val="en-GB"/>
        </w:rPr>
        <w:t xml:space="preserve">  Further, there were psychiatrists and epidemiologists who took the views that</w:t>
      </w:r>
      <w:r w:rsidR="004B2E95" w:rsidRPr="0028108F">
        <w:rPr>
          <w:rFonts w:ascii="Arial" w:hAnsi="Arial" w:cs="Arial"/>
          <w:color w:val="000000" w:themeColor="text1"/>
          <w:lang w:val="en-GB"/>
        </w:rPr>
        <w:t xml:space="preserve"> </w:t>
      </w:r>
      <w:r w:rsidR="00FC747D" w:rsidRPr="0028108F">
        <w:rPr>
          <w:rFonts w:ascii="Arial" w:hAnsi="Arial" w:cs="Arial"/>
          <w:color w:val="000000" w:themeColor="text1"/>
          <w:lang w:val="en-GB"/>
        </w:rPr>
        <w:t xml:space="preserve">the hypothesis that gender identity is innate </w:t>
      </w:r>
      <w:r w:rsidR="004B2E95" w:rsidRPr="0028108F">
        <w:rPr>
          <w:rFonts w:ascii="Arial" w:hAnsi="Arial" w:cs="Arial"/>
          <w:color w:val="000000" w:themeColor="text1"/>
          <w:lang w:val="en-GB"/>
        </w:rPr>
        <w:t xml:space="preserve">and </w:t>
      </w:r>
      <w:r w:rsidR="00FC747D" w:rsidRPr="0028108F">
        <w:rPr>
          <w:rFonts w:ascii="Arial" w:hAnsi="Arial" w:cs="Arial"/>
          <w:color w:val="000000" w:themeColor="text1"/>
          <w:lang w:val="en-GB"/>
        </w:rPr>
        <w:t>that a person might be “</w:t>
      </w:r>
      <w:r w:rsidR="00FC747D" w:rsidRPr="0028108F">
        <w:rPr>
          <w:rFonts w:ascii="Arial" w:hAnsi="Arial" w:cs="Arial"/>
          <w:i/>
          <w:color w:val="000000" w:themeColor="text1"/>
          <w:lang w:val="en-GB"/>
        </w:rPr>
        <w:t>a man trapped in a woman’s body</w:t>
      </w:r>
      <w:r w:rsidR="00FC747D" w:rsidRPr="0028108F">
        <w:rPr>
          <w:rFonts w:ascii="Arial" w:hAnsi="Arial" w:cs="Arial"/>
          <w:color w:val="000000" w:themeColor="text1"/>
          <w:lang w:val="en-GB"/>
        </w:rPr>
        <w:t>” or “</w:t>
      </w:r>
      <w:r w:rsidR="00FC747D" w:rsidRPr="0028108F">
        <w:rPr>
          <w:rFonts w:ascii="Arial" w:hAnsi="Arial" w:cs="Arial"/>
          <w:i/>
          <w:color w:val="000000" w:themeColor="text1"/>
          <w:lang w:val="en-GB"/>
        </w:rPr>
        <w:t>a woman trapped in a man’s body</w:t>
      </w:r>
      <w:r w:rsidR="00FC747D" w:rsidRPr="0028108F">
        <w:rPr>
          <w:rFonts w:ascii="Arial" w:hAnsi="Arial" w:cs="Arial"/>
          <w:color w:val="000000" w:themeColor="text1"/>
          <w:lang w:val="en-GB"/>
        </w:rPr>
        <w:t>” is not supported by scientific evidence.</w:t>
      </w:r>
      <w:r w:rsidR="00FC747D" w:rsidRPr="00181CF2">
        <w:rPr>
          <w:rStyle w:val="FootnoteReference"/>
          <w:rFonts w:ascii="Arial" w:hAnsi="Arial" w:cs="Arial"/>
          <w:color w:val="000000" w:themeColor="text1"/>
          <w:szCs w:val="24"/>
          <w:lang w:val="en-GB"/>
        </w:rPr>
        <w:footnoteReference w:id="451"/>
      </w:r>
    </w:p>
    <w:p w:rsidR="00E773F6" w:rsidRPr="00181CF2" w:rsidRDefault="00E773F6" w:rsidP="00E773F6">
      <w:pPr>
        <w:adjustRightInd w:val="0"/>
        <w:snapToGrid w:val="0"/>
        <w:jc w:val="both"/>
        <w:rPr>
          <w:rFonts w:ascii="Arial" w:hAnsi="Arial" w:cs="Arial"/>
          <w:color w:val="000000" w:themeColor="text1"/>
          <w:szCs w:val="24"/>
          <w:u w:val="single"/>
          <w:lang w:val="en-GB"/>
        </w:rPr>
      </w:pPr>
    </w:p>
    <w:p w:rsidR="00E773F6" w:rsidRPr="0028108F" w:rsidRDefault="00E773F6"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 (2): There is no evidence that the social acceptance of transsexualism in Hong Kong has been changed</w:t>
      </w:r>
    </w:p>
    <w:p w:rsidR="00E773F6" w:rsidRPr="0028108F" w:rsidRDefault="00E773F6" w:rsidP="00E773F6">
      <w:pPr>
        <w:pStyle w:val="ListParagrap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was the view of the dissenting judge in </w:t>
      </w:r>
      <w:r w:rsidR="00334997" w:rsidRPr="0028108F">
        <w:rPr>
          <w:rFonts w:ascii="Arial" w:hAnsi="Arial" w:cs="Arial"/>
          <w:i/>
          <w:szCs w:val="24"/>
          <w:lang w:val="en-GB"/>
        </w:rPr>
        <w:t>W</w:t>
      </w:r>
      <w:r w:rsidR="00334997" w:rsidRPr="00181CF2">
        <w:rPr>
          <w:rFonts w:ascii="Arial" w:hAnsi="Arial" w:cs="Arial"/>
          <w:szCs w:val="24"/>
          <w:lang w:val="en-GB"/>
        </w:rPr>
        <w:t>’s case</w:t>
      </w:r>
      <w:r w:rsidRPr="00C57CE1">
        <w:rPr>
          <w:rFonts w:ascii="Arial" w:hAnsi="Arial" w:cs="Arial"/>
          <w:szCs w:val="24"/>
          <w:lang w:val="en-GB"/>
        </w:rPr>
        <w:t>, Chan PJ, that the present position in Hong Kong is quite diffe</w:t>
      </w:r>
      <w:r w:rsidRPr="0028108F">
        <w:rPr>
          <w:rFonts w:ascii="Arial" w:hAnsi="Arial" w:cs="Arial"/>
          <w:szCs w:val="24"/>
          <w:lang w:val="en-GB"/>
        </w:rPr>
        <w:t xml:space="preserve">rent from that in Europe and the UK when </w:t>
      </w:r>
      <w:r w:rsidRPr="0028108F">
        <w:rPr>
          <w:rFonts w:ascii="Arial" w:hAnsi="Arial" w:cs="Arial"/>
          <w:i/>
          <w:szCs w:val="24"/>
          <w:lang w:val="en-GB"/>
        </w:rPr>
        <w:t xml:space="preserve">Goodwin </w:t>
      </w:r>
      <w:r w:rsidRPr="0028108F">
        <w:rPr>
          <w:rFonts w:ascii="Arial" w:hAnsi="Arial" w:cs="Arial"/>
          <w:szCs w:val="24"/>
          <w:lang w:val="en-GB"/>
        </w:rPr>
        <w:t xml:space="preserve">was decided.  </w:t>
      </w:r>
      <w:r w:rsidR="00FC0CB0" w:rsidRPr="0028108F">
        <w:rPr>
          <w:rFonts w:ascii="Arial" w:hAnsi="Arial" w:cs="Arial"/>
          <w:szCs w:val="24"/>
          <w:lang w:val="en-GB"/>
        </w:rPr>
        <w:t xml:space="preserve">Chan PJ considered that </w:t>
      </w:r>
      <w:r w:rsidRPr="0028108F">
        <w:rPr>
          <w:rFonts w:ascii="Arial" w:hAnsi="Arial" w:cs="Arial"/>
          <w:szCs w:val="24"/>
          <w:lang w:val="en-GB"/>
        </w:rPr>
        <w:t xml:space="preserve">not only </w:t>
      </w:r>
      <w:r w:rsidR="00FC0CB0" w:rsidRPr="0028108F">
        <w:rPr>
          <w:rFonts w:ascii="Arial" w:hAnsi="Arial" w:cs="Arial"/>
          <w:szCs w:val="24"/>
          <w:lang w:val="en-GB"/>
        </w:rPr>
        <w:t xml:space="preserve">is it </w:t>
      </w:r>
      <w:r w:rsidRPr="0028108F">
        <w:rPr>
          <w:rFonts w:ascii="Arial" w:hAnsi="Arial" w:cs="Arial"/>
          <w:szCs w:val="24"/>
          <w:lang w:val="en-GB"/>
        </w:rPr>
        <w:t>the case that there is no evidence showing that for the purpose of marriage, the ordinary meanings of man and woman in Hong Kong have changed to accommodate a transsexual man and woman, but also</w:t>
      </w:r>
      <w:r w:rsidR="00FC0CB0" w:rsidRPr="0028108F">
        <w:rPr>
          <w:rFonts w:ascii="Arial" w:hAnsi="Arial" w:cs="Arial"/>
          <w:szCs w:val="24"/>
          <w:lang w:val="en-GB"/>
        </w:rPr>
        <w:t>,</w:t>
      </w:r>
      <w:r w:rsidRPr="0028108F">
        <w:rPr>
          <w:rFonts w:ascii="Arial" w:hAnsi="Arial" w:cs="Arial"/>
          <w:szCs w:val="24"/>
          <w:lang w:val="en-GB"/>
        </w:rPr>
        <w:t xml:space="preserve"> nor is there evidence on the degree of social acceptance of transsexualism.</w:t>
      </w:r>
      <w:r w:rsidRPr="0028108F">
        <w:rPr>
          <w:rStyle w:val="FootnoteReference"/>
          <w:rFonts w:ascii="Arial" w:hAnsi="Arial" w:cs="Arial"/>
          <w:szCs w:val="24"/>
          <w:lang w:val="en-GB"/>
        </w:rPr>
        <w:footnoteReference w:id="452"/>
      </w:r>
      <w:r w:rsidRPr="0028108F">
        <w:rPr>
          <w:rFonts w:ascii="Arial" w:hAnsi="Arial" w:cs="Arial"/>
          <w:szCs w:val="24"/>
          <w:lang w:val="en-GB"/>
        </w:rPr>
        <w:t xml:space="preserve">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color w:val="000000" w:themeColor="text1"/>
          <w:szCs w:val="24"/>
          <w:u w:val="single"/>
          <w:lang w:val="en-GB"/>
        </w:rPr>
      </w:pPr>
      <w:r w:rsidRPr="0028108F">
        <w:rPr>
          <w:rFonts w:ascii="Arial" w:hAnsi="Arial" w:cs="Arial"/>
          <w:szCs w:val="24"/>
          <w:lang w:val="en-GB"/>
        </w:rPr>
        <w:t>Further, some people</w:t>
      </w:r>
      <w:r w:rsidR="00192F28" w:rsidRPr="0028108F">
        <w:rPr>
          <w:rFonts w:ascii="Arial" w:hAnsi="Arial" w:cs="Arial"/>
          <w:szCs w:val="24"/>
          <w:lang w:val="en-GB"/>
        </w:rPr>
        <w:t xml:space="preserve"> in Hong Kong</w:t>
      </w:r>
      <w:r w:rsidRPr="0028108F">
        <w:rPr>
          <w:rFonts w:ascii="Arial" w:hAnsi="Arial" w:cs="Arial"/>
          <w:szCs w:val="24"/>
          <w:lang w:val="en-GB"/>
        </w:rPr>
        <w:t xml:space="preserve"> argue that gender recognition is too controversial to be accepted by the society as a whole.  </w:t>
      </w:r>
      <w:r w:rsidR="00192F28" w:rsidRPr="0028108F">
        <w:rPr>
          <w:rFonts w:ascii="Arial" w:hAnsi="Arial" w:cs="Arial"/>
          <w:szCs w:val="24"/>
          <w:lang w:val="en-GB"/>
        </w:rPr>
        <w:t>They consider that t</w:t>
      </w:r>
      <w:r w:rsidRPr="0028108F">
        <w:rPr>
          <w:rFonts w:ascii="Arial" w:hAnsi="Arial" w:cs="Arial"/>
          <w:szCs w:val="24"/>
          <w:lang w:val="en-GB"/>
        </w:rPr>
        <w:t>he concept of gender recognition will change the original laws and policies that determine one’s sex based on the biological sex and chromosomes, and arguably such a change will lead to great confusion among the community and social costs.  Th</w:t>
      </w:r>
      <w:r w:rsidR="00813FAE" w:rsidRPr="0028108F">
        <w:rPr>
          <w:rFonts w:ascii="Arial" w:hAnsi="Arial" w:cs="Arial"/>
          <w:szCs w:val="24"/>
          <w:lang w:val="en-GB"/>
        </w:rPr>
        <w:t>is</w:t>
      </w:r>
      <w:r w:rsidRPr="0028108F">
        <w:rPr>
          <w:rFonts w:ascii="Arial" w:hAnsi="Arial" w:cs="Arial"/>
          <w:szCs w:val="24"/>
          <w:lang w:val="en-GB"/>
        </w:rPr>
        <w:t xml:space="preserve"> </w:t>
      </w:r>
      <w:r w:rsidR="005E6528">
        <w:rPr>
          <w:rFonts w:ascii="Arial" w:hAnsi="Arial" w:cs="Arial" w:hint="eastAsia"/>
          <w:szCs w:val="24"/>
          <w:lang w:val="en-GB"/>
        </w:rPr>
        <w:t xml:space="preserve">view </w:t>
      </w:r>
      <w:r w:rsidRPr="0028108F">
        <w:rPr>
          <w:rFonts w:ascii="Arial" w:hAnsi="Arial" w:cs="Arial"/>
          <w:szCs w:val="24"/>
          <w:lang w:val="en-GB"/>
        </w:rPr>
        <w:t xml:space="preserve">is based on the concept that in order to maintain a fair and just society, the laws and policies should not only seek public consensus, but also be built upon facts and clear definitions rather than ideas that could </w:t>
      </w:r>
      <w:r w:rsidR="00813FAE" w:rsidRPr="0028108F">
        <w:rPr>
          <w:rFonts w:ascii="Arial" w:hAnsi="Arial" w:cs="Arial"/>
          <w:szCs w:val="24"/>
          <w:lang w:val="en-GB"/>
        </w:rPr>
        <w:t xml:space="preserve">vary </w:t>
      </w:r>
      <w:r w:rsidRPr="0028108F">
        <w:rPr>
          <w:rFonts w:ascii="Arial" w:hAnsi="Arial" w:cs="Arial"/>
          <w:szCs w:val="24"/>
          <w:lang w:val="en-GB"/>
        </w:rPr>
        <w:t xml:space="preserve">with different individuals at different times.  </w:t>
      </w:r>
      <w:r w:rsidRPr="0028108F">
        <w:rPr>
          <w:rFonts w:ascii="Arial" w:hAnsi="Arial" w:cs="Arial"/>
          <w:color w:val="000000" w:themeColor="text1"/>
          <w:szCs w:val="24"/>
          <w:lang w:val="en-GB"/>
        </w:rPr>
        <w:t xml:space="preserve">In this regard, it has also been argued that human rights should not be a sword used to fight for gender recognition, as </w:t>
      </w:r>
      <w:r w:rsidRPr="0028108F">
        <w:rPr>
          <w:rFonts w:ascii="Arial" w:hAnsi="Arial" w:cs="Arial"/>
          <w:szCs w:val="24"/>
          <w:lang w:val="en-GB"/>
        </w:rPr>
        <w:t xml:space="preserve">every country or territory has its own culture and history and there should not be a single interpretation or understanding </w:t>
      </w:r>
      <w:r w:rsidR="00813FAE" w:rsidRPr="0028108F">
        <w:rPr>
          <w:rFonts w:ascii="Arial" w:hAnsi="Arial" w:cs="Arial"/>
          <w:szCs w:val="24"/>
          <w:lang w:val="en-GB"/>
        </w:rPr>
        <w:t xml:space="preserve">of the </w:t>
      </w:r>
      <w:r w:rsidRPr="0028108F">
        <w:rPr>
          <w:rFonts w:ascii="Arial" w:hAnsi="Arial" w:cs="Arial"/>
          <w:i/>
          <w:szCs w:val="24"/>
          <w:lang w:val="en-GB"/>
        </w:rPr>
        <w:t>“human rights”</w:t>
      </w:r>
      <w:r w:rsidRPr="0028108F">
        <w:rPr>
          <w:rFonts w:ascii="Arial" w:hAnsi="Arial" w:cs="Arial"/>
          <w:szCs w:val="24"/>
          <w:lang w:val="en-GB"/>
        </w:rPr>
        <w:t xml:space="preserve"> of individuals.  Some </w:t>
      </w:r>
      <w:r w:rsidR="005E6528">
        <w:rPr>
          <w:rFonts w:ascii="Arial" w:hAnsi="Arial" w:cs="Arial" w:hint="eastAsia"/>
          <w:szCs w:val="24"/>
          <w:lang w:val="en-GB"/>
        </w:rPr>
        <w:t>also</w:t>
      </w:r>
      <w:r w:rsidR="005E6528" w:rsidRPr="0028108F">
        <w:rPr>
          <w:rFonts w:ascii="Arial" w:hAnsi="Arial" w:cs="Arial"/>
          <w:szCs w:val="24"/>
          <w:lang w:val="en-GB"/>
        </w:rPr>
        <w:t xml:space="preserve"> </w:t>
      </w:r>
      <w:r w:rsidRPr="0028108F">
        <w:rPr>
          <w:rFonts w:ascii="Arial" w:hAnsi="Arial" w:cs="Arial"/>
          <w:szCs w:val="24"/>
          <w:lang w:val="en-GB"/>
        </w:rPr>
        <w:t xml:space="preserve">take the view that changing one’s gender identity is not </w:t>
      </w:r>
      <w:r w:rsidR="00813FAE" w:rsidRPr="0028108F">
        <w:rPr>
          <w:rFonts w:ascii="Arial" w:hAnsi="Arial" w:cs="Arial"/>
          <w:szCs w:val="24"/>
          <w:lang w:val="en-GB"/>
        </w:rPr>
        <w:t xml:space="preserve">just </w:t>
      </w:r>
      <w:r w:rsidRPr="0028108F">
        <w:rPr>
          <w:rFonts w:ascii="Arial" w:hAnsi="Arial" w:cs="Arial"/>
          <w:szCs w:val="24"/>
          <w:lang w:val="en-GB"/>
        </w:rPr>
        <w:t>an individual matter</w:t>
      </w:r>
      <w:r w:rsidR="00813FAE" w:rsidRPr="0028108F">
        <w:rPr>
          <w:rFonts w:ascii="Arial" w:hAnsi="Arial" w:cs="Arial"/>
          <w:szCs w:val="24"/>
          <w:lang w:val="en-GB"/>
        </w:rPr>
        <w:t>,</w:t>
      </w:r>
      <w:r w:rsidRPr="0028108F">
        <w:rPr>
          <w:rFonts w:ascii="Arial" w:hAnsi="Arial" w:cs="Arial"/>
          <w:szCs w:val="24"/>
          <w:lang w:val="en-GB"/>
        </w:rPr>
        <w:t xml:space="preserve"> as it inevitably relates to recognition by the society as a whole.</w:t>
      </w:r>
      <w:r w:rsidRPr="0028108F">
        <w:rPr>
          <w:rStyle w:val="FootnoteReference"/>
          <w:rFonts w:ascii="Arial" w:hAnsi="Arial" w:cs="Arial"/>
          <w:szCs w:val="24"/>
          <w:lang w:val="en-GB"/>
        </w:rPr>
        <w:footnoteReference w:id="453"/>
      </w:r>
      <w:r w:rsidRPr="0028108F">
        <w:rPr>
          <w:rFonts w:ascii="Arial" w:hAnsi="Arial" w:cs="Arial"/>
          <w:szCs w:val="24"/>
          <w:lang w:val="en-GB"/>
        </w:rPr>
        <w:t xml:space="preserve"> </w:t>
      </w:r>
    </w:p>
    <w:p w:rsidR="00E773F6" w:rsidRPr="0028108F" w:rsidRDefault="00E773F6"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 xml:space="preserve">Argument (3): </w:t>
      </w:r>
      <w:r w:rsidR="007756A3" w:rsidRPr="0028108F">
        <w:rPr>
          <w:rFonts w:ascii="Arial" w:hAnsi="Arial" w:cs="Arial"/>
          <w:b/>
          <w:i/>
          <w:color w:val="000000" w:themeColor="text1"/>
          <w:szCs w:val="24"/>
          <w:lang w:val="en-GB"/>
        </w:rPr>
        <w:t>T</w:t>
      </w:r>
      <w:r w:rsidRPr="0028108F">
        <w:rPr>
          <w:rFonts w:ascii="Arial" w:hAnsi="Arial" w:cs="Arial"/>
          <w:b/>
          <w:i/>
          <w:color w:val="000000" w:themeColor="text1"/>
          <w:szCs w:val="24"/>
          <w:lang w:val="en-GB"/>
        </w:rPr>
        <w:t xml:space="preserve">he issues of gender recognition </w:t>
      </w:r>
      <w:r w:rsidR="007756A3" w:rsidRPr="0028108F">
        <w:rPr>
          <w:rFonts w:ascii="Arial" w:hAnsi="Arial" w:cs="Arial"/>
          <w:b/>
          <w:i/>
          <w:color w:val="000000" w:themeColor="text1"/>
          <w:szCs w:val="24"/>
          <w:lang w:val="en-GB"/>
        </w:rPr>
        <w:t xml:space="preserve">are unnecessary to be addressed by a new law </w:t>
      </w:r>
      <w:r w:rsidRPr="0028108F">
        <w:rPr>
          <w:rFonts w:ascii="Arial" w:hAnsi="Arial" w:cs="Arial"/>
          <w:b/>
          <w:i/>
          <w:color w:val="000000" w:themeColor="text1"/>
          <w:szCs w:val="24"/>
          <w:lang w:val="en-GB"/>
        </w:rPr>
        <w:t>in view of Hong Kong’s situation</w:t>
      </w:r>
    </w:p>
    <w:p w:rsidR="00E773F6" w:rsidRPr="0028108F" w:rsidRDefault="00E773F6" w:rsidP="00E773F6">
      <w:pPr>
        <w:tabs>
          <w:tab w:val="left" w:pos="2552"/>
        </w:tabs>
        <w:snapToGrid w:val="0"/>
        <w:jc w:val="both"/>
        <w:rPr>
          <w:rFonts w:ascii="Arial" w:hAnsi="Arial" w:cs="Arial"/>
          <w:color w:val="0000FF"/>
          <w:szCs w:val="24"/>
          <w:u w:val="single"/>
          <w:lang w:val="en-GB"/>
        </w:rPr>
      </w:pPr>
    </w:p>
    <w:p w:rsidR="00E773F6" w:rsidRPr="00181CF2" w:rsidRDefault="00813FAE"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One view is</w:t>
      </w:r>
      <w:r w:rsidR="00E773F6" w:rsidRPr="0028108F">
        <w:rPr>
          <w:rFonts w:ascii="Arial" w:hAnsi="Arial" w:cs="Arial"/>
          <w:szCs w:val="24"/>
          <w:lang w:val="en-GB"/>
        </w:rPr>
        <w:t xml:space="preserve"> that some transgender people may be more concerned </w:t>
      </w:r>
      <w:r w:rsidRPr="0028108F">
        <w:rPr>
          <w:rFonts w:ascii="Arial" w:hAnsi="Arial" w:cs="Arial"/>
          <w:szCs w:val="24"/>
          <w:lang w:val="en-GB"/>
        </w:rPr>
        <w:t xml:space="preserve">about matters of </w:t>
      </w:r>
      <w:r w:rsidR="00E773F6" w:rsidRPr="0028108F">
        <w:rPr>
          <w:rFonts w:ascii="Arial" w:hAnsi="Arial" w:cs="Arial"/>
          <w:szCs w:val="24"/>
          <w:lang w:val="en-GB"/>
        </w:rPr>
        <w:t xml:space="preserve">well-being </w:t>
      </w:r>
      <w:r w:rsidRPr="0028108F">
        <w:rPr>
          <w:rFonts w:ascii="Arial" w:hAnsi="Arial" w:cs="Arial"/>
          <w:szCs w:val="24"/>
          <w:lang w:val="en-GB"/>
        </w:rPr>
        <w:t>(</w:t>
      </w:r>
      <w:r w:rsidR="00E773F6" w:rsidRPr="0028108F">
        <w:rPr>
          <w:rFonts w:ascii="Arial" w:hAnsi="Arial" w:cs="Arial"/>
          <w:szCs w:val="24"/>
          <w:lang w:val="en-GB"/>
        </w:rPr>
        <w:t xml:space="preserve">such as </w:t>
      </w:r>
      <w:r w:rsidRPr="0028108F">
        <w:rPr>
          <w:rFonts w:ascii="Arial" w:hAnsi="Arial" w:cs="Arial"/>
          <w:szCs w:val="24"/>
          <w:lang w:val="en-GB"/>
        </w:rPr>
        <w:t xml:space="preserve">achieving </w:t>
      </w:r>
      <w:r w:rsidR="00E773F6" w:rsidRPr="0028108F">
        <w:rPr>
          <w:rFonts w:ascii="Arial" w:hAnsi="Arial" w:cs="Arial"/>
          <w:szCs w:val="24"/>
          <w:lang w:val="en-GB"/>
        </w:rPr>
        <w:t>the acceptance of their gender identity by their family members and the community as a whole</w:t>
      </w:r>
      <w:r w:rsidRPr="0028108F">
        <w:rPr>
          <w:rFonts w:ascii="Arial" w:hAnsi="Arial" w:cs="Arial"/>
          <w:szCs w:val="24"/>
          <w:lang w:val="en-GB"/>
        </w:rPr>
        <w:t>)</w:t>
      </w:r>
      <w:r w:rsidR="00E773F6" w:rsidRPr="0028108F">
        <w:rPr>
          <w:rFonts w:ascii="Arial" w:hAnsi="Arial" w:cs="Arial"/>
          <w:szCs w:val="24"/>
          <w:lang w:val="en-GB"/>
        </w:rPr>
        <w:t xml:space="preserve">, rather than </w:t>
      </w:r>
      <w:r w:rsidRPr="0028108F">
        <w:rPr>
          <w:rFonts w:ascii="Arial" w:hAnsi="Arial" w:cs="Arial"/>
          <w:szCs w:val="24"/>
          <w:lang w:val="en-GB"/>
        </w:rPr>
        <w:t xml:space="preserve">in </w:t>
      </w:r>
      <w:r w:rsidR="00E773F6" w:rsidRPr="0028108F">
        <w:rPr>
          <w:rFonts w:ascii="Arial" w:hAnsi="Arial" w:cs="Arial"/>
          <w:szCs w:val="24"/>
          <w:lang w:val="en-GB"/>
        </w:rPr>
        <w:t xml:space="preserve">getting their desired gender recognised by the law.  </w:t>
      </w:r>
      <w:r w:rsidR="008A7302" w:rsidRPr="0028108F">
        <w:rPr>
          <w:rFonts w:ascii="Arial" w:hAnsi="Arial" w:cs="Arial"/>
          <w:szCs w:val="24"/>
          <w:lang w:val="en-GB"/>
        </w:rPr>
        <w:t xml:space="preserve">Those transgender people might not have to seek medical treatment or surgery for the purpose of getting their preferred gender identity recognised in the domestic law.  </w:t>
      </w:r>
      <w:r w:rsidR="00DE2F8A" w:rsidRPr="0028108F">
        <w:rPr>
          <w:rFonts w:ascii="Arial" w:hAnsi="Arial" w:cs="Arial"/>
          <w:szCs w:val="24"/>
          <w:lang w:val="en-GB"/>
        </w:rPr>
        <w:t>They might</w:t>
      </w:r>
      <w:r w:rsidR="008A7302" w:rsidRPr="0028108F">
        <w:rPr>
          <w:rFonts w:ascii="Arial" w:hAnsi="Arial" w:cs="Arial"/>
          <w:szCs w:val="24"/>
          <w:lang w:val="en-GB"/>
        </w:rPr>
        <w:t xml:space="preserve"> rather</w:t>
      </w:r>
      <w:r w:rsidR="00DE2F8A" w:rsidRPr="0028108F">
        <w:rPr>
          <w:rFonts w:ascii="Arial" w:hAnsi="Arial" w:cs="Arial"/>
          <w:szCs w:val="24"/>
          <w:lang w:val="en-GB"/>
        </w:rPr>
        <w:t xml:space="preserve"> be content with their status or situation in the society and the protection afforded to them under the existing law.  </w:t>
      </w:r>
      <w:r w:rsidR="00E773F6" w:rsidRPr="0028108F">
        <w:rPr>
          <w:rFonts w:ascii="Arial" w:hAnsi="Arial" w:cs="Arial"/>
          <w:szCs w:val="24"/>
          <w:lang w:val="en-GB"/>
        </w:rPr>
        <w:t xml:space="preserve">A further observation is that female-to-male transgender persons are generally less resolute in deciding to undergo surgical process than male-to-female transgender persons, probably because female-to-male transgender persons’ masculine or tomboyish appearance </w:t>
      </w:r>
      <w:r w:rsidR="0006264A" w:rsidRPr="0028108F">
        <w:rPr>
          <w:rFonts w:ascii="Arial" w:hAnsi="Arial" w:cs="Arial"/>
          <w:szCs w:val="24"/>
          <w:lang w:val="en-GB"/>
        </w:rPr>
        <w:t xml:space="preserve">seems to be </w:t>
      </w:r>
      <w:r w:rsidR="00E773F6" w:rsidRPr="0028108F">
        <w:rPr>
          <w:rFonts w:ascii="Arial" w:hAnsi="Arial" w:cs="Arial"/>
          <w:szCs w:val="24"/>
          <w:lang w:val="en-GB"/>
        </w:rPr>
        <w:t>relatively more readily accepted by the society</w:t>
      </w:r>
      <w:r w:rsidRPr="0028108F">
        <w:rPr>
          <w:rFonts w:ascii="Arial" w:hAnsi="Arial" w:cs="Arial"/>
          <w:szCs w:val="24"/>
          <w:lang w:val="en-GB"/>
        </w:rPr>
        <w:t>,</w:t>
      </w:r>
      <w:r w:rsidR="00E773F6" w:rsidRPr="0028108F">
        <w:rPr>
          <w:rFonts w:ascii="Arial" w:hAnsi="Arial" w:cs="Arial"/>
          <w:szCs w:val="24"/>
          <w:lang w:val="en-GB"/>
        </w:rPr>
        <w:t xml:space="preserve"> and accordingly they </w:t>
      </w:r>
      <w:r w:rsidR="0006264A" w:rsidRPr="0028108F">
        <w:rPr>
          <w:rFonts w:ascii="Arial" w:hAnsi="Arial" w:cs="Arial"/>
          <w:szCs w:val="24"/>
          <w:lang w:val="en-GB"/>
        </w:rPr>
        <w:t xml:space="preserve">might be </w:t>
      </w:r>
      <w:r w:rsidR="00E773F6" w:rsidRPr="0028108F">
        <w:rPr>
          <w:rFonts w:ascii="Arial" w:hAnsi="Arial" w:cs="Arial"/>
          <w:szCs w:val="24"/>
          <w:lang w:val="en-GB"/>
        </w:rPr>
        <w:t>able to express their gender identity without surgical procedures</w:t>
      </w:r>
      <w:r w:rsidR="0006264A" w:rsidRPr="0028108F">
        <w:rPr>
          <w:rFonts w:ascii="Arial" w:hAnsi="Arial" w:cs="Arial"/>
          <w:szCs w:val="24"/>
          <w:lang w:val="en-GB"/>
        </w:rPr>
        <w:t xml:space="preserve"> even though the society may misunderstand them to be homosexual</w:t>
      </w:r>
      <w:r w:rsidR="00E773F6" w:rsidRPr="0028108F">
        <w:rPr>
          <w:rFonts w:ascii="Arial" w:hAnsi="Arial" w:cs="Arial"/>
          <w:szCs w:val="24"/>
          <w:lang w:val="en-GB"/>
        </w:rPr>
        <w:t>.</w:t>
      </w:r>
    </w:p>
    <w:p w:rsidR="00E773F6" w:rsidRPr="00C57CE1" w:rsidRDefault="00E773F6">
      <w:pPr>
        <w:pStyle w:val="ListParagraph"/>
        <w:tabs>
          <w:tab w:val="left" w:pos="1418"/>
          <w:tab w:val="left" w:pos="2552"/>
        </w:tabs>
        <w:adjustRightInd w:val="0"/>
        <w:snapToGrid w:val="0"/>
        <w:ind w:leftChars="0" w:left="0"/>
        <w:jc w:val="both"/>
        <w:rPr>
          <w:rFonts w:ascii="Arial" w:hAnsi="Arial" w:cs="Arial"/>
          <w:szCs w:val="24"/>
          <w:lang w:val="en-GB"/>
        </w:rPr>
      </w:pPr>
    </w:p>
    <w:p w:rsidR="008F7B24" w:rsidRPr="00C57CE1" w:rsidRDefault="00A46B7A" w:rsidP="0028108F">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Hong Kong, it appears that there is a similar trend of increasing awareness</w:t>
      </w:r>
      <w:r w:rsidR="00FC3F76" w:rsidRPr="0028108F">
        <w:rPr>
          <w:rFonts w:ascii="Arial" w:hAnsi="Arial" w:cs="Arial"/>
          <w:szCs w:val="24"/>
          <w:lang w:val="en-GB"/>
        </w:rPr>
        <w:t xml:space="preserve"> and acceptance</w:t>
      </w:r>
      <w:r w:rsidRPr="0028108F">
        <w:rPr>
          <w:rFonts w:ascii="Arial" w:hAnsi="Arial" w:cs="Arial"/>
          <w:szCs w:val="24"/>
          <w:lang w:val="en-GB"/>
        </w:rPr>
        <w:t xml:space="preserve"> towards LGBT</w:t>
      </w:r>
      <w:r w:rsidR="009C72E7" w:rsidRPr="0028108F">
        <w:rPr>
          <w:rFonts w:ascii="Arial" w:hAnsi="Arial" w:cs="Arial"/>
          <w:szCs w:val="24"/>
          <w:lang w:val="en-GB"/>
        </w:rPr>
        <w:t>I</w:t>
      </w:r>
      <w:r w:rsidR="000579B4" w:rsidRPr="0028108F">
        <w:rPr>
          <w:rFonts w:ascii="Arial" w:hAnsi="Arial" w:cs="Arial"/>
          <w:szCs w:val="24"/>
          <w:lang w:val="en-GB"/>
        </w:rPr>
        <w:t xml:space="preserve"> individuals, but a level of ambivalence was noted in that the level of non-acceptance is still high</w:t>
      </w:r>
      <w:r w:rsidR="00FC3F76" w:rsidRPr="0028108F">
        <w:rPr>
          <w:rFonts w:ascii="Arial" w:hAnsi="Arial" w:cs="Arial"/>
          <w:szCs w:val="24"/>
          <w:lang w:val="en-GB"/>
        </w:rPr>
        <w:t>.</w:t>
      </w:r>
      <w:r w:rsidR="00FC3F76" w:rsidRPr="00181CF2">
        <w:rPr>
          <w:rStyle w:val="FootnoteReference"/>
          <w:rFonts w:ascii="Arial" w:hAnsi="Arial" w:cs="Arial"/>
          <w:szCs w:val="24"/>
          <w:lang w:val="en-GB"/>
        </w:rPr>
        <w:footnoteReference w:id="454"/>
      </w:r>
      <w:r w:rsidRPr="00181CF2">
        <w:rPr>
          <w:rFonts w:ascii="Arial" w:hAnsi="Arial" w:cs="Arial"/>
          <w:szCs w:val="24"/>
          <w:lang w:val="en-GB"/>
        </w:rPr>
        <w:t xml:space="preserve"> </w:t>
      </w:r>
      <w:r w:rsidR="00697450" w:rsidRPr="00C57CE1">
        <w:rPr>
          <w:rFonts w:ascii="Arial" w:hAnsi="Arial" w:cs="Arial"/>
          <w:szCs w:val="24"/>
          <w:lang w:val="en-GB"/>
        </w:rPr>
        <w:t xml:space="preserve"> </w:t>
      </w:r>
      <w:r w:rsidR="000579B4" w:rsidRPr="0028108F">
        <w:rPr>
          <w:rFonts w:ascii="Arial" w:hAnsi="Arial" w:cs="Arial"/>
          <w:szCs w:val="24"/>
          <w:lang w:val="en-GB"/>
        </w:rPr>
        <w:t>Ma</w:t>
      </w:r>
      <w:r w:rsidR="00E773F6" w:rsidRPr="0028108F">
        <w:rPr>
          <w:rFonts w:ascii="Arial" w:hAnsi="Arial" w:cs="Arial"/>
          <w:szCs w:val="24"/>
          <w:lang w:val="en-GB"/>
        </w:rPr>
        <w:t xml:space="preserve">ny transgender persons </w:t>
      </w:r>
      <w:r w:rsidR="005E6528">
        <w:rPr>
          <w:rFonts w:ascii="Arial" w:hAnsi="Arial" w:cs="Arial" w:hint="eastAsia"/>
          <w:szCs w:val="24"/>
          <w:lang w:val="en-GB"/>
        </w:rPr>
        <w:t>pointed out</w:t>
      </w:r>
      <w:r w:rsidR="005E6528" w:rsidRPr="0028108F">
        <w:rPr>
          <w:rFonts w:ascii="Arial" w:hAnsi="Arial" w:cs="Arial"/>
          <w:szCs w:val="24"/>
          <w:lang w:val="en-GB"/>
        </w:rPr>
        <w:t xml:space="preserve"> </w:t>
      </w:r>
      <w:r w:rsidR="00E773F6" w:rsidRPr="0028108F">
        <w:rPr>
          <w:rFonts w:ascii="Arial" w:hAnsi="Arial" w:cs="Arial"/>
          <w:szCs w:val="24"/>
          <w:lang w:val="en-GB"/>
        </w:rPr>
        <w:t>that the real practical problem facing them in their daily lives was usually the difficulty in securing and/or maintaining gainful employment as and when the</w:t>
      </w:r>
      <w:r w:rsidR="00813FAE" w:rsidRPr="0028108F">
        <w:rPr>
          <w:rFonts w:ascii="Arial" w:hAnsi="Arial" w:cs="Arial"/>
          <w:szCs w:val="24"/>
          <w:lang w:val="en-GB"/>
        </w:rPr>
        <w:t>ir</w:t>
      </w:r>
      <w:r w:rsidR="00E773F6" w:rsidRPr="0028108F">
        <w:rPr>
          <w:rFonts w:ascii="Arial" w:hAnsi="Arial" w:cs="Arial"/>
          <w:szCs w:val="24"/>
          <w:lang w:val="en-GB"/>
        </w:rPr>
        <w:t xml:space="preserve"> employers become aware </w:t>
      </w:r>
      <w:r w:rsidR="00813FAE" w:rsidRPr="0028108F">
        <w:rPr>
          <w:rFonts w:ascii="Arial" w:hAnsi="Arial" w:cs="Arial"/>
          <w:szCs w:val="24"/>
          <w:lang w:val="en-GB"/>
        </w:rPr>
        <w:t xml:space="preserve">that </w:t>
      </w:r>
      <w:r w:rsidR="00E773F6" w:rsidRPr="0028108F">
        <w:rPr>
          <w:rFonts w:ascii="Arial" w:hAnsi="Arial" w:cs="Arial"/>
          <w:szCs w:val="24"/>
          <w:lang w:val="en-GB"/>
        </w:rPr>
        <w:t>their gender identity or physical appearance does not match the gender marker on their identification document.</w:t>
      </w:r>
      <w:r w:rsidR="00FC3F76" w:rsidRPr="00181CF2">
        <w:rPr>
          <w:rStyle w:val="FootnoteReference"/>
          <w:rFonts w:ascii="Arial" w:hAnsi="Arial" w:cs="Arial"/>
          <w:szCs w:val="24"/>
          <w:lang w:val="en-GB"/>
        </w:rPr>
        <w:footnoteReference w:id="455"/>
      </w:r>
      <w:r w:rsidR="00E773F6" w:rsidRPr="00181CF2">
        <w:rPr>
          <w:rFonts w:ascii="Arial" w:hAnsi="Arial" w:cs="Arial"/>
          <w:szCs w:val="24"/>
          <w:lang w:val="en-GB"/>
        </w:rPr>
        <w:t xml:space="preserve">  On the one hand, some consider that the definition of </w:t>
      </w:r>
      <w:r w:rsidR="00813FAE" w:rsidRPr="00C57CE1">
        <w:rPr>
          <w:rFonts w:ascii="Arial" w:hAnsi="Arial" w:cs="Arial"/>
          <w:szCs w:val="24"/>
          <w:lang w:val="en-GB"/>
        </w:rPr>
        <w:t xml:space="preserve">a </w:t>
      </w:r>
      <w:r w:rsidR="00E773F6" w:rsidRPr="0028108F">
        <w:rPr>
          <w:rFonts w:ascii="Arial" w:hAnsi="Arial" w:cs="Arial"/>
          <w:szCs w:val="24"/>
          <w:lang w:val="en-GB"/>
        </w:rPr>
        <w:t>“</w:t>
      </w:r>
      <w:r w:rsidR="00E773F6" w:rsidRPr="0028108F">
        <w:rPr>
          <w:rFonts w:ascii="Arial" w:hAnsi="Arial" w:cs="Arial"/>
          <w:i/>
          <w:szCs w:val="24"/>
          <w:lang w:val="en-GB"/>
        </w:rPr>
        <w:t>disability</w:t>
      </w:r>
      <w:r w:rsidR="00E773F6" w:rsidRPr="00181CF2">
        <w:rPr>
          <w:rFonts w:ascii="Arial" w:hAnsi="Arial" w:cs="Arial"/>
          <w:szCs w:val="24"/>
          <w:lang w:val="en-GB"/>
        </w:rPr>
        <w:t>” under the Disability Discrimination Ordinance</w:t>
      </w:r>
      <w:r w:rsidR="00813FAE" w:rsidRPr="00C57CE1">
        <w:rPr>
          <w:rFonts w:ascii="Arial" w:hAnsi="Arial" w:cs="Arial"/>
          <w:szCs w:val="24"/>
          <w:lang w:val="en-GB"/>
        </w:rPr>
        <w:t xml:space="preserve"> (Cap 487)</w:t>
      </w:r>
      <w:r w:rsidR="00E773F6" w:rsidRPr="00181CF2">
        <w:rPr>
          <w:rStyle w:val="FootnoteReference"/>
          <w:rFonts w:ascii="Arial" w:hAnsi="Arial" w:cs="Arial"/>
          <w:szCs w:val="24"/>
          <w:lang w:val="en-GB"/>
        </w:rPr>
        <w:footnoteReference w:id="456"/>
      </w:r>
      <w:r w:rsidR="008F7B24" w:rsidRPr="00181CF2">
        <w:rPr>
          <w:rFonts w:ascii="Arial" w:hAnsi="Arial" w:cs="Arial"/>
          <w:szCs w:val="24"/>
          <w:lang w:val="en-GB"/>
        </w:rPr>
        <w:t>, which regulates activities conducted in the public sphere including employment, educati</w:t>
      </w:r>
      <w:r w:rsidR="008F7B24" w:rsidRPr="00C57CE1">
        <w:rPr>
          <w:rFonts w:ascii="Arial" w:hAnsi="Arial" w:cs="Arial"/>
          <w:szCs w:val="24"/>
          <w:lang w:val="en-GB"/>
        </w:rPr>
        <w:t>on, provision of goods and services, disposal and management of premises</w:t>
      </w:r>
      <w:r w:rsidR="00813FAE" w:rsidRPr="0028108F">
        <w:rPr>
          <w:rFonts w:ascii="Arial" w:hAnsi="Arial" w:cs="Arial"/>
          <w:szCs w:val="24"/>
          <w:lang w:val="en-GB"/>
        </w:rPr>
        <w:t>,</w:t>
      </w:r>
      <w:r w:rsidR="008F7B24" w:rsidRPr="0028108F">
        <w:rPr>
          <w:rFonts w:ascii="Arial" w:hAnsi="Arial" w:cs="Arial"/>
          <w:szCs w:val="24"/>
          <w:lang w:val="en-GB"/>
        </w:rPr>
        <w:t xml:space="preserve"> etc,</w:t>
      </w:r>
      <w:r w:rsidR="00E773F6" w:rsidRPr="0028108F">
        <w:rPr>
          <w:rFonts w:ascii="Arial" w:hAnsi="Arial" w:cs="Arial"/>
          <w:szCs w:val="24"/>
          <w:lang w:val="en-GB"/>
        </w:rPr>
        <w:t xml:space="preserve"> should be wide enough to encompass </w:t>
      </w:r>
      <w:r w:rsidR="00334997" w:rsidRPr="0028108F">
        <w:rPr>
          <w:rFonts w:ascii="Arial" w:hAnsi="Arial" w:cs="Arial"/>
          <w:szCs w:val="24"/>
          <w:lang w:val="en-GB"/>
        </w:rPr>
        <w:t>gender identity disorder</w:t>
      </w:r>
      <w:r w:rsidR="00E773F6" w:rsidRPr="0028108F">
        <w:rPr>
          <w:rFonts w:ascii="Arial" w:hAnsi="Arial" w:cs="Arial"/>
          <w:szCs w:val="24"/>
          <w:lang w:val="en-GB"/>
        </w:rPr>
        <w:t xml:space="preserve"> or gender dysphoria</w:t>
      </w:r>
      <w:r w:rsidR="008F7B24" w:rsidRPr="0028108F">
        <w:rPr>
          <w:rFonts w:ascii="Arial" w:hAnsi="Arial" w:cs="Arial"/>
          <w:szCs w:val="24"/>
          <w:lang w:val="en-GB"/>
        </w:rPr>
        <w:t xml:space="preserve">. </w:t>
      </w:r>
      <w:r w:rsidR="00E773F6" w:rsidRPr="0028108F">
        <w:rPr>
          <w:rFonts w:ascii="Arial" w:hAnsi="Arial" w:cs="Arial"/>
          <w:szCs w:val="24"/>
          <w:lang w:val="en-GB"/>
        </w:rPr>
        <w:t xml:space="preserve"> </w:t>
      </w:r>
      <w:r w:rsidR="008F7B24" w:rsidRPr="0028108F">
        <w:rPr>
          <w:rFonts w:ascii="Arial" w:hAnsi="Arial" w:cs="Arial"/>
          <w:szCs w:val="24"/>
          <w:lang w:val="en-GB"/>
        </w:rPr>
        <w:t>Separately, t</w:t>
      </w:r>
      <w:r w:rsidR="00702154" w:rsidRPr="0028108F">
        <w:rPr>
          <w:rFonts w:ascii="Arial" w:hAnsi="Arial" w:cs="Arial"/>
          <w:szCs w:val="24"/>
          <w:lang w:val="en-GB"/>
        </w:rPr>
        <w:t xml:space="preserve">here are a number of core United Nations treaties that include non-discrimination provisions (such as </w:t>
      </w:r>
      <w:r w:rsidR="006B3182" w:rsidRPr="0028108F">
        <w:rPr>
          <w:rFonts w:ascii="Arial" w:hAnsi="Arial" w:cs="Arial"/>
          <w:szCs w:val="24"/>
          <w:lang w:val="en-GB"/>
        </w:rPr>
        <w:t xml:space="preserve">Article 26 of </w:t>
      </w:r>
      <w:r w:rsidR="00702154" w:rsidRPr="0028108F">
        <w:rPr>
          <w:rFonts w:ascii="Arial" w:hAnsi="Arial" w:cs="Arial"/>
          <w:szCs w:val="24"/>
          <w:lang w:val="en-GB"/>
        </w:rPr>
        <w:t xml:space="preserve">the </w:t>
      </w:r>
      <w:r w:rsidR="006B3182" w:rsidRPr="0028108F">
        <w:rPr>
          <w:rFonts w:ascii="Arial" w:hAnsi="Arial" w:cs="Arial"/>
          <w:szCs w:val="24"/>
          <w:lang w:val="en-GB"/>
        </w:rPr>
        <w:t>ICCPR</w:t>
      </w:r>
      <w:r w:rsidR="00D44460">
        <w:rPr>
          <w:rFonts w:ascii="Arial" w:hAnsi="Arial" w:cs="Arial"/>
          <w:szCs w:val="24"/>
          <w:lang w:val="en-GB"/>
        </w:rPr>
        <w:t xml:space="preserve"> and</w:t>
      </w:r>
      <w:r w:rsidR="006B3182" w:rsidRPr="0028108F">
        <w:rPr>
          <w:rFonts w:ascii="Arial" w:hAnsi="Arial" w:cs="Arial"/>
          <w:szCs w:val="24"/>
          <w:lang w:val="en-GB"/>
        </w:rPr>
        <w:t xml:space="preserve"> Article 2(2) of the International Covenant on Economic, Social and Cultural Rights (</w:t>
      </w:r>
      <w:r w:rsidR="00813FAE" w:rsidRPr="0028108F">
        <w:rPr>
          <w:rFonts w:ascii="Arial" w:hAnsi="Arial" w:cs="Arial"/>
          <w:szCs w:val="24"/>
          <w:lang w:val="en-GB"/>
        </w:rPr>
        <w:t>“</w:t>
      </w:r>
      <w:r w:rsidR="006B3182" w:rsidRPr="0028108F">
        <w:rPr>
          <w:rFonts w:ascii="Arial" w:hAnsi="Arial" w:cs="Arial"/>
          <w:i/>
          <w:szCs w:val="24"/>
          <w:lang w:val="en-GB"/>
        </w:rPr>
        <w:t>ICESCR</w:t>
      </w:r>
      <w:r w:rsidR="00813FAE" w:rsidRPr="00181CF2">
        <w:rPr>
          <w:rFonts w:ascii="Arial" w:hAnsi="Arial" w:cs="Arial"/>
          <w:szCs w:val="24"/>
          <w:lang w:val="en-GB"/>
        </w:rPr>
        <w:t>”</w:t>
      </w:r>
      <w:r w:rsidR="006B3182" w:rsidRPr="00C57CE1">
        <w:rPr>
          <w:rFonts w:ascii="Arial" w:hAnsi="Arial" w:cs="Arial"/>
          <w:szCs w:val="24"/>
          <w:lang w:val="en-GB"/>
        </w:rPr>
        <w:t>)</w:t>
      </w:r>
      <w:r w:rsidR="006B3182" w:rsidRPr="0028108F">
        <w:rPr>
          <w:rFonts w:ascii="Arial" w:hAnsi="Arial" w:cs="Arial"/>
          <w:szCs w:val="24"/>
          <w:lang w:val="en-GB"/>
        </w:rPr>
        <w:t xml:space="preserve">.  </w:t>
      </w:r>
      <w:r w:rsidR="008F7B24" w:rsidRPr="0028108F">
        <w:rPr>
          <w:rFonts w:ascii="Arial" w:hAnsi="Arial" w:cs="Arial"/>
          <w:szCs w:val="24"/>
          <w:lang w:val="en-GB"/>
        </w:rPr>
        <w:t>Further</w:t>
      </w:r>
      <w:r w:rsidR="006B3182" w:rsidRPr="0028108F">
        <w:rPr>
          <w:rFonts w:ascii="Arial" w:hAnsi="Arial" w:cs="Arial"/>
          <w:szCs w:val="24"/>
          <w:lang w:val="en-GB"/>
        </w:rPr>
        <w:t xml:space="preserve">, the Basic Law </w:t>
      </w:r>
      <w:r w:rsidR="008F7B24" w:rsidRPr="0028108F">
        <w:rPr>
          <w:rFonts w:ascii="Arial" w:hAnsi="Arial" w:cs="Arial"/>
          <w:szCs w:val="24"/>
          <w:lang w:val="en-GB"/>
        </w:rPr>
        <w:t xml:space="preserve">and the Hong Kong Bill of Rights </w:t>
      </w:r>
      <w:r w:rsidR="006B3182" w:rsidRPr="0028108F">
        <w:rPr>
          <w:rFonts w:ascii="Arial" w:hAnsi="Arial" w:cs="Arial"/>
          <w:szCs w:val="24"/>
          <w:lang w:val="en-GB"/>
        </w:rPr>
        <w:t>contain a number of provisions protecting people’s human rights</w:t>
      </w:r>
      <w:r w:rsidR="008F7B24" w:rsidRPr="0028108F">
        <w:rPr>
          <w:rFonts w:ascii="Arial" w:hAnsi="Arial" w:cs="Arial"/>
          <w:szCs w:val="24"/>
          <w:lang w:val="en-GB"/>
        </w:rPr>
        <w:t xml:space="preserve"> which are legally binding on Government, public authorities, and those acting on their behalf</w:t>
      </w:r>
      <w:r w:rsidR="00A74431" w:rsidRPr="0028108F">
        <w:rPr>
          <w:rFonts w:ascii="Arial" w:hAnsi="Arial" w:cs="Arial"/>
          <w:szCs w:val="24"/>
          <w:lang w:val="en-GB"/>
        </w:rPr>
        <w:t>.</w:t>
      </w:r>
      <w:r w:rsidR="006B3182" w:rsidRPr="00181CF2">
        <w:rPr>
          <w:rStyle w:val="FootnoteReference"/>
          <w:rFonts w:ascii="Arial" w:hAnsi="Arial" w:cs="Arial"/>
          <w:szCs w:val="24"/>
          <w:lang w:val="en-GB"/>
        </w:rPr>
        <w:footnoteReference w:id="457"/>
      </w:r>
      <w:r w:rsidR="006B3182" w:rsidRPr="00181CF2">
        <w:rPr>
          <w:rFonts w:ascii="Arial" w:hAnsi="Arial" w:cs="Arial"/>
          <w:szCs w:val="24"/>
          <w:lang w:val="en-GB"/>
        </w:rPr>
        <w:t xml:space="preserve"> </w:t>
      </w:r>
      <w:r w:rsidR="007756A3" w:rsidRPr="00C57CE1">
        <w:rPr>
          <w:rFonts w:ascii="Arial" w:hAnsi="Arial" w:cs="Arial"/>
          <w:szCs w:val="24"/>
          <w:lang w:val="en-GB"/>
        </w:rPr>
        <w:t xml:space="preserve"> </w:t>
      </w:r>
      <w:r w:rsidR="006B3182" w:rsidRPr="0028108F">
        <w:rPr>
          <w:rFonts w:ascii="Arial" w:hAnsi="Arial" w:cs="Arial"/>
          <w:szCs w:val="24"/>
          <w:lang w:val="en-GB"/>
        </w:rPr>
        <w:t>I</w:t>
      </w:r>
      <w:r w:rsidR="00E773F6" w:rsidRPr="0028108F">
        <w:rPr>
          <w:rFonts w:ascii="Arial" w:hAnsi="Arial" w:cs="Arial"/>
          <w:szCs w:val="24"/>
          <w:lang w:val="en-GB"/>
        </w:rPr>
        <w:t xml:space="preserve">t is </w:t>
      </w:r>
      <w:r w:rsidR="006B3182" w:rsidRPr="0028108F">
        <w:rPr>
          <w:rFonts w:ascii="Arial" w:hAnsi="Arial" w:cs="Arial"/>
          <w:szCs w:val="24"/>
          <w:lang w:val="en-GB"/>
        </w:rPr>
        <w:t xml:space="preserve">therefore </w:t>
      </w:r>
      <w:r w:rsidR="00E773F6" w:rsidRPr="0028108F">
        <w:rPr>
          <w:rFonts w:ascii="Arial" w:hAnsi="Arial" w:cs="Arial"/>
          <w:szCs w:val="24"/>
          <w:lang w:val="en-GB"/>
        </w:rPr>
        <w:t xml:space="preserve">arguable that the rights and interests of people </w:t>
      </w:r>
      <w:r w:rsidR="00513E4A">
        <w:rPr>
          <w:rFonts w:ascii="Arial" w:hAnsi="Arial" w:cs="Arial" w:hint="eastAsia"/>
          <w:szCs w:val="24"/>
          <w:lang w:val="en-GB"/>
        </w:rPr>
        <w:t xml:space="preserve">having </w:t>
      </w:r>
      <w:r w:rsidR="00334997" w:rsidRPr="0028108F">
        <w:rPr>
          <w:rFonts w:ascii="Arial" w:hAnsi="Arial" w:cs="Arial"/>
          <w:szCs w:val="24"/>
          <w:lang w:val="en-GB"/>
        </w:rPr>
        <w:t>gender identity disorder</w:t>
      </w:r>
      <w:r w:rsidR="00E773F6" w:rsidRPr="0028108F">
        <w:rPr>
          <w:rFonts w:ascii="Arial" w:hAnsi="Arial" w:cs="Arial"/>
          <w:szCs w:val="24"/>
          <w:lang w:val="en-GB"/>
        </w:rPr>
        <w:t xml:space="preserve"> or gender dysphoria should be protected </w:t>
      </w:r>
      <w:r w:rsidR="00813FAE" w:rsidRPr="0028108F">
        <w:rPr>
          <w:rFonts w:ascii="Arial" w:hAnsi="Arial" w:cs="Arial"/>
          <w:szCs w:val="24"/>
          <w:lang w:val="en-GB"/>
        </w:rPr>
        <w:t xml:space="preserve">already </w:t>
      </w:r>
      <w:r w:rsidR="00E773F6" w:rsidRPr="0028108F">
        <w:rPr>
          <w:rFonts w:ascii="Arial" w:hAnsi="Arial" w:cs="Arial"/>
          <w:szCs w:val="24"/>
          <w:lang w:val="en-GB"/>
        </w:rPr>
        <w:t>to a certain extent</w:t>
      </w:r>
      <w:r w:rsidR="006B3182" w:rsidRPr="0028108F">
        <w:rPr>
          <w:rFonts w:ascii="Arial" w:hAnsi="Arial" w:cs="Arial"/>
          <w:szCs w:val="24"/>
          <w:lang w:val="en-GB"/>
        </w:rPr>
        <w:t xml:space="preserve"> in Hong Kong</w:t>
      </w:r>
      <w:r w:rsidR="00E773F6" w:rsidRPr="0028108F">
        <w:rPr>
          <w:rFonts w:ascii="Arial" w:hAnsi="Arial" w:cs="Arial"/>
          <w:szCs w:val="24"/>
          <w:lang w:val="en-GB"/>
        </w:rPr>
        <w:t>.</w:t>
      </w:r>
      <w:r w:rsidR="006B3182" w:rsidRPr="00181CF2">
        <w:rPr>
          <w:rStyle w:val="FootnoteReference"/>
          <w:rFonts w:ascii="Arial" w:hAnsi="Arial" w:cs="Arial"/>
          <w:szCs w:val="24"/>
          <w:lang w:val="en-GB"/>
        </w:rPr>
        <w:footnoteReference w:id="458"/>
      </w:r>
      <w:r w:rsidR="00E773F6" w:rsidRPr="00181CF2">
        <w:rPr>
          <w:rFonts w:ascii="Arial" w:hAnsi="Arial" w:cs="Arial"/>
          <w:szCs w:val="24"/>
          <w:lang w:val="en-GB"/>
        </w:rPr>
        <w:t xml:space="preserve">  </w:t>
      </w:r>
    </w:p>
    <w:p w:rsidR="00E773F6" w:rsidRPr="0028108F" w:rsidRDefault="00E773F6" w:rsidP="0028108F">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On the other hand, there are transgender people who </w:t>
      </w:r>
      <w:r w:rsidR="005E6528">
        <w:rPr>
          <w:rFonts w:ascii="Arial" w:hAnsi="Arial" w:cs="Arial" w:hint="eastAsia"/>
          <w:szCs w:val="24"/>
          <w:lang w:val="en-GB"/>
        </w:rPr>
        <w:t>observe</w:t>
      </w:r>
      <w:r w:rsidR="005E6528" w:rsidRPr="0028108F">
        <w:rPr>
          <w:rFonts w:ascii="Arial" w:hAnsi="Arial" w:cs="Arial"/>
          <w:szCs w:val="24"/>
          <w:lang w:val="en-GB"/>
        </w:rPr>
        <w:t xml:space="preserve"> </w:t>
      </w:r>
      <w:r w:rsidR="005D7E28" w:rsidRPr="0028108F">
        <w:rPr>
          <w:rFonts w:ascii="Arial" w:hAnsi="Arial" w:cs="Arial"/>
          <w:szCs w:val="24"/>
          <w:lang w:val="en-GB"/>
        </w:rPr>
        <w:t>that there is currently no legislation against discrimination on the grounds of gender identity in Hong Kong, and to date there has been no definitive determination by any court</w:t>
      </w:r>
      <w:r w:rsidR="005D7E28" w:rsidRPr="00181CF2">
        <w:rPr>
          <w:rFonts w:ascii="Arial" w:hAnsi="Arial" w:cs="Arial"/>
          <w:szCs w:val="24"/>
          <w:lang w:val="en-GB"/>
        </w:rPr>
        <w:t xml:space="preserve"> </w:t>
      </w:r>
      <w:r w:rsidR="005D7E28" w:rsidRPr="0028108F">
        <w:rPr>
          <w:rFonts w:ascii="Arial" w:hAnsi="Arial" w:cs="Arial"/>
          <w:szCs w:val="24"/>
          <w:lang w:val="en-GB"/>
        </w:rPr>
        <w:t>in Hong Kong that gender identity disorder</w:t>
      </w:r>
      <w:r w:rsidR="00F604EE" w:rsidRPr="00181CF2">
        <w:rPr>
          <w:rFonts w:ascii="Arial" w:hAnsi="Arial" w:cs="Arial"/>
          <w:szCs w:val="24"/>
          <w:lang w:val="en-GB"/>
        </w:rPr>
        <w:t xml:space="preserve"> or gender dysphoria</w:t>
      </w:r>
      <w:r w:rsidR="005D7E28" w:rsidRPr="0028108F">
        <w:rPr>
          <w:rFonts w:ascii="Arial" w:hAnsi="Arial" w:cs="Arial"/>
          <w:szCs w:val="24"/>
          <w:lang w:val="en-GB"/>
        </w:rPr>
        <w:t xml:space="preserve"> is considered as a disability under the D</w:t>
      </w:r>
      <w:r w:rsidR="00F604EE" w:rsidRPr="00181CF2">
        <w:rPr>
          <w:rFonts w:ascii="Arial" w:hAnsi="Arial" w:cs="Arial"/>
          <w:szCs w:val="24"/>
          <w:lang w:val="en-GB"/>
        </w:rPr>
        <w:t xml:space="preserve">isability </w:t>
      </w:r>
      <w:r w:rsidR="005D7E28" w:rsidRPr="0028108F">
        <w:rPr>
          <w:rFonts w:ascii="Arial" w:hAnsi="Arial" w:cs="Arial"/>
          <w:szCs w:val="24"/>
          <w:lang w:val="en-GB"/>
        </w:rPr>
        <w:t>D</w:t>
      </w:r>
      <w:r w:rsidR="00F604EE" w:rsidRPr="00181CF2">
        <w:rPr>
          <w:rFonts w:ascii="Arial" w:hAnsi="Arial" w:cs="Arial"/>
          <w:szCs w:val="24"/>
          <w:lang w:val="en-GB"/>
        </w:rPr>
        <w:t xml:space="preserve">iscrimination </w:t>
      </w:r>
      <w:r w:rsidR="005D7E28" w:rsidRPr="0028108F">
        <w:rPr>
          <w:rFonts w:ascii="Arial" w:hAnsi="Arial" w:cs="Arial"/>
          <w:szCs w:val="24"/>
          <w:lang w:val="en-GB"/>
        </w:rPr>
        <w:t>O</w:t>
      </w:r>
      <w:r w:rsidR="00F604EE" w:rsidRPr="00181CF2">
        <w:rPr>
          <w:rFonts w:ascii="Arial" w:hAnsi="Arial" w:cs="Arial"/>
          <w:szCs w:val="24"/>
          <w:lang w:val="en-GB"/>
        </w:rPr>
        <w:t>rdinance</w:t>
      </w:r>
      <w:r w:rsidR="00813FAE" w:rsidRPr="00C57CE1">
        <w:rPr>
          <w:rFonts w:ascii="Arial" w:hAnsi="Arial" w:cs="Arial"/>
          <w:szCs w:val="24"/>
          <w:lang w:val="en-GB"/>
        </w:rPr>
        <w:t xml:space="preserve"> (Cap 487)</w:t>
      </w:r>
      <w:r w:rsidR="005D7E28" w:rsidRPr="0028108F">
        <w:rPr>
          <w:rFonts w:ascii="Arial" w:hAnsi="Arial" w:cs="Arial"/>
          <w:szCs w:val="24"/>
          <w:lang w:val="en-GB"/>
        </w:rPr>
        <w:t>.</w:t>
      </w:r>
      <w:r w:rsidR="00F604EE" w:rsidRPr="0028108F">
        <w:rPr>
          <w:rStyle w:val="FootnoteReference"/>
          <w:rFonts w:ascii="Arial" w:hAnsi="Arial" w:cs="Arial"/>
          <w:szCs w:val="24"/>
          <w:lang w:val="en-GB"/>
        </w:rPr>
        <w:footnoteReference w:id="459"/>
      </w:r>
      <w:r w:rsidR="005D7E28" w:rsidRPr="00181CF2">
        <w:rPr>
          <w:rFonts w:ascii="Arial" w:hAnsi="Arial" w:cs="Arial"/>
          <w:szCs w:val="24"/>
          <w:lang w:val="en-GB"/>
        </w:rPr>
        <w:t xml:space="preserve">  </w:t>
      </w:r>
      <w:r w:rsidR="00F604EE" w:rsidRPr="00C57CE1">
        <w:rPr>
          <w:rFonts w:ascii="Arial" w:hAnsi="Arial" w:cs="Arial"/>
          <w:szCs w:val="24"/>
          <w:lang w:val="en-GB"/>
        </w:rPr>
        <w:t xml:space="preserve">Some transgender groups </w:t>
      </w:r>
      <w:r w:rsidRPr="0028108F">
        <w:rPr>
          <w:rFonts w:ascii="Arial" w:hAnsi="Arial" w:cs="Arial"/>
          <w:szCs w:val="24"/>
          <w:lang w:val="en-GB"/>
        </w:rPr>
        <w:t>are lobbying for an anti-discrimination law to expressly protect them from discrimination on grounds of gender identity</w:t>
      </w:r>
      <w:r w:rsidR="00F604EE" w:rsidRPr="0028108F">
        <w:rPr>
          <w:rFonts w:ascii="Arial" w:hAnsi="Arial" w:cs="Arial"/>
          <w:szCs w:val="24"/>
          <w:lang w:val="en-GB"/>
        </w:rPr>
        <w:t xml:space="preserve">, </w:t>
      </w:r>
      <w:r w:rsidRPr="0028108F">
        <w:rPr>
          <w:rFonts w:ascii="Arial" w:hAnsi="Arial" w:cs="Arial"/>
          <w:szCs w:val="24"/>
          <w:lang w:val="en-GB"/>
        </w:rPr>
        <w:t xml:space="preserve">arguing that such </w:t>
      </w:r>
      <w:r w:rsidR="00F604EE" w:rsidRPr="0028108F">
        <w:rPr>
          <w:rFonts w:ascii="Arial" w:hAnsi="Arial" w:cs="Arial"/>
          <w:szCs w:val="24"/>
          <w:lang w:val="en-GB"/>
        </w:rPr>
        <w:t>legislation</w:t>
      </w:r>
      <w:r w:rsidRPr="00181CF2">
        <w:rPr>
          <w:rFonts w:ascii="Arial" w:hAnsi="Arial" w:cs="Arial"/>
          <w:szCs w:val="24"/>
          <w:lang w:val="en-GB"/>
        </w:rPr>
        <w:t xml:space="preserve"> </w:t>
      </w:r>
      <w:r w:rsidR="00D13A08" w:rsidRPr="00C57CE1">
        <w:rPr>
          <w:rFonts w:ascii="Arial" w:hAnsi="Arial" w:cs="Arial"/>
          <w:szCs w:val="24"/>
          <w:lang w:val="en-GB"/>
        </w:rPr>
        <w:t>is the best tool for protecting the basic human rights of transgender persons</w:t>
      </w:r>
      <w:r w:rsidR="00D13A08" w:rsidRPr="00181CF2">
        <w:rPr>
          <w:rStyle w:val="FootnoteReference"/>
          <w:rFonts w:ascii="Arial" w:hAnsi="Arial" w:cs="Arial"/>
          <w:szCs w:val="24"/>
          <w:lang w:val="en-GB"/>
        </w:rPr>
        <w:footnoteReference w:id="460"/>
      </w:r>
      <w:r w:rsidR="00D13A08" w:rsidRPr="00181CF2">
        <w:rPr>
          <w:rFonts w:ascii="Arial" w:hAnsi="Arial" w:cs="Arial"/>
          <w:szCs w:val="24"/>
          <w:lang w:val="en-GB"/>
        </w:rPr>
        <w:t xml:space="preserve"> and </w:t>
      </w:r>
      <w:r w:rsidRPr="00C57CE1">
        <w:rPr>
          <w:rFonts w:ascii="Arial" w:hAnsi="Arial" w:cs="Arial"/>
          <w:szCs w:val="24"/>
          <w:lang w:val="en-GB"/>
        </w:rPr>
        <w:t xml:space="preserve">could largely alleviate transgender </w:t>
      </w:r>
      <w:r w:rsidR="00F604EE" w:rsidRPr="0028108F">
        <w:rPr>
          <w:rFonts w:ascii="Arial" w:hAnsi="Arial" w:cs="Arial"/>
          <w:szCs w:val="24"/>
          <w:lang w:val="en-GB"/>
        </w:rPr>
        <w:t>persons</w:t>
      </w:r>
      <w:r w:rsidR="00F604EE" w:rsidRPr="00181CF2">
        <w:rPr>
          <w:rFonts w:ascii="Arial" w:hAnsi="Arial" w:cs="Arial"/>
          <w:szCs w:val="24"/>
          <w:lang w:val="en-GB"/>
        </w:rPr>
        <w:t xml:space="preserve">’ </w:t>
      </w:r>
      <w:r w:rsidRPr="00C57CE1">
        <w:rPr>
          <w:rFonts w:ascii="Arial" w:hAnsi="Arial" w:cs="Arial"/>
          <w:szCs w:val="24"/>
          <w:lang w:val="en-GB"/>
        </w:rPr>
        <w:t>plight in employment, education, provision of services and goods</w:t>
      </w:r>
      <w:r w:rsidR="00813FAE" w:rsidRPr="0028108F">
        <w:rPr>
          <w:rFonts w:ascii="Arial" w:hAnsi="Arial" w:cs="Arial"/>
          <w:szCs w:val="24"/>
          <w:lang w:val="en-GB"/>
        </w:rPr>
        <w:t>,</w:t>
      </w:r>
      <w:r w:rsidRPr="0028108F">
        <w:rPr>
          <w:rFonts w:ascii="Arial" w:hAnsi="Arial" w:cs="Arial"/>
          <w:szCs w:val="24"/>
          <w:lang w:val="en-GB"/>
        </w:rPr>
        <w:t xml:space="preserve"> etc.  </w:t>
      </w:r>
      <w:r w:rsidR="00FC462A" w:rsidRPr="0028108F">
        <w:rPr>
          <w:rFonts w:ascii="Arial" w:hAnsi="Arial" w:cs="Arial"/>
          <w:szCs w:val="24"/>
          <w:lang w:val="en-GB"/>
        </w:rPr>
        <w:t>Some of them also lobby for additional measures to eliminate discrimination such as educational and promotion programmes to raise public awareness and understanding of transgender persons’ issues, as well as guidelines for social institutions and business sectors in the provision of an LGBTI-friendly environment, setting up of gender-neutral toilets in the workplace, on campus and in public facilities.</w:t>
      </w:r>
      <w:r w:rsidR="00326569" w:rsidRPr="00181CF2">
        <w:rPr>
          <w:rStyle w:val="FootnoteReference"/>
          <w:rFonts w:ascii="Arial" w:hAnsi="Arial" w:cs="Arial"/>
          <w:szCs w:val="24"/>
          <w:lang w:val="en-GB"/>
        </w:rPr>
        <w:footnoteReference w:id="461"/>
      </w:r>
      <w:r w:rsidR="00FC462A" w:rsidRPr="00181CF2">
        <w:rPr>
          <w:rFonts w:ascii="Arial" w:hAnsi="Arial" w:cs="Arial"/>
          <w:szCs w:val="24"/>
          <w:lang w:val="en-GB"/>
        </w:rPr>
        <w:t xml:space="preserve">  </w:t>
      </w:r>
      <w:r w:rsidRPr="00C57CE1">
        <w:rPr>
          <w:rFonts w:ascii="Arial" w:hAnsi="Arial" w:cs="Arial"/>
          <w:szCs w:val="24"/>
          <w:lang w:val="en-GB"/>
        </w:rPr>
        <w:t>To create an environment free from discrimination on grounds of gender identity is arguably more pressing than a gender recognition scheme in the eye</w:t>
      </w:r>
      <w:r w:rsidRPr="0028108F">
        <w:rPr>
          <w:rFonts w:ascii="Arial" w:hAnsi="Arial" w:cs="Arial"/>
          <w:szCs w:val="24"/>
          <w:lang w:val="en-GB"/>
        </w:rPr>
        <w:t>s of some transgender people.</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2013, the Advisory Group on Eliminating Discrimination against Sexual Minorities was established to advise the Secretary for Constitutional and Mainland Affairs on matters relating to concerns about discrimination faced by sexual minorities in Hong Kong</w:t>
      </w:r>
      <w:r w:rsidR="00813FAE" w:rsidRPr="0028108F">
        <w:rPr>
          <w:rFonts w:ascii="Arial" w:hAnsi="Arial" w:cs="Arial"/>
          <w:szCs w:val="24"/>
          <w:lang w:val="en-GB"/>
        </w:rPr>
        <w:t>.</w:t>
      </w:r>
      <w:r w:rsidRPr="0028108F">
        <w:rPr>
          <w:rFonts w:ascii="Arial" w:hAnsi="Arial" w:cs="Arial"/>
          <w:szCs w:val="24"/>
          <w:lang w:val="en-GB"/>
        </w:rPr>
        <w:t xml:space="preserve"> </w:t>
      </w:r>
      <w:r w:rsidR="00813FAE" w:rsidRPr="0028108F">
        <w:rPr>
          <w:rFonts w:ascii="Arial" w:hAnsi="Arial" w:cs="Arial"/>
          <w:szCs w:val="24"/>
          <w:lang w:val="en-GB"/>
        </w:rPr>
        <w:t xml:space="preserve"> In particular, its role was to advise on </w:t>
      </w:r>
      <w:r w:rsidRPr="0028108F">
        <w:rPr>
          <w:rFonts w:ascii="Arial" w:hAnsi="Arial" w:cs="Arial"/>
          <w:szCs w:val="24"/>
          <w:lang w:val="en-GB"/>
        </w:rPr>
        <w:t>the aspects and extent of discrimination faced by sexual minorities in Hong Kong, and the strategies and measures to tackle the problems identified with a view to eliminating discrimination and nurturing a culture of diversity, tolerance and mutual respect in the community.</w:t>
      </w:r>
      <w:r w:rsidRPr="00181CF2">
        <w:rPr>
          <w:rStyle w:val="FootnoteReference"/>
          <w:rFonts w:ascii="Arial" w:hAnsi="Arial" w:cs="Arial"/>
          <w:szCs w:val="24"/>
          <w:lang w:val="en-GB"/>
        </w:rPr>
        <w:footnoteReference w:id="462"/>
      </w:r>
      <w:r w:rsidRPr="00181CF2">
        <w:rPr>
          <w:rFonts w:ascii="Arial" w:hAnsi="Arial" w:cs="Arial"/>
          <w:szCs w:val="24"/>
          <w:lang w:val="en-GB"/>
        </w:rPr>
        <w:t xml:space="preserve">  In late 2015, the Advisory Group published its report which contains recommendations to the Government, mainly to enhance public education and publicit</w:t>
      </w:r>
      <w:r w:rsidRPr="00C57CE1">
        <w:rPr>
          <w:rFonts w:ascii="Arial" w:hAnsi="Arial" w:cs="Arial"/>
          <w:szCs w:val="24"/>
          <w:lang w:val="en-GB"/>
        </w:rPr>
        <w:t>y to raise the community’s, and some professional groups’ and sectors’</w:t>
      </w:r>
      <w:r w:rsidR="00813FAE" w:rsidRPr="0028108F">
        <w:rPr>
          <w:rFonts w:ascii="Arial" w:hAnsi="Arial" w:cs="Arial"/>
          <w:szCs w:val="24"/>
          <w:lang w:val="en-GB"/>
        </w:rPr>
        <w:t>,</w:t>
      </w:r>
      <w:r w:rsidRPr="0028108F">
        <w:rPr>
          <w:rFonts w:ascii="Arial" w:hAnsi="Arial" w:cs="Arial"/>
          <w:szCs w:val="24"/>
          <w:lang w:val="en-GB"/>
        </w:rPr>
        <w:t xml:space="preserve"> sensitivities towards sexual minorities, and to conduct further study on the proposal of enacting legislation to prohibit discrimination on </w:t>
      </w:r>
      <w:r w:rsidR="00813FAE" w:rsidRPr="0028108F">
        <w:rPr>
          <w:rFonts w:ascii="Arial" w:hAnsi="Arial" w:cs="Arial"/>
          <w:szCs w:val="24"/>
          <w:lang w:val="en-GB"/>
        </w:rPr>
        <w:t xml:space="preserve">the </w:t>
      </w:r>
      <w:r w:rsidRPr="0028108F">
        <w:rPr>
          <w:rFonts w:ascii="Arial" w:hAnsi="Arial" w:cs="Arial"/>
          <w:szCs w:val="24"/>
          <w:lang w:val="en-GB"/>
        </w:rPr>
        <w:t>grounds of sexual orientation and gender identity.</w:t>
      </w:r>
      <w:r w:rsidRPr="00181CF2">
        <w:rPr>
          <w:rStyle w:val="FootnoteReference"/>
          <w:rFonts w:ascii="Arial" w:hAnsi="Arial" w:cs="Arial"/>
          <w:szCs w:val="24"/>
          <w:lang w:val="en-GB"/>
        </w:rPr>
        <w:footnoteReference w:id="463"/>
      </w:r>
      <w:r w:rsidRPr="00181CF2">
        <w:rPr>
          <w:rFonts w:ascii="Arial" w:hAnsi="Arial" w:cs="Arial"/>
          <w:szCs w:val="24"/>
          <w:lang w:val="en-GB"/>
        </w:rPr>
        <w:t xml:space="preserve">  The Government is following up</w:t>
      </w:r>
      <w:r w:rsidR="00813FAE" w:rsidRPr="00C57CE1">
        <w:rPr>
          <w:rFonts w:ascii="Arial" w:hAnsi="Arial" w:cs="Arial"/>
          <w:szCs w:val="24"/>
          <w:lang w:val="en-GB"/>
        </w:rPr>
        <w:t xml:space="preserve"> on</w:t>
      </w:r>
      <w:r w:rsidRPr="0028108F">
        <w:rPr>
          <w:rFonts w:ascii="Arial" w:hAnsi="Arial" w:cs="Arial"/>
          <w:szCs w:val="24"/>
          <w:lang w:val="en-GB"/>
        </w:rPr>
        <w:t xml:space="preserve"> the recommendations in consultation with stakeholders.</w:t>
      </w:r>
    </w:p>
    <w:p w:rsidR="000579B4" w:rsidRPr="0028108F" w:rsidRDefault="000579B4"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0579B4" w:rsidRPr="00C57CE1" w:rsidRDefault="000579B4"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181CF2">
        <w:rPr>
          <w:rFonts w:ascii="Arial" w:hAnsi="Arial" w:cs="Arial"/>
          <w:szCs w:val="24"/>
          <w:lang w:val="en-GB"/>
        </w:rPr>
        <w:t>Moreover, some may consider that a fully-fledged gender recognition scheme would be unnecessary and expensive for Hong Kong.  Most countries need to enac</w:t>
      </w:r>
      <w:r w:rsidRPr="00C57CE1">
        <w:rPr>
          <w:rFonts w:ascii="Arial" w:hAnsi="Arial" w:cs="Arial"/>
          <w:szCs w:val="24"/>
          <w:lang w:val="en-GB"/>
        </w:rPr>
        <w:t xml:space="preserve">t specific gender recognition law </w:t>
      </w:r>
      <w:r w:rsidR="00AE4B3E" w:rsidRPr="0028108F">
        <w:rPr>
          <w:rFonts w:ascii="Arial" w:hAnsi="Arial" w:cs="Arial"/>
          <w:szCs w:val="24"/>
          <w:lang w:val="en-GB"/>
        </w:rPr>
        <w:t xml:space="preserve">possibly </w:t>
      </w:r>
      <w:r w:rsidRPr="00181CF2">
        <w:rPr>
          <w:rFonts w:ascii="Arial" w:hAnsi="Arial" w:cs="Arial"/>
          <w:szCs w:val="24"/>
          <w:lang w:val="en-GB"/>
        </w:rPr>
        <w:t>because they do not have a document comparable to the Hong Kong identity card and thus their gender recognition scheme</w:t>
      </w:r>
      <w:r w:rsidR="00AE4B3E" w:rsidRPr="0028108F">
        <w:rPr>
          <w:rFonts w:ascii="Arial" w:hAnsi="Arial" w:cs="Arial"/>
          <w:szCs w:val="24"/>
          <w:lang w:val="en-GB"/>
        </w:rPr>
        <w:t xml:space="preserve"> would</w:t>
      </w:r>
      <w:r w:rsidRPr="00C57CE1">
        <w:rPr>
          <w:rFonts w:ascii="Arial" w:hAnsi="Arial" w:cs="Arial"/>
          <w:szCs w:val="24"/>
          <w:lang w:val="en-GB"/>
        </w:rPr>
        <w:t xml:space="preserve"> involve the issuance of a separate document such as a gender recognition certificate.  </w:t>
      </w:r>
      <w:r w:rsidRPr="0028108F">
        <w:rPr>
          <w:rFonts w:ascii="Arial" w:hAnsi="Arial" w:cs="Arial"/>
          <w:szCs w:val="24"/>
          <w:lang w:val="en-GB"/>
        </w:rPr>
        <w:t xml:space="preserve">Some transgender persons in Hong Kong may therefore consider that instead of introducing a gender recognition scheme in Hong Kong, it </w:t>
      </w:r>
      <w:r w:rsidR="00813FAE" w:rsidRPr="0028108F">
        <w:rPr>
          <w:rFonts w:ascii="Arial" w:hAnsi="Arial" w:cs="Arial"/>
          <w:szCs w:val="24"/>
          <w:lang w:val="en-GB"/>
        </w:rPr>
        <w:t xml:space="preserve">would be </w:t>
      </w:r>
      <w:r w:rsidRPr="0028108F">
        <w:rPr>
          <w:rFonts w:ascii="Arial" w:hAnsi="Arial" w:cs="Arial"/>
          <w:szCs w:val="24"/>
          <w:lang w:val="en-GB"/>
        </w:rPr>
        <w:t xml:space="preserve">more convenient and probably a quicker </w:t>
      </w:r>
      <w:r w:rsidR="00813FAE" w:rsidRPr="0028108F">
        <w:rPr>
          <w:rFonts w:ascii="Arial" w:hAnsi="Arial" w:cs="Arial"/>
          <w:szCs w:val="24"/>
          <w:lang w:val="en-GB"/>
        </w:rPr>
        <w:t xml:space="preserve">solution </w:t>
      </w:r>
      <w:r w:rsidRPr="0028108F">
        <w:rPr>
          <w:rFonts w:ascii="Arial" w:hAnsi="Arial" w:cs="Arial"/>
          <w:szCs w:val="24"/>
          <w:lang w:val="en-GB"/>
        </w:rPr>
        <w:t xml:space="preserve">to </w:t>
      </w:r>
      <w:r w:rsidR="007A41A4" w:rsidRPr="0028108F">
        <w:rPr>
          <w:rFonts w:ascii="Arial" w:hAnsi="Arial" w:cs="Arial"/>
          <w:szCs w:val="24"/>
          <w:lang w:val="en-GB"/>
        </w:rPr>
        <w:t>review</w:t>
      </w:r>
      <w:r w:rsidRPr="0028108F">
        <w:rPr>
          <w:rFonts w:ascii="Arial" w:hAnsi="Arial" w:cs="Arial"/>
          <w:szCs w:val="24"/>
          <w:lang w:val="en-GB"/>
        </w:rPr>
        <w:t xml:space="preserve"> the existing administrative practice so as to </w:t>
      </w:r>
      <w:r w:rsidR="007A41A4" w:rsidRPr="0028108F">
        <w:rPr>
          <w:rFonts w:ascii="Arial" w:hAnsi="Arial" w:cs="Arial"/>
          <w:szCs w:val="24"/>
          <w:lang w:val="en-GB"/>
        </w:rPr>
        <w:t xml:space="preserve">consider whether to </w:t>
      </w:r>
      <w:r w:rsidRPr="0028108F">
        <w:rPr>
          <w:rFonts w:ascii="Arial" w:hAnsi="Arial" w:cs="Arial"/>
          <w:szCs w:val="24"/>
          <w:lang w:val="en-GB"/>
        </w:rPr>
        <w:t xml:space="preserve">allow </w:t>
      </w:r>
      <w:r w:rsidR="005F69BE">
        <w:rPr>
          <w:rFonts w:ascii="Arial" w:hAnsi="Arial" w:cs="Arial" w:hint="eastAsia"/>
          <w:szCs w:val="24"/>
          <w:lang w:val="en-GB"/>
        </w:rPr>
        <w:t xml:space="preserve">pre-operative </w:t>
      </w:r>
      <w:r w:rsidRPr="0028108F">
        <w:rPr>
          <w:rFonts w:ascii="Arial" w:hAnsi="Arial" w:cs="Arial"/>
          <w:szCs w:val="24"/>
          <w:lang w:val="en-GB"/>
        </w:rPr>
        <w:t>transgender persons</w:t>
      </w:r>
      <w:r w:rsidR="00813FAE" w:rsidRPr="0028108F">
        <w:rPr>
          <w:rFonts w:ascii="Arial" w:hAnsi="Arial" w:cs="Arial"/>
          <w:szCs w:val="24"/>
          <w:lang w:val="en-GB"/>
        </w:rPr>
        <w:t xml:space="preserve"> </w:t>
      </w:r>
      <w:r w:rsidRPr="0028108F">
        <w:rPr>
          <w:rFonts w:ascii="Arial" w:hAnsi="Arial" w:cs="Arial"/>
          <w:szCs w:val="24"/>
          <w:lang w:val="en-GB"/>
        </w:rPr>
        <w:t xml:space="preserve">to change the sex </w:t>
      </w:r>
      <w:r w:rsidR="00AE4B3E" w:rsidRPr="0028108F">
        <w:rPr>
          <w:rFonts w:ascii="Arial" w:hAnsi="Arial" w:cs="Arial"/>
          <w:szCs w:val="24"/>
          <w:lang w:val="en-GB"/>
        </w:rPr>
        <w:t xml:space="preserve">entry </w:t>
      </w:r>
      <w:r w:rsidRPr="00181CF2">
        <w:rPr>
          <w:rFonts w:ascii="Arial" w:hAnsi="Arial" w:cs="Arial"/>
          <w:szCs w:val="24"/>
          <w:lang w:val="en-GB"/>
        </w:rPr>
        <w:t xml:space="preserve">on </w:t>
      </w:r>
      <w:r w:rsidR="00AE4B3E" w:rsidRPr="0028108F">
        <w:rPr>
          <w:rFonts w:ascii="Arial" w:hAnsi="Arial" w:cs="Arial"/>
          <w:szCs w:val="24"/>
          <w:lang w:val="en-GB"/>
        </w:rPr>
        <w:t xml:space="preserve">their </w:t>
      </w:r>
      <w:r w:rsidRPr="00181CF2">
        <w:rPr>
          <w:rFonts w:ascii="Arial" w:hAnsi="Arial" w:cs="Arial"/>
          <w:szCs w:val="24"/>
          <w:lang w:val="en-GB"/>
        </w:rPr>
        <w:t>identity cards to reflect their preferred gender.</w:t>
      </w:r>
    </w:p>
    <w:p w:rsidR="00E773F6" w:rsidRPr="0028108F" w:rsidRDefault="00E773F6" w:rsidP="00E773F6">
      <w:pPr>
        <w:tabs>
          <w:tab w:val="left" w:pos="1418"/>
        </w:tabs>
        <w:snapToGrid w:val="0"/>
        <w:jc w:val="both"/>
        <w:rPr>
          <w:rFonts w:ascii="Arial" w:hAnsi="Arial" w:cs="Arial"/>
          <w:szCs w:val="24"/>
          <w:lang w:val="en-GB"/>
        </w:rPr>
      </w:pPr>
    </w:p>
    <w:p w:rsidR="00E773F6" w:rsidRPr="0028108F" w:rsidRDefault="00E773F6" w:rsidP="00E773F6">
      <w:pPr>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 (4): Gender recognition may have unintended consequences</w:t>
      </w:r>
    </w:p>
    <w:p w:rsidR="00E773F6" w:rsidRPr="0028108F" w:rsidRDefault="00E773F6" w:rsidP="00E773F6">
      <w:pPr>
        <w:tabs>
          <w:tab w:val="left" w:pos="1418"/>
        </w:tabs>
        <w:snapToGrid w:val="0"/>
        <w:jc w:val="both"/>
        <w:rPr>
          <w:rFonts w:ascii="Arial" w:hAnsi="Arial" w:cs="Arial"/>
          <w:color w:val="000000" w:themeColor="text1"/>
          <w:szCs w:val="24"/>
          <w:u w:val="single"/>
          <w:lang w:val="en-GB"/>
        </w:rPr>
      </w:pPr>
    </w:p>
    <w:p w:rsidR="00E773F6" w:rsidRPr="00C57CE1"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i/>
          <w:szCs w:val="24"/>
          <w:lang w:val="en-GB"/>
        </w:rPr>
      </w:pPr>
      <w:r w:rsidRPr="0028108F">
        <w:rPr>
          <w:rFonts w:ascii="Arial" w:hAnsi="Arial" w:cs="Arial"/>
          <w:szCs w:val="24"/>
          <w:lang w:val="en-GB"/>
        </w:rPr>
        <w:t>As stressed by Walt Heyer, a biological man who had</w:t>
      </w:r>
      <w:r w:rsidR="00813FAE" w:rsidRPr="0028108F">
        <w:rPr>
          <w:rFonts w:ascii="Arial" w:hAnsi="Arial" w:cs="Arial"/>
          <w:szCs w:val="24"/>
          <w:lang w:val="en-GB"/>
        </w:rPr>
        <w:t xml:space="preserve"> a</w:t>
      </w:r>
      <w:r w:rsidRPr="0028108F">
        <w:rPr>
          <w:rFonts w:ascii="Arial" w:hAnsi="Arial" w:cs="Arial"/>
          <w:szCs w:val="24"/>
          <w:lang w:val="en-GB"/>
        </w:rPr>
        <w:t xml:space="preserve"> sex change to become a woman at </w:t>
      </w:r>
      <w:r w:rsidR="00813FAE" w:rsidRPr="0028108F">
        <w:rPr>
          <w:rFonts w:ascii="Arial" w:hAnsi="Arial" w:cs="Arial"/>
          <w:szCs w:val="24"/>
          <w:lang w:val="en-GB"/>
        </w:rPr>
        <w:t xml:space="preserve">the </w:t>
      </w:r>
      <w:r w:rsidRPr="0028108F">
        <w:rPr>
          <w:rFonts w:ascii="Arial" w:hAnsi="Arial" w:cs="Arial"/>
          <w:szCs w:val="24"/>
          <w:lang w:val="en-GB"/>
        </w:rPr>
        <w:t>age of 42, and then reverted back to being a man</w:t>
      </w:r>
      <w:r w:rsidRPr="00181CF2">
        <w:rPr>
          <w:rFonts w:ascii="Arial" w:hAnsi="Arial" w:cs="Arial"/>
          <w:szCs w:val="24"/>
          <w:lang w:val="en-GB"/>
        </w:rPr>
        <w:t>:</w:t>
      </w:r>
    </w:p>
    <w:p w:rsidR="00E773F6" w:rsidRPr="0028108F" w:rsidRDefault="00E773F6" w:rsidP="00E773F6">
      <w:pPr>
        <w:tabs>
          <w:tab w:val="left" w:pos="1418"/>
        </w:tabs>
        <w:snapToGrid w:val="0"/>
        <w:jc w:val="both"/>
        <w:rPr>
          <w:rFonts w:ascii="Arial" w:hAnsi="Arial" w:cs="Arial"/>
          <w:szCs w:val="24"/>
          <w:lang w:val="en-GB"/>
        </w:rPr>
      </w:pPr>
    </w:p>
    <w:p w:rsidR="00E773F6" w:rsidRPr="00181CF2" w:rsidRDefault="00E773F6" w:rsidP="00E773F6">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“Allowing the original birth record gender to be altered has unintended consequences.  It can be misused, perhaps by a terrorist to hide his identity.  Or, some would say it will legitimize same sex marriage.  With an amended birth record in hand (changed from male to female), the new female would be free to enter into a legal marriage with a man.”</w:t>
      </w:r>
      <w:r w:rsidR="00AE4B3E" w:rsidRPr="0028108F">
        <w:rPr>
          <w:rStyle w:val="FootnoteReference"/>
          <w:rFonts w:ascii="Arial" w:hAnsi="Arial" w:cs="Arial"/>
          <w:szCs w:val="24"/>
          <w:lang w:val="en-GB"/>
        </w:rPr>
        <w:t xml:space="preserve"> </w:t>
      </w:r>
      <w:r w:rsidR="00AE4B3E" w:rsidRPr="00181CF2">
        <w:rPr>
          <w:rStyle w:val="FootnoteReference"/>
          <w:rFonts w:ascii="Arial" w:hAnsi="Arial" w:cs="Arial"/>
          <w:szCs w:val="24"/>
          <w:lang w:val="en-GB"/>
        </w:rPr>
        <w:footnoteReference w:id="464"/>
      </w:r>
    </w:p>
    <w:p w:rsidR="00E773F6" w:rsidRPr="00C57CE1"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AE4B3E"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Further, </w:t>
      </w:r>
      <w:r w:rsidRPr="00181CF2">
        <w:rPr>
          <w:rFonts w:ascii="Arial" w:hAnsi="Arial" w:cs="Arial"/>
          <w:szCs w:val="24"/>
          <w:lang w:val="en-GB"/>
        </w:rPr>
        <w:t xml:space="preserve">Dr Kwan Kai Man, </w:t>
      </w:r>
      <w:r w:rsidRPr="00C57CE1">
        <w:rPr>
          <w:rFonts w:ascii="Arial" w:hAnsi="Arial" w:cs="Arial"/>
          <w:lang w:val="en-GB"/>
        </w:rPr>
        <w:t xml:space="preserve">Professor, Department of Religion and Philosophy, </w:t>
      </w:r>
      <w:r w:rsidR="009E14FE">
        <w:rPr>
          <w:rFonts w:ascii="Arial" w:hAnsi="Arial" w:cs="Arial"/>
          <w:lang w:val="en-GB"/>
        </w:rPr>
        <w:t xml:space="preserve">Hong Kong </w:t>
      </w:r>
      <w:r w:rsidRPr="00C57CE1">
        <w:rPr>
          <w:rFonts w:ascii="Arial" w:hAnsi="Arial" w:cs="Arial"/>
          <w:lang w:val="en-GB"/>
        </w:rPr>
        <w:t>Baptist University,</w:t>
      </w:r>
      <w:r w:rsidRPr="0028108F">
        <w:rPr>
          <w:rFonts w:ascii="Arial" w:hAnsi="Arial" w:cs="Arial"/>
          <w:lang w:val="en-GB"/>
        </w:rPr>
        <w:t xml:space="preserve"> </w:t>
      </w:r>
      <w:r w:rsidR="00813FAE" w:rsidRPr="00181CF2">
        <w:rPr>
          <w:rFonts w:ascii="Arial" w:hAnsi="Arial" w:cs="Arial"/>
          <w:lang w:val="en-GB"/>
        </w:rPr>
        <w:t xml:space="preserve">has </w:t>
      </w:r>
      <w:r w:rsidRPr="0028108F">
        <w:rPr>
          <w:rFonts w:ascii="Arial" w:hAnsi="Arial" w:cs="Arial"/>
          <w:szCs w:val="24"/>
          <w:lang w:val="en-GB"/>
        </w:rPr>
        <w:t xml:space="preserve">argued </w:t>
      </w:r>
      <w:r w:rsidR="00E773F6" w:rsidRPr="00181CF2">
        <w:rPr>
          <w:rFonts w:ascii="Arial" w:hAnsi="Arial" w:cs="Arial"/>
          <w:szCs w:val="24"/>
          <w:lang w:val="en-GB"/>
        </w:rPr>
        <w:t xml:space="preserve">that the experience of European and </w:t>
      </w:r>
      <w:r w:rsidR="00512AC0" w:rsidRPr="0028108F">
        <w:rPr>
          <w:rFonts w:ascii="Arial" w:hAnsi="Arial" w:cs="Arial"/>
          <w:szCs w:val="24"/>
          <w:lang w:val="en-GB"/>
        </w:rPr>
        <w:t>US</w:t>
      </w:r>
      <w:r w:rsidR="00E773F6" w:rsidRPr="0028108F">
        <w:rPr>
          <w:rFonts w:ascii="Arial" w:hAnsi="Arial" w:cs="Arial"/>
          <w:szCs w:val="24"/>
          <w:lang w:val="en-GB"/>
        </w:rPr>
        <w:t xml:space="preserve"> jurisdictions has demonstrated that gender recognition legislation would bring about more complicated issues such as </w:t>
      </w:r>
      <w:r w:rsidR="00E773F6" w:rsidRPr="0028108F">
        <w:rPr>
          <w:rFonts w:ascii="Arial" w:hAnsi="Arial" w:cs="Arial"/>
          <w:i/>
          <w:szCs w:val="24"/>
          <w:lang w:val="en-GB"/>
        </w:rPr>
        <w:t>“gender subjectivity”</w:t>
      </w:r>
      <w:r w:rsidR="00E773F6" w:rsidRPr="0028108F">
        <w:rPr>
          <w:rFonts w:ascii="Arial" w:hAnsi="Arial" w:cs="Arial"/>
          <w:szCs w:val="24"/>
          <w:lang w:val="en-GB"/>
        </w:rPr>
        <w:t xml:space="preserve">, </w:t>
      </w:r>
      <w:r w:rsidR="00E773F6" w:rsidRPr="0028108F">
        <w:rPr>
          <w:rFonts w:ascii="Arial" w:hAnsi="Arial" w:cs="Arial"/>
          <w:i/>
          <w:szCs w:val="24"/>
          <w:lang w:val="en-GB"/>
        </w:rPr>
        <w:t>“gender deconstruction”</w:t>
      </w:r>
      <w:r w:rsidR="00E773F6" w:rsidRPr="0028108F">
        <w:rPr>
          <w:rFonts w:ascii="Arial" w:hAnsi="Arial" w:cs="Arial"/>
          <w:szCs w:val="24"/>
          <w:lang w:val="en-GB"/>
        </w:rPr>
        <w:t>, a rising number of younger children seeking sex-changing treatments, constant demands for expanding transgender rights on the grounds of anti-discrimination, etc.</w:t>
      </w:r>
      <w:r w:rsidR="00E773F6" w:rsidRPr="0028108F">
        <w:rPr>
          <w:rStyle w:val="FootnoteReference"/>
          <w:rFonts w:ascii="Arial" w:hAnsi="Arial" w:cs="Arial"/>
          <w:szCs w:val="24"/>
          <w:lang w:val="en-GB"/>
        </w:rPr>
        <w:footnoteReference w:id="465"/>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u w:val="single"/>
          <w:lang w:val="en-GB"/>
        </w:rPr>
      </w:pPr>
    </w:p>
    <w:p w:rsidR="00E773F6" w:rsidRPr="0028108F" w:rsidRDefault="00E773F6" w:rsidP="00E773F6">
      <w:pPr>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 xml:space="preserve">Argument (5): </w:t>
      </w:r>
      <w:r w:rsidR="00AE4B3E" w:rsidRPr="0028108F">
        <w:rPr>
          <w:rFonts w:ascii="Arial" w:hAnsi="Arial" w:cs="Arial"/>
          <w:b/>
          <w:i/>
          <w:color w:val="000000" w:themeColor="text1"/>
          <w:szCs w:val="24"/>
          <w:lang w:val="en-GB"/>
        </w:rPr>
        <w:t>The “</w:t>
      </w:r>
      <w:r w:rsidR="00994399" w:rsidRPr="0028108F">
        <w:rPr>
          <w:rFonts w:ascii="Arial" w:hAnsi="Arial" w:cs="Arial"/>
          <w:b/>
          <w:i/>
          <w:color w:val="000000" w:themeColor="text1"/>
          <w:szCs w:val="24"/>
          <w:lang w:val="en-GB"/>
        </w:rPr>
        <w:t>s</w:t>
      </w:r>
      <w:r w:rsidR="00AE4B3E" w:rsidRPr="0028108F">
        <w:rPr>
          <w:rFonts w:ascii="Arial" w:hAnsi="Arial" w:cs="Arial"/>
          <w:b/>
          <w:i/>
          <w:color w:val="000000" w:themeColor="text1"/>
          <w:szCs w:val="24"/>
          <w:lang w:val="en-GB"/>
        </w:rPr>
        <w:t xml:space="preserve">lippery </w:t>
      </w:r>
      <w:r w:rsidR="00994399" w:rsidRPr="0028108F">
        <w:rPr>
          <w:rFonts w:ascii="Arial" w:hAnsi="Arial" w:cs="Arial"/>
          <w:b/>
          <w:i/>
          <w:color w:val="000000" w:themeColor="text1"/>
          <w:szCs w:val="24"/>
          <w:lang w:val="en-GB"/>
        </w:rPr>
        <w:t>s</w:t>
      </w:r>
      <w:r w:rsidR="00AE4B3E" w:rsidRPr="0028108F">
        <w:rPr>
          <w:rFonts w:ascii="Arial" w:hAnsi="Arial" w:cs="Arial"/>
          <w:b/>
          <w:i/>
          <w:color w:val="000000" w:themeColor="text1"/>
          <w:szCs w:val="24"/>
          <w:lang w:val="en-GB"/>
        </w:rPr>
        <w:t>lope” argument</w:t>
      </w:r>
    </w:p>
    <w:p w:rsidR="00E773F6" w:rsidRPr="0028108F" w:rsidRDefault="00E773F6" w:rsidP="00E773F6">
      <w:pPr>
        <w:jc w:val="both"/>
        <w:rPr>
          <w:rFonts w:ascii="Arial" w:hAnsi="Arial" w:cs="Arial"/>
          <w:szCs w:val="24"/>
          <w:lang w:val="en-GB"/>
        </w:rPr>
      </w:pPr>
    </w:p>
    <w:p w:rsidR="00E773F6"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has been argued </w:t>
      </w:r>
      <w:r w:rsidR="00642365" w:rsidRPr="0028108F">
        <w:rPr>
          <w:rFonts w:ascii="Arial" w:hAnsi="Arial" w:cs="Arial"/>
          <w:szCs w:val="24"/>
          <w:lang w:val="en-GB"/>
        </w:rPr>
        <w:t xml:space="preserve">in some quarters </w:t>
      </w:r>
      <w:r w:rsidRPr="0028108F">
        <w:rPr>
          <w:rFonts w:ascii="Arial" w:hAnsi="Arial" w:cs="Arial"/>
          <w:szCs w:val="24"/>
          <w:lang w:val="en-GB"/>
        </w:rPr>
        <w:t>that activists for</w:t>
      </w:r>
      <w:r w:rsidR="00813FAE" w:rsidRPr="0028108F">
        <w:rPr>
          <w:rFonts w:ascii="Arial" w:hAnsi="Arial" w:cs="Arial"/>
          <w:szCs w:val="24"/>
          <w:lang w:val="en-GB"/>
        </w:rPr>
        <w:t xml:space="preserve"> the</w:t>
      </w:r>
      <w:r w:rsidRPr="0028108F">
        <w:rPr>
          <w:rFonts w:ascii="Arial" w:hAnsi="Arial" w:cs="Arial"/>
          <w:szCs w:val="24"/>
          <w:lang w:val="en-GB"/>
        </w:rPr>
        <w:t xml:space="preserve"> transsexual movement had, at the time of </w:t>
      </w:r>
      <w:r w:rsidR="00334997" w:rsidRPr="0028108F">
        <w:rPr>
          <w:rFonts w:ascii="Arial" w:hAnsi="Arial" w:cs="Arial"/>
          <w:i/>
          <w:szCs w:val="24"/>
          <w:lang w:val="en-GB"/>
        </w:rPr>
        <w:t>W</w:t>
      </w:r>
      <w:r w:rsidR="00334997" w:rsidRPr="00181CF2">
        <w:rPr>
          <w:rFonts w:ascii="Arial" w:hAnsi="Arial" w:cs="Arial"/>
          <w:szCs w:val="24"/>
          <w:lang w:val="en-GB"/>
        </w:rPr>
        <w:t>’s case</w:t>
      </w:r>
      <w:r w:rsidRPr="00C57CE1">
        <w:rPr>
          <w:rFonts w:ascii="Arial" w:hAnsi="Arial" w:cs="Arial"/>
          <w:szCs w:val="24"/>
          <w:lang w:val="en-GB"/>
        </w:rPr>
        <w:t xml:space="preserve">, emphasised that Ms W is a post-operative transsexual person who had undergone surgical procedures, but after Ms W won the lawsuit, they argued that legislating to permit those </w:t>
      </w:r>
      <w:r w:rsidR="00813FAE" w:rsidRPr="0028108F">
        <w:rPr>
          <w:rFonts w:ascii="Arial" w:hAnsi="Arial" w:cs="Arial"/>
          <w:szCs w:val="24"/>
          <w:lang w:val="en-GB"/>
        </w:rPr>
        <w:t xml:space="preserve">who </w:t>
      </w:r>
      <w:r w:rsidRPr="0028108F">
        <w:rPr>
          <w:rFonts w:ascii="Arial" w:hAnsi="Arial" w:cs="Arial"/>
          <w:szCs w:val="24"/>
          <w:lang w:val="en-GB"/>
        </w:rPr>
        <w:t>hav</w:t>
      </w:r>
      <w:r w:rsidR="00813FAE" w:rsidRPr="0028108F">
        <w:rPr>
          <w:rFonts w:ascii="Arial" w:hAnsi="Arial" w:cs="Arial"/>
          <w:szCs w:val="24"/>
          <w:lang w:val="en-GB"/>
        </w:rPr>
        <w:t>e</w:t>
      </w:r>
      <w:r w:rsidRPr="0028108F">
        <w:rPr>
          <w:rFonts w:ascii="Arial" w:hAnsi="Arial" w:cs="Arial"/>
          <w:szCs w:val="24"/>
          <w:lang w:val="en-GB"/>
        </w:rPr>
        <w:t xml:space="preserve"> undergone full SRS to marry in their acquired gender would </w:t>
      </w:r>
      <w:r w:rsidR="008A3FBD" w:rsidRPr="0028108F">
        <w:rPr>
          <w:rFonts w:ascii="Arial" w:hAnsi="Arial" w:cs="Arial"/>
          <w:szCs w:val="24"/>
          <w:lang w:val="en-GB"/>
        </w:rPr>
        <w:t>have the effect of coercing</w:t>
      </w:r>
      <w:r w:rsidRPr="0028108F">
        <w:rPr>
          <w:rFonts w:ascii="Arial" w:hAnsi="Arial" w:cs="Arial"/>
          <w:szCs w:val="24"/>
          <w:lang w:val="en-GB"/>
        </w:rPr>
        <w:t xml:space="preserve"> transsexual persons to complete full SRS </w:t>
      </w:r>
      <w:r w:rsidR="008A3FBD" w:rsidRPr="0028108F">
        <w:rPr>
          <w:rFonts w:ascii="Arial" w:hAnsi="Arial" w:cs="Arial"/>
          <w:szCs w:val="24"/>
          <w:lang w:val="en-GB"/>
        </w:rPr>
        <w:t>before they are granted the right to marry in their preferred gender</w:t>
      </w:r>
      <w:r w:rsidR="00845D4E" w:rsidRPr="0028108F">
        <w:rPr>
          <w:rFonts w:ascii="Arial" w:hAnsi="Arial" w:cs="Arial"/>
          <w:szCs w:val="24"/>
          <w:lang w:val="en-GB"/>
        </w:rPr>
        <w:t>.  It was contended that this would</w:t>
      </w:r>
      <w:r w:rsidRPr="0028108F">
        <w:rPr>
          <w:rFonts w:ascii="Arial" w:hAnsi="Arial" w:cs="Arial"/>
          <w:szCs w:val="24"/>
          <w:lang w:val="en-GB"/>
        </w:rPr>
        <w:t xml:space="preserve"> </w:t>
      </w:r>
      <w:r w:rsidR="008A3FBD" w:rsidRPr="0028108F">
        <w:rPr>
          <w:rFonts w:ascii="Arial" w:hAnsi="Arial" w:cs="Arial"/>
          <w:szCs w:val="24"/>
          <w:lang w:val="en-GB"/>
        </w:rPr>
        <w:t xml:space="preserve">constitute a form of </w:t>
      </w:r>
      <w:r w:rsidRPr="0028108F">
        <w:rPr>
          <w:rFonts w:ascii="Arial" w:hAnsi="Arial" w:cs="Arial"/>
          <w:szCs w:val="24"/>
          <w:lang w:val="en-GB"/>
        </w:rPr>
        <w:t>torture or cruel, inhuman or degrading treatment.</w:t>
      </w:r>
      <w:r w:rsidR="00642365" w:rsidRPr="0028108F">
        <w:rPr>
          <w:rStyle w:val="FootnoteReference"/>
          <w:rFonts w:ascii="Arial" w:hAnsi="Arial" w:cs="Arial"/>
          <w:szCs w:val="24"/>
          <w:lang w:val="en-GB"/>
        </w:rPr>
        <w:footnoteReference w:id="466"/>
      </w:r>
      <w:r w:rsidRPr="0028108F">
        <w:rPr>
          <w:rFonts w:ascii="Arial" w:hAnsi="Arial" w:cs="Arial"/>
          <w:szCs w:val="24"/>
          <w:lang w:val="en-GB"/>
        </w:rPr>
        <w:t xml:space="preserve">  Some </w:t>
      </w:r>
      <w:r w:rsidR="00845D4E" w:rsidRPr="0028108F">
        <w:rPr>
          <w:rFonts w:ascii="Arial" w:hAnsi="Arial" w:cs="Arial"/>
          <w:szCs w:val="24"/>
          <w:lang w:val="en-GB"/>
        </w:rPr>
        <w:t>ha</w:t>
      </w:r>
      <w:r w:rsidR="00B6510E" w:rsidRPr="0028108F">
        <w:rPr>
          <w:rFonts w:ascii="Arial" w:hAnsi="Arial" w:cs="Arial"/>
          <w:szCs w:val="24"/>
          <w:lang w:val="en-GB"/>
        </w:rPr>
        <w:t>ve</w:t>
      </w:r>
      <w:r w:rsidR="00845D4E" w:rsidRPr="0028108F">
        <w:rPr>
          <w:rFonts w:ascii="Arial" w:hAnsi="Arial" w:cs="Arial"/>
          <w:szCs w:val="24"/>
          <w:lang w:val="en-GB"/>
        </w:rPr>
        <w:t xml:space="preserve"> suggested </w:t>
      </w:r>
      <w:r w:rsidRPr="0028108F">
        <w:rPr>
          <w:rFonts w:ascii="Arial" w:hAnsi="Arial" w:cs="Arial"/>
          <w:szCs w:val="24"/>
          <w:lang w:val="en-GB"/>
        </w:rPr>
        <w:t xml:space="preserve">that </w:t>
      </w:r>
      <w:r w:rsidR="00AE4B3E" w:rsidRPr="0028108F">
        <w:rPr>
          <w:rFonts w:ascii="Arial" w:hAnsi="Arial" w:cs="Arial"/>
          <w:szCs w:val="24"/>
          <w:lang w:val="en-GB"/>
        </w:rPr>
        <w:t xml:space="preserve">since </w:t>
      </w:r>
      <w:r w:rsidR="00AE4B3E" w:rsidRPr="0028108F">
        <w:rPr>
          <w:rFonts w:ascii="Arial" w:hAnsi="Arial" w:cs="Arial"/>
          <w:i/>
          <w:szCs w:val="24"/>
          <w:lang w:val="en-GB"/>
        </w:rPr>
        <w:t>W</w:t>
      </w:r>
      <w:r w:rsidR="00AE4B3E" w:rsidRPr="0028108F">
        <w:rPr>
          <w:rFonts w:ascii="Arial" w:hAnsi="Arial" w:cs="Arial"/>
          <w:szCs w:val="24"/>
          <w:lang w:val="en-GB"/>
        </w:rPr>
        <w:t>’s case</w:t>
      </w:r>
      <w:r w:rsidR="00845D4E" w:rsidRPr="0028108F">
        <w:rPr>
          <w:rFonts w:ascii="Arial" w:hAnsi="Arial" w:cs="Arial"/>
          <w:szCs w:val="24"/>
          <w:lang w:val="en-GB"/>
        </w:rPr>
        <w:t>,</w:t>
      </w:r>
      <w:r w:rsidR="00AE4B3E" w:rsidRPr="0028108F">
        <w:rPr>
          <w:rFonts w:ascii="Arial" w:hAnsi="Arial" w:cs="Arial"/>
          <w:szCs w:val="24"/>
          <w:lang w:val="en-GB"/>
        </w:rPr>
        <w:t xml:space="preserve"> </w:t>
      </w:r>
      <w:r w:rsidRPr="0028108F">
        <w:rPr>
          <w:rFonts w:ascii="Arial" w:hAnsi="Arial" w:cs="Arial"/>
          <w:szCs w:val="24"/>
          <w:lang w:val="en-GB"/>
        </w:rPr>
        <w:t xml:space="preserve">activists have been seeking for an </w:t>
      </w:r>
      <w:r w:rsidR="00845D4E" w:rsidRPr="0028108F">
        <w:rPr>
          <w:rFonts w:ascii="Arial" w:hAnsi="Arial" w:cs="Arial"/>
          <w:szCs w:val="24"/>
          <w:lang w:val="en-GB"/>
        </w:rPr>
        <w:t xml:space="preserve">expansion of </w:t>
      </w:r>
      <w:r w:rsidRPr="0028108F">
        <w:rPr>
          <w:rFonts w:ascii="Arial" w:hAnsi="Arial" w:cs="Arial"/>
          <w:szCs w:val="24"/>
          <w:lang w:val="en-GB"/>
        </w:rPr>
        <w:t>right</w:t>
      </w:r>
      <w:r w:rsidR="00845D4E" w:rsidRPr="0028108F">
        <w:rPr>
          <w:rFonts w:ascii="Arial" w:hAnsi="Arial" w:cs="Arial"/>
          <w:szCs w:val="24"/>
          <w:lang w:val="en-GB"/>
        </w:rPr>
        <w:t>s</w:t>
      </w:r>
      <w:r w:rsidRPr="0028108F">
        <w:rPr>
          <w:rFonts w:ascii="Arial" w:hAnsi="Arial" w:cs="Arial"/>
          <w:szCs w:val="24"/>
          <w:lang w:val="en-GB"/>
        </w:rPr>
        <w:t xml:space="preserve"> so that pre-operative transsexual persons could also have </w:t>
      </w:r>
      <w:r w:rsidR="008A3FBD" w:rsidRPr="0028108F">
        <w:rPr>
          <w:rFonts w:ascii="Arial" w:hAnsi="Arial" w:cs="Arial"/>
          <w:szCs w:val="24"/>
          <w:lang w:val="en-GB"/>
        </w:rPr>
        <w:t>the right to marry in their preferred gender</w:t>
      </w:r>
      <w:r w:rsidR="00845D4E" w:rsidRPr="0028108F">
        <w:rPr>
          <w:rFonts w:ascii="Arial" w:hAnsi="Arial" w:cs="Arial"/>
          <w:szCs w:val="24"/>
          <w:lang w:val="en-GB"/>
        </w:rPr>
        <w:t>,</w:t>
      </w:r>
      <w:r w:rsidR="008A3FBD" w:rsidRPr="0028108F">
        <w:rPr>
          <w:rFonts w:ascii="Arial" w:hAnsi="Arial" w:cs="Arial"/>
          <w:szCs w:val="24"/>
          <w:lang w:val="en-GB"/>
        </w:rPr>
        <w:t xml:space="preserve"> and further</w:t>
      </w:r>
      <w:r w:rsidR="00845D4E" w:rsidRPr="0028108F">
        <w:rPr>
          <w:rFonts w:ascii="Arial" w:hAnsi="Arial" w:cs="Arial"/>
          <w:szCs w:val="24"/>
          <w:lang w:val="en-GB"/>
        </w:rPr>
        <w:t>,</w:t>
      </w:r>
      <w:r w:rsidR="008A3FBD" w:rsidRPr="0028108F">
        <w:rPr>
          <w:rFonts w:ascii="Arial" w:hAnsi="Arial" w:cs="Arial"/>
          <w:szCs w:val="24"/>
          <w:lang w:val="en-GB"/>
        </w:rPr>
        <w:t xml:space="preserve"> </w:t>
      </w:r>
      <w:r w:rsidR="00845D4E" w:rsidRPr="0028108F">
        <w:rPr>
          <w:rFonts w:ascii="Arial" w:hAnsi="Arial" w:cs="Arial"/>
          <w:szCs w:val="24"/>
          <w:lang w:val="en-GB"/>
        </w:rPr>
        <w:t xml:space="preserve">that they are </w:t>
      </w:r>
      <w:r w:rsidR="008A3FBD" w:rsidRPr="0028108F">
        <w:rPr>
          <w:rFonts w:ascii="Arial" w:hAnsi="Arial" w:cs="Arial"/>
          <w:szCs w:val="24"/>
          <w:lang w:val="en-GB"/>
        </w:rPr>
        <w:t>ask</w:t>
      </w:r>
      <w:r w:rsidR="00AE4B3E" w:rsidRPr="0028108F">
        <w:rPr>
          <w:rFonts w:ascii="Arial" w:hAnsi="Arial" w:cs="Arial"/>
          <w:szCs w:val="24"/>
          <w:lang w:val="en-GB"/>
        </w:rPr>
        <w:t>ing</w:t>
      </w:r>
      <w:r w:rsidR="008A3FBD" w:rsidRPr="0028108F">
        <w:rPr>
          <w:rFonts w:ascii="Arial" w:hAnsi="Arial" w:cs="Arial"/>
          <w:szCs w:val="24"/>
          <w:lang w:val="en-GB"/>
        </w:rPr>
        <w:t xml:space="preserve"> for </w:t>
      </w:r>
      <w:r w:rsidR="00AE4B3E" w:rsidRPr="0028108F">
        <w:rPr>
          <w:rFonts w:ascii="Arial" w:hAnsi="Arial" w:cs="Arial"/>
          <w:szCs w:val="24"/>
          <w:lang w:val="en-GB"/>
        </w:rPr>
        <w:t xml:space="preserve">transgender persons’ </w:t>
      </w:r>
      <w:r w:rsidRPr="0028108F">
        <w:rPr>
          <w:rFonts w:ascii="Arial" w:hAnsi="Arial" w:cs="Arial"/>
          <w:szCs w:val="24"/>
          <w:lang w:val="en-GB"/>
        </w:rPr>
        <w:t xml:space="preserve">preferred gender </w:t>
      </w:r>
      <w:r w:rsidR="00845D4E" w:rsidRPr="0028108F">
        <w:rPr>
          <w:rFonts w:ascii="Arial" w:hAnsi="Arial" w:cs="Arial"/>
          <w:szCs w:val="24"/>
          <w:lang w:val="en-GB"/>
        </w:rPr>
        <w:t xml:space="preserve">to be </w:t>
      </w:r>
      <w:r w:rsidRPr="0028108F">
        <w:rPr>
          <w:rFonts w:ascii="Arial" w:hAnsi="Arial" w:cs="Arial"/>
          <w:szCs w:val="24"/>
          <w:lang w:val="en-GB"/>
        </w:rPr>
        <w:t xml:space="preserve">legally recognised.  Some may query that activists would lobby for more </w:t>
      </w:r>
      <w:r w:rsidR="00AE4B3E" w:rsidRPr="0028108F">
        <w:rPr>
          <w:rFonts w:ascii="Arial" w:hAnsi="Arial" w:cs="Arial"/>
          <w:szCs w:val="24"/>
          <w:lang w:val="en-GB"/>
        </w:rPr>
        <w:t xml:space="preserve">and more </w:t>
      </w:r>
      <w:r w:rsidRPr="0028108F">
        <w:rPr>
          <w:rFonts w:ascii="Arial" w:hAnsi="Arial" w:cs="Arial"/>
          <w:szCs w:val="24"/>
          <w:lang w:val="en-GB"/>
        </w:rPr>
        <w:t xml:space="preserve">rights </w:t>
      </w:r>
      <w:r w:rsidR="00AE4B3E" w:rsidRPr="0028108F">
        <w:rPr>
          <w:rFonts w:ascii="Arial" w:hAnsi="Arial" w:cs="Arial"/>
          <w:szCs w:val="24"/>
          <w:lang w:val="en-GB"/>
        </w:rPr>
        <w:t>in favour of the transgender persons</w:t>
      </w:r>
      <w:r w:rsidR="00845D4E" w:rsidRPr="0028108F">
        <w:rPr>
          <w:rFonts w:ascii="Arial" w:hAnsi="Arial" w:cs="Arial"/>
          <w:szCs w:val="24"/>
          <w:lang w:val="en-GB"/>
        </w:rPr>
        <w:t>,</w:t>
      </w:r>
      <w:r w:rsidR="00781EE4" w:rsidRPr="0028108F">
        <w:rPr>
          <w:rFonts w:ascii="Arial" w:hAnsi="Arial" w:cs="Arial"/>
          <w:szCs w:val="24"/>
          <w:lang w:val="en-GB"/>
        </w:rPr>
        <w:t xml:space="preserve"> and the strength and frequency of their </w:t>
      </w:r>
      <w:r w:rsidR="00845D4E" w:rsidRPr="0028108F">
        <w:rPr>
          <w:rFonts w:ascii="Arial" w:hAnsi="Arial" w:cs="Arial"/>
          <w:szCs w:val="24"/>
          <w:lang w:val="en-GB"/>
        </w:rPr>
        <w:t>lobbying may</w:t>
      </w:r>
      <w:r w:rsidR="00781EE4" w:rsidRPr="0028108F">
        <w:rPr>
          <w:rFonts w:ascii="Arial" w:hAnsi="Arial" w:cs="Arial"/>
          <w:szCs w:val="24"/>
          <w:lang w:val="en-GB"/>
        </w:rPr>
        <w:t xml:space="preserve"> increase with time</w:t>
      </w:r>
      <w:r w:rsidRPr="0028108F">
        <w:rPr>
          <w:rFonts w:ascii="Arial" w:hAnsi="Arial" w:cs="Arial"/>
          <w:szCs w:val="24"/>
          <w:lang w:val="en-GB"/>
        </w:rPr>
        <w:t>.</w:t>
      </w:r>
      <w:r w:rsidRPr="0028108F">
        <w:rPr>
          <w:rStyle w:val="FootnoteReference"/>
          <w:rFonts w:ascii="Arial" w:hAnsi="Arial" w:cs="Arial"/>
          <w:lang w:val="en-GB"/>
        </w:rPr>
        <w:footnoteReference w:id="467"/>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BC2CF5" w:rsidRPr="0028108F" w:rsidRDefault="00E773F6"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has also been argued that </w:t>
      </w:r>
      <w:r w:rsidR="00845D4E" w:rsidRPr="0028108F">
        <w:rPr>
          <w:rFonts w:ascii="Arial" w:hAnsi="Arial" w:cs="Arial"/>
          <w:szCs w:val="24"/>
          <w:lang w:val="en-GB"/>
        </w:rPr>
        <w:t xml:space="preserve">the </w:t>
      </w:r>
      <w:r w:rsidRPr="0028108F">
        <w:rPr>
          <w:rFonts w:ascii="Arial" w:hAnsi="Arial" w:cs="Arial"/>
          <w:szCs w:val="24"/>
          <w:lang w:val="en-GB"/>
        </w:rPr>
        <w:t xml:space="preserve">transsexual movement has been </w:t>
      </w:r>
      <w:r w:rsidR="00705AF9" w:rsidRPr="0028108F">
        <w:rPr>
          <w:rFonts w:ascii="Arial" w:hAnsi="Arial" w:cs="Arial"/>
          <w:szCs w:val="24"/>
          <w:lang w:val="en-GB"/>
        </w:rPr>
        <w:t xml:space="preserve">associated </w:t>
      </w:r>
      <w:r w:rsidRPr="0028108F">
        <w:rPr>
          <w:rFonts w:ascii="Arial" w:hAnsi="Arial" w:cs="Arial"/>
          <w:szCs w:val="24"/>
          <w:lang w:val="en-GB"/>
        </w:rPr>
        <w:t xml:space="preserve">with </w:t>
      </w:r>
      <w:r w:rsidR="00845D4E" w:rsidRPr="0028108F">
        <w:rPr>
          <w:rFonts w:ascii="Arial" w:hAnsi="Arial" w:cs="Arial"/>
          <w:szCs w:val="24"/>
          <w:lang w:val="en-GB"/>
        </w:rPr>
        <w:t xml:space="preserve">the </w:t>
      </w:r>
      <w:r w:rsidRPr="0028108F">
        <w:rPr>
          <w:rFonts w:ascii="Arial" w:hAnsi="Arial" w:cs="Arial"/>
          <w:szCs w:val="24"/>
          <w:lang w:val="en-GB"/>
        </w:rPr>
        <w:t>homosexual movement to become an influential and political LGBT</w:t>
      </w:r>
      <w:r w:rsidR="009C72E7" w:rsidRPr="0028108F">
        <w:rPr>
          <w:rFonts w:ascii="Arial" w:hAnsi="Arial" w:cs="Arial"/>
          <w:szCs w:val="24"/>
          <w:lang w:val="en-GB"/>
        </w:rPr>
        <w:t>I</w:t>
      </w:r>
      <w:r w:rsidRPr="0028108F">
        <w:rPr>
          <w:rFonts w:ascii="Arial" w:hAnsi="Arial" w:cs="Arial"/>
          <w:szCs w:val="24"/>
          <w:lang w:val="en-GB"/>
        </w:rPr>
        <w:t xml:space="preserve"> movement, which </w:t>
      </w:r>
      <w:r w:rsidR="00845D4E" w:rsidRPr="0028108F">
        <w:rPr>
          <w:rFonts w:ascii="Arial" w:hAnsi="Arial" w:cs="Arial"/>
          <w:szCs w:val="24"/>
          <w:lang w:val="en-GB"/>
        </w:rPr>
        <w:t xml:space="preserve">may </w:t>
      </w:r>
      <w:r w:rsidRPr="0028108F">
        <w:rPr>
          <w:rFonts w:ascii="Arial" w:hAnsi="Arial" w:cs="Arial"/>
          <w:szCs w:val="24"/>
          <w:lang w:val="en-GB"/>
        </w:rPr>
        <w:t>aggressive</w:t>
      </w:r>
      <w:r w:rsidR="00845D4E" w:rsidRPr="0028108F">
        <w:rPr>
          <w:rFonts w:ascii="Arial" w:hAnsi="Arial" w:cs="Arial"/>
          <w:szCs w:val="24"/>
          <w:lang w:val="en-GB"/>
        </w:rPr>
        <w:t>ly press its</w:t>
      </w:r>
      <w:r w:rsidRPr="0028108F">
        <w:rPr>
          <w:rFonts w:ascii="Arial" w:hAnsi="Arial" w:cs="Arial"/>
          <w:szCs w:val="24"/>
          <w:lang w:val="en-GB"/>
        </w:rPr>
        <w:t xml:space="preserve"> demands</w:t>
      </w:r>
      <w:r w:rsidR="00845D4E" w:rsidRPr="0028108F">
        <w:rPr>
          <w:rFonts w:ascii="Arial" w:hAnsi="Arial" w:cs="Arial"/>
          <w:szCs w:val="24"/>
          <w:lang w:val="en-GB"/>
        </w:rPr>
        <w:t>, and</w:t>
      </w:r>
      <w:r w:rsidRPr="0028108F">
        <w:rPr>
          <w:rFonts w:ascii="Arial" w:hAnsi="Arial" w:cs="Arial"/>
          <w:szCs w:val="24"/>
          <w:lang w:val="en-GB"/>
        </w:rPr>
        <w:t xml:space="preserve"> bring about enormous impact on the social culture</w:t>
      </w:r>
      <w:r w:rsidR="00845D4E" w:rsidRPr="0028108F">
        <w:rPr>
          <w:rFonts w:ascii="Arial" w:hAnsi="Arial" w:cs="Arial"/>
          <w:szCs w:val="24"/>
          <w:lang w:val="en-GB"/>
        </w:rPr>
        <w:t xml:space="preserve"> of Hong Kong</w:t>
      </w:r>
      <w:r w:rsidRPr="0028108F">
        <w:rPr>
          <w:rFonts w:ascii="Arial" w:hAnsi="Arial" w:cs="Arial"/>
          <w:szCs w:val="24"/>
          <w:lang w:val="en-GB"/>
        </w:rPr>
        <w:t xml:space="preserve"> and other individuals’ interests.</w:t>
      </w:r>
      <w:r w:rsidRPr="0028108F">
        <w:rPr>
          <w:rStyle w:val="FootnoteReference"/>
          <w:rFonts w:ascii="Arial" w:hAnsi="Arial" w:cs="Arial"/>
          <w:lang w:val="en-GB"/>
        </w:rPr>
        <w:footnoteReference w:id="468"/>
      </w:r>
    </w:p>
    <w:p w:rsidR="00881D5F" w:rsidRPr="0028108F" w:rsidRDefault="00881D5F" w:rsidP="0028108F">
      <w:pPr>
        <w:jc w:val="both"/>
        <w:rPr>
          <w:rFonts w:ascii="Arial" w:hAnsi="Arial" w:cs="Arial"/>
          <w:szCs w:val="24"/>
          <w:lang w:val="en-GB"/>
        </w:rPr>
      </w:pPr>
    </w:p>
    <w:p w:rsidR="00881D5F" w:rsidRPr="00181CF2" w:rsidRDefault="00881D5F" w:rsidP="001544FD">
      <w:pPr>
        <w:pStyle w:val="ListParagraph"/>
        <w:numPr>
          <w:ilvl w:val="0"/>
          <w:numId w:val="108"/>
        </w:numPr>
        <w:tabs>
          <w:tab w:val="left" w:pos="1418"/>
          <w:tab w:val="left" w:pos="2552"/>
        </w:tabs>
        <w:adjustRightInd w:val="0"/>
        <w:snapToGrid w:val="0"/>
        <w:ind w:leftChars="0" w:left="0" w:firstLine="0"/>
        <w:jc w:val="both"/>
        <w:rPr>
          <w:rFonts w:ascii="Arial" w:hAnsi="Arial" w:cs="Arial"/>
          <w:szCs w:val="24"/>
          <w:lang w:val="en-GB"/>
        </w:rPr>
      </w:pPr>
      <w:r w:rsidRPr="00181CF2">
        <w:rPr>
          <w:rFonts w:ascii="Arial" w:hAnsi="Arial" w:cs="Arial"/>
          <w:szCs w:val="24"/>
          <w:lang w:val="en-GB"/>
        </w:rPr>
        <w:t>It has also been suggested that nowad</w:t>
      </w:r>
      <w:r w:rsidRPr="00C57CE1">
        <w:rPr>
          <w:rFonts w:ascii="Arial" w:hAnsi="Arial" w:cs="Arial"/>
          <w:szCs w:val="24"/>
          <w:lang w:val="en-GB"/>
        </w:rPr>
        <w:t>ays some people regard those more liberal gender recognition schemes in various western countries as the golden rule</w:t>
      </w:r>
      <w:r w:rsidRPr="0028108F">
        <w:rPr>
          <w:rFonts w:ascii="Arial" w:hAnsi="Arial" w:cs="Arial"/>
          <w:szCs w:val="24"/>
          <w:lang w:val="en-GB"/>
        </w:rPr>
        <w:t xml:space="preserve">, and blindly advocate them </w:t>
      </w:r>
      <w:r w:rsidR="00845D4E" w:rsidRPr="0028108F">
        <w:rPr>
          <w:rFonts w:ascii="Arial" w:hAnsi="Arial" w:cs="Arial"/>
          <w:szCs w:val="24"/>
          <w:lang w:val="en-GB"/>
        </w:rPr>
        <w:t>even though</w:t>
      </w:r>
      <w:r w:rsidRPr="0028108F">
        <w:rPr>
          <w:rFonts w:ascii="Arial" w:hAnsi="Arial" w:cs="Arial"/>
          <w:szCs w:val="24"/>
          <w:lang w:val="en-GB"/>
        </w:rPr>
        <w:t xml:space="preserve"> those policies usually assume some extreme liberalism and the ideology of sexual liberation or sex deconstruction.  Some people have expressed concern that the ultimate pursuit by the LGBT</w:t>
      </w:r>
      <w:r w:rsidR="009C72E7" w:rsidRPr="0028108F">
        <w:rPr>
          <w:rFonts w:ascii="Arial" w:hAnsi="Arial" w:cs="Arial"/>
          <w:szCs w:val="24"/>
          <w:lang w:val="en-GB"/>
        </w:rPr>
        <w:t>I</w:t>
      </w:r>
      <w:r w:rsidRPr="0028108F">
        <w:rPr>
          <w:rFonts w:ascii="Arial" w:hAnsi="Arial" w:cs="Arial"/>
          <w:szCs w:val="24"/>
          <w:lang w:val="en-GB"/>
        </w:rPr>
        <w:t xml:space="preserve"> groups would be the Argentina-style scheme that recognises self-determined gender identity, which </w:t>
      </w:r>
      <w:r w:rsidR="00845D4E" w:rsidRPr="0028108F">
        <w:rPr>
          <w:rFonts w:ascii="Arial" w:hAnsi="Arial" w:cs="Arial"/>
          <w:szCs w:val="24"/>
          <w:lang w:val="en-GB"/>
        </w:rPr>
        <w:t>c</w:t>
      </w:r>
      <w:r w:rsidRPr="0028108F">
        <w:rPr>
          <w:rFonts w:ascii="Arial" w:hAnsi="Arial" w:cs="Arial"/>
          <w:szCs w:val="24"/>
          <w:lang w:val="en-GB"/>
        </w:rPr>
        <w:t>ould lead to severe social and family problems arising out of the excessive and undue freedom given under the law.</w:t>
      </w:r>
      <w:r w:rsidRPr="00181CF2">
        <w:rPr>
          <w:rStyle w:val="FootnoteReference"/>
          <w:rFonts w:ascii="Arial" w:hAnsi="Arial" w:cs="Arial"/>
          <w:szCs w:val="24"/>
          <w:lang w:val="en-GB"/>
        </w:rPr>
        <w:footnoteReference w:id="469"/>
      </w:r>
    </w:p>
    <w:p w:rsidR="00BC2CF5" w:rsidRPr="00C57CE1" w:rsidRDefault="00BC2CF5" w:rsidP="0028108F">
      <w:pPr>
        <w:jc w:val="both"/>
        <w:rPr>
          <w:rFonts w:ascii="Arial" w:hAnsi="Arial" w:cs="Arial"/>
          <w:szCs w:val="24"/>
          <w:lang w:val="en-GB"/>
        </w:rPr>
      </w:pPr>
    </w:p>
    <w:p w:rsidR="00F05872" w:rsidRPr="0095452E" w:rsidRDefault="00F05872" w:rsidP="00F05872">
      <w:pPr>
        <w:jc w:val="both"/>
        <w:rPr>
          <w:rFonts w:ascii="Arial" w:hAnsi="Arial" w:cs="Arial"/>
          <w:b/>
          <w:szCs w:val="24"/>
          <w:lang w:val="en-GB"/>
        </w:rPr>
      </w:pPr>
    </w:p>
    <w:p w:rsidR="00F05872" w:rsidRPr="00C57CE1" w:rsidRDefault="00F05872" w:rsidP="00F05872">
      <w:pPr>
        <w:jc w:val="both"/>
        <w:rPr>
          <w:rFonts w:ascii="Arial" w:hAnsi="Arial" w:cs="Arial"/>
          <w:szCs w:val="24"/>
          <w:lang w:val="en-GB"/>
        </w:rPr>
      </w:pPr>
      <w:r w:rsidRPr="0028108F">
        <w:rPr>
          <w:rFonts w:ascii="Arial" w:hAnsi="Arial" w:cs="Arial"/>
          <w:b/>
          <w:sz w:val="28"/>
          <w:szCs w:val="28"/>
          <w:lang w:val="en-GB"/>
        </w:rPr>
        <w:t>Issue for consultation</w:t>
      </w:r>
      <w:r w:rsidRPr="00181CF2">
        <w:rPr>
          <w:rFonts w:ascii="Arial" w:hAnsi="Arial" w:cs="Arial"/>
          <w:b/>
          <w:sz w:val="28"/>
          <w:szCs w:val="28"/>
          <w:lang w:val="en-GB"/>
        </w:rPr>
        <w:t xml:space="preserve"> on whether a gender recognition scheme should be introduced in Hong Kong</w:t>
      </w:r>
    </w:p>
    <w:p w:rsidR="00F05872" w:rsidRPr="0028108F" w:rsidRDefault="00F05872" w:rsidP="00F05872">
      <w:pPr>
        <w:rPr>
          <w:rFonts w:ascii="Arial" w:hAnsi="Arial" w:cs="Arial"/>
          <w:szCs w:val="24"/>
          <w:lang w:val="en-GB"/>
        </w:rPr>
      </w:pPr>
    </w:p>
    <w:p w:rsidR="00F05872" w:rsidRPr="0028108F" w:rsidRDefault="00BC2CF5" w:rsidP="004E2691">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4F6EDD"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 xml:space="preserve">onsultation </w:t>
      </w:r>
      <w:r w:rsidR="004F6EDD" w:rsidRPr="008813DE">
        <w:rPr>
          <w:rFonts w:ascii="Arial" w:hAnsi="Arial" w:cs="Arial"/>
          <w:b/>
          <w:color w:val="000000" w:themeColor="text1"/>
          <w:szCs w:val="24"/>
          <w:u w:val="single"/>
          <w:lang w:val="en-GB"/>
        </w:rPr>
        <w:t>1</w:t>
      </w:r>
      <w:r w:rsidRPr="0028108F">
        <w:rPr>
          <w:rFonts w:ascii="Arial" w:hAnsi="Arial" w:cs="Arial"/>
          <w:b/>
          <w:color w:val="000000" w:themeColor="text1"/>
          <w:szCs w:val="24"/>
          <w:lang w:val="en-GB"/>
        </w:rPr>
        <w:t>:</w:t>
      </w:r>
      <w:r w:rsidR="001D0C3A" w:rsidRPr="00181CF2">
        <w:rPr>
          <w:rFonts w:ascii="Arial" w:hAnsi="Arial" w:cs="Arial"/>
          <w:b/>
          <w:color w:val="000000" w:themeColor="text1"/>
          <w:szCs w:val="24"/>
          <w:lang w:val="en-GB"/>
        </w:rPr>
        <w:t xml:space="preserve"> </w:t>
      </w:r>
      <w:r w:rsidR="004F6EDD"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004F6EDD" w:rsidRPr="00C57CE1">
        <w:rPr>
          <w:rFonts w:ascii="Arial" w:hAnsi="Arial" w:cs="Arial"/>
          <w:b/>
          <w:color w:val="000000" w:themeColor="text1"/>
          <w:szCs w:val="24"/>
          <w:lang w:val="en-GB"/>
        </w:rPr>
        <w:t xml:space="preserve"> views from the public on whether a gender recognition scheme should be introduced i</w:t>
      </w:r>
      <w:r w:rsidR="004F6EDD" w:rsidRPr="0028108F">
        <w:rPr>
          <w:rFonts w:ascii="Arial" w:hAnsi="Arial" w:cs="Arial"/>
          <w:b/>
          <w:color w:val="000000" w:themeColor="text1"/>
          <w:szCs w:val="24"/>
          <w:lang w:val="en-GB"/>
        </w:rPr>
        <w:t>n Hong Kong to enable a person to acquire a legally recognised gender other than his or her birth gender.</w:t>
      </w:r>
    </w:p>
    <w:p w:rsidR="00AC24DE" w:rsidRDefault="00AC24DE">
      <w:pPr>
        <w:widowControl/>
        <w:rPr>
          <w:rFonts w:ascii="Arial" w:hAnsi="Arial" w:cs="Arial"/>
          <w:szCs w:val="24"/>
          <w:lang w:val="en-GB"/>
        </w:rPr>
      </w:pPr>
      <w:r>
        <w:rPr>
          <w:rFonts w:ascii="Arial" w:hAnsi="Arial" w:cs="Arial"/>
          <w:szCs w:val="24"/>
          <w:lang w:val="en-GB"/>
        </w:rPr>
        <w:br w:type="page"/>
      </w:r>
    </w:p>
    <w:p w:rsidR="00E773F6" w:rsidRPr="0028108F" w:rsidRDefault="00E773F6" w:rsidP="00E773F6">
      <w:pPr>
        <w:adjustRightInd w:val="0"/>
        <w:snapToGrid w:val="0"/>
        <w:jc w:val="both"/>
        <w:rPr>
          <w:rFonts w:ascii="Arial" w:hAnsi="Arial" w:cs="Arial"/>
          <w:b/>
          <w:sz w:val="32"/>
          <w:szCs w:val="32"/>
          <w:lang w:val="en-GB"/>
        </w:rPr>
      </w:pPr>
      <w:r w:rsidRPr="0028108F">
        <w:rPr>
          <w:rFonts w:ascii="Arial" w:hAnsi="Arial" w:cs="Arial"/>
          <w:b/>
          <w:sz w:val="32"/>
          <w:szCs w:val="32"/>
          <w:lang w:val="en-GB"/>
        </w:rPr>
        <w:t>CHAPTER 6</w:t>
      </w:r>
    </w:p>
    <w:p w:rsidR="00E773F6" w:rsidRPr="0028108F" w:rsidRDefault="00E773F6" w:rsidP="00E773F6">
      <w:pPr>
        <w:adjustRightInd w:val="0"/>
        <w:snapToGrid w:val="0"/>
        <w:jc w:val="both"/>
        <w:rPr>
          <w:rFonts w:ascii="Arial" w:hAnsi="Arial" w:cs="Arial"/>
          <w:b/>
          <w:sz w:val="32"/>
          <w:szCs w:val="32"/>
          <w:lang w:val="en-GB"/>
        </w:rPr>
      </w:pPr>
    </w:p>
    <w:p w:rsidR="00E773F6" w:rsidRPr="0028108F" w:rsidRDefault="00E773F6" w:rsidP="00E773F6">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medical REQUIREMENTs</w:t>
      </w:r>
    </w:p>
    <w:p w:rsidR="00E773F6" w:rsidRPr="0028108F" w:rsidRDefault="00E773F6" w:rsidP="00E773F6">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FOR GENDER RECOGNITION</w:t>
      </w:r>
    </w:p>
    <w:p w:rsidR="00E773F6" w:rsidRPr="0028108F" w:rsidRDefault="00E773F6" w:rsidP="00E773F6">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E773F6" w:rsidRPr="0028108F" w:rsidRDefault="00E773F6" w:rsidP="00E773F6">
      <w:pPr>
        <w:adjustRightInd w:val="0"/>
        <w:snapToGrid w:val="0"/>
        <w:ind w:leftChars="200" w:left="480"/>
        <w:jc w:val="both"/>
        <w:rPr>
          <w:rFonts w:ascii="Arial" w:hAnsi="Arial" w:cs="Arial"/>
          <w:color w:val="0000FF"/>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This</w:t>
      </w:r>
      <w:r w:rsidRPr="0028108F">
        <w:rPr>
          <w:rFonts w:ascii="Arial" w:eastAsiaTheme="minorEastAsia" w:hAnsi="Arial" w:cs="Arial"/>
          <w:kern w:val="0"/>
          <w:szCs w:val="24"/>
          <w:lang w:val="en-GB"/>
        </w:rPr>
        <w:t xml:space="preserve"> </w:t>
      </w:r>
      <w:r w:rsidR="00240EED" w:rsidRPr="0028108F">
        <w:rPr>
          <w:rFonts w:ascii="Arial" w:eastAsiaTheme="minorEastAsia" w:hAnsi="Arial" w:cs="Arial"/>
          <w:kern w:val="0"/>
          <w:szCs w:val="24"/>
          <w:lang w:val="en-GB"/>
        </w:rPr>
        <w:t>c</w:t>
      </w:r>
      <w:r w:rsidR="00A42A11" w:rsidRPr="0028108F">
        <w:rPr>
          <w:rFonts w:ascii="Arial" w:eastAsiaTheme="minorEastAsia" w:hAnsi="Arial" w:cs="Arial"/>
          <w:kern w:val="0"/>
          <w:szCs w:val="24"/>
          <w:lang w:val="en-GB"/>
        </w:rPr>
        <w:t>hapter</w:t>
      </w:r>
      <w:r w:rsidRPr="0028108F">
        <w:rPr>
          <w:rFonts w:ascii="Arial" w:eastAsiaTheme="minorEastAsia" w:hAnsi="Arial" w:cs="Arial"/>
          <w:kern w:val="0"/>
          <w:szCs w:val="24"/>
          <w:lang w:val="en-GB"/>
        </w:rPr>
        <w:t xml:space="preserve"> examines the possible arguments </w:t>
      </w:r>
      <w:r w:rsidR="00F71C21" w:rsidRPr="0028108F">
        <w:rPr>
          <w:rFonts w:ascii="Arial" w:eastAsiaTheme="minorEastAsia" w:hAnsi="Arial" w:cs="Arial"/>
          <w:kern w:val="0"/>
          <w:szCs w:val="24"/>
          <w:lang w:val="en-GB"/>
        </w:rPr>
        <w:t xml:space="preserve">both in support </w:t>
      </w:r>
      <w:r w:rsidR="00C539EC" w:rsidRPr="0028108F">
        <w:rPr>
          <w:rFonts w:ascii="Arial" w:eastAsiaTheme="minorEastAsia" w:hAnsi="Arial" w:cs="Arial"/>
          <w:kern w:val="0"/>
          <w:szCs w:val="24"/>
          <w:lang w:val="en-GB"/>
        </w:rPr>
        <w:t xml:space="preserve">of </w:t>
      </w:r>
      <w:r w:rsidRPr="0028108F">
        <w:rPr>
          <w:rFonts w:ascii="Arial" w:eastAsiaTheme="minorEastAsia" w:hAnsi="Arial" w:cs="Arial"/>
          <w:kern w:val="0"/>
          <w:szCs w:val="24"/>
          <w:lang w:val="en-GB"/>
        </w:rPr>
        <w:t xml:space="preserve">and against various medical </w:t>
      </w:r>
      <w:r w:rsidRPr="0028108F">
        <w:rPr>
          <w:rFonts w:ascii="Arial" w:hAnsi="Arial" w:cs="Arial"/>
          <w:color w:val="000000" w:themeColor="text1"/>
          <w:szCs w:val="24"/>
          <w:lang w:val="en-GB"/>
        </w:rPr>
        <w:t>requirements</w:t>
      </w:r>
      <w:r w:rsidRPr="0028108F">
        <w:rPr>
          <w:rFonts w:ascii="Arial" w:eastAsiaTheme="minorEastAsia" w:hAnsi="Arial" w:cs="Arial"/>
          <w:kern w:val="0"/>
          <w:szCs w:val="24"/>
          <w:lang w:val="en-GB"/>
        </w:rPr>
        <w:t xml:space="preserve"> for gender recognition, including the requirement for </w:t>
      </w:r>
      <w:r w:rsidRPr="0028108F">
        <w:rPr>
          <w:rFonts w:ascii="Arial" w:hAnsi="Arial" w:cs="Arial"/>
          <w:szCs w:val="24"/>
          <w:lang w:val="en-GB"/>
        </w:rPr>
        <w:t>sex or gender reassignment surgery (SRS</w:t>
      </w:r>
      <w:r w:rsidR="00BE38E3" w:rsidRPr="0028108F">
        <w:rPr>
          <w:rFonts w:ascii="Arial" w:hAnsi="Arial" w:cs="Arial"/>
          <w:szCs w:val="24"/>
          <w:lang w:val="en-GB"/>
        </w:rPr>
        <w:t>/GRS</w:t>
      </w:r>
      <w:r w:rsidRPr="0028108F">
        <w:rPr>
          <w:rFonts w:ascii="Arial" w:hAnsi="Arial" w:cs="Arial"/>
          <w:szCs w:val="24"/>
          <w:lang w:val="en-GB"/>
        </w:rPr>
        <w:t xml:space="preserve">), medical diagnosis, hormonal treatment and </w:t>
      </w:r>
      <w:r w:rsidR="00043FD0" w:rsidRPr="0028108F">
        <w:rPr>
          <w:rFonts w:ascii="Arial" w:hAnsi="Arial" w:cs="Arial"/>
          <w:szCs w:val="24"/>
          <w:lang w:val="en-GB"/>
        </w:rPr>
        <w:t>real life test</w:t>
      </w:r>
      <w:r w:rsidRPr="0028108F">
        <w:rPr>
          <w:rFonts w:ascii="Arial" w:hAnsi="Arial" w:cs="Arial"/>
          <w:szCs w:val="24"/>
          <w:lang w:val="en-GB"/>
        </w:rPr>
        <w:t>,</w:t>
      </w:r>
      <w:r w:rsidRPr="0028108F">
        <w:rPr>
          <w:rFonts w:ascii="Arial" w:eastAsiaTheme="minorEastAsia" w:hAnsi="Arial" w:cs="Arial"/>
          <w:kern w:val="0"/>
          <w:szCs w:val="24"/>
          <w:lang w:val="en-GB"/>
        </w:rPr>
        <w:t xml:space="preserve"> from a wide scope of perspectives that include, but are not limited to, legal, medical, political</w:t>
      </w:r>
      <w:r w:rsidR="00BE38E3" w:rsidRPr="0028108F">
        <w:rPr>
          <w:rFonts w:ascii="Arial" w:eastAsiaTheme="minorEastAsia" w:hAnsi="Arial" w:cs="Arial"/>
          <w:kern w:val="0"/>
          <w:szCs w:val="24"/>
          <w:lang w:val="en-GB"/>
        </w:rPr>
        <w:t>, religious</w:t>
      </w:r>
      <w:r w:rsidRPr="0028108F">
        <w:rPr>
          <w:rFonts w:ascii="Arial" w:eastAsiaTheme="minorEastAsia" w:hAnsi="Arial" w:cs="Arial"/>
          <w:kern w:val="0"/>
          <w:szCs w:val="24"/>
          <w:lang w:val="en-GB"/>
        </w:rPr>
        <w:t xml:space="preserve"> and sociological aspects.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a matter of clarification, the possible arguments discussed in this </w:t>
      </w:r>
      <w:r w:rsidR="00240EED"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Pr="0028108F">
        <w:rPr>
          <w:rFonts w:ascii="Arial" w:hAnsi="Arial" w:cs="Arial"/>
          <w:color w:val="000000" w:themeColor="text1"/>
          <w:szCs w:val="24"/>
          <w:lang w:val="en-GB"/>
        </w:rPr>
        <w:t xml:space="preserve"> are solely for the purposes of consultation and do not necessarily represent the IWG’s stance on any of the issues.  </w:t>
      </w:r>
      <w:r w:rsidR="00A67419" w:rsidRPr="00181CF2">
        <w:rPr>
          <w:rFonts w:ascii="Arial" w:hAnsi="Arial" w:cs="Arial"/>
          <w:color w:val="000000" w:themeColor="text1"/>
          <w:szCs w:val="24"/>
          <w:lang w:val="en-GB"/>
        </w:rPr>
        <w:t>No conclusion as to the IWG’s stance should therefore be drawn from the wording and mode of presentation of this chapter, nor from the citing or referring to the comments, observations or arguments made by individuals or organisations mentioned in this cha</w:t>
      </w:r>
      <w:r w:rsidR="00A67419" w:rsidRPr="00C57CE1">
        <w:rPr>
          <w:rFonts w:ascii="Arial" w:hAnsi="Arial" w:cs="Arial"/>
          <w:color w:val="000000" w:themeColor="text1"/>
          <w:szCs w:val="24"/>
          <w:lang w:val="en-GB"/>
        </w:rPr>
        <w:t xml:space="preserve">pter.  </w:t>
      </w:r>
      <w:r w:rsidR="005E6528">
        <w:rPr>
          <w:rFonts w:ascii="Arial" w:hAnsi="Arial" w:cs="Arial" w:hint="eastAsia"/>
          <w:color w:val="000000" w:themeColor="text1"/>
          <w:szCs w:val="24"/>
          <w:lang w:val="en-GB"/>
        </w:rPr>
        <w:t xml:space="preserve">It should also be stressed that pending the result of the consultation, the IWG has not reached any conclusion on any of the issues.  </w:t>
      </w:r>
      <w:r w:rsidR="005E6528" w:rsidRPr="0028108F">
        <w:rPr>
          <w:rFonts w:ascii="Arial" w:hAnsi="Arial" w:cs="Arial"/>
          <w:color w:val="000000" w:themeColor="text1"/>
          <w:szCs w:val="24"/>
          <w:lang w:val="en-GB"/>
        </w:rPr>
        <w:t>Further, it should be borne in mind that the list of possible arguments discussed below is by no means exhaustive</w:t>
      </w:r>
      <w:r w:rsidR="005E6528">
        <w:rPr>
          <w:rFonts w:ascii="Arial" w:hAnsi="Arial" w:cs="Arial" w:hint="eastAsia"/>
          <w:color w:val="000000" w:themeColor="text1"/>
          <w:szCs w:val="24"/>
          <w:lang w:val="en-GB"/>
        </w:rPr>
        <w:t>, and that the IWG is prepared to consider such other arguments as may be appropriate.</w:t>
      </w:r>
      <w:r w:rsidR="005E6528" w:rsidRPr="0028108F">
        <w:rPr>
          <w:rFonts w:ascii="Arial" w:hAnsi="Arial" w:cs="Arial"/>
          <w:color w:val="000000" w:themeColor="text1"/>
          <w:szCs w:val="24"/>
          <w:lang w:val="en-GB"/>
        </w:rPr>
        <w:t xml:space="preserve"> </w:t>
      </w:r>
      <w:r w:rsidR="00A67419" w:rsidRPr="00C57CE1">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Requirement of medical diagnosis</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Arguments in support</w:t>
      </w:r>
      <w:r w:rsidR="00E773F6" w:rsidRPr="0028108F">
        <w:rPr>
          <w:rFonts w:ascii="Arial" w:hAnsi="Arial" w:cs="Arial"/>
          <w:b/>
          <w:i/>
          <w:color w:val="000000" w:themeColor="text1"/>
          <w:szCs w:val="24"/>
          <w:lang w:val="en-GB"/>
        </w:rPr>
        <w:t xml:space="preserve"> of having a requirement of medical diagnosis</w:t>
      </w:r>
    </w:p>
    <w:p w:rsidR="00E773F6" w:rsidRPr="0028108F" w:rsidRDefault="00E773F6" w:rsidP="00E773F6">
      <w:pPr>
        <w:tabs>
          <w:tab w:val="left" w:pos="2940"/>
        </w:tabs>
        <w:adjustRightInd w:val="0"/>
        <w:snapToGrid w:val="0"/>
        <w:jc w:val="both"/>
        <w:rPr>
          <w:rFonts w:ascii="Arial" w:hAnsi="Arial" w:cs="Arial"/>
          <w:color w:val="000000" w:themeColor="text1"/>
          <w:szCs w:val="24"/>
          <w:lang w:val="en-GB"/>
        </w:rPr>
      </w:pPr>
    </w:p>
    <w:p w:rsidR="00E773F6" w:rsidRPr="0028108F" w:rsidRDefault="00E773F6" w:rsidP="00E773F6">
      <w:pPr>
        <w:tabs>
          <w:tab w:val="left" w:pos="2940"/>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Argument (1): Gender dysphoria, gender identity disorder or transsexualism is a recognised medical condition</w:t>
      </w:r>
    </w:p>
    <w:p w:rsidR="00BE38E3" w:rsidRPr="0028108F" w:rsidRDefault="00BE38E3" w:rsidP="00E773F6">
      <w:pPr>
        <w:tabs>
          <w:tab w:val="left" w:pos="2940"/>
        </w:tabs>
        <w:adjustRightInd w:val="0"/>
        <w:snapToGrid w:val="0"/>
        <w:jc w:val="both"/>
        <w:rPr>
          <w:rFonts w:ascii="Arial" w:hAnsi="Arial" w:cs="Arial"/>
          <w:i/>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observed by the CFA in </w:t>
      </w:r>
      <w:r w:rsidRPr="0028108F">
        <w:rPr>
          <w:rFonts w:ascii="Arial" w:hAnsi="Arial" w:cs="Arial"/>
          <w:i/>
          <w:color w:val="000000" w:themeColor="text1"/>
          <w:szCs w:val="24"/>
          <w:lang w:val="en-GB"/>
        </w:rPr>
        <w:t>W</w:t>
      </w:r>
      <w:r w:rsidRPr="0028108F">
        <w:rPr>
          <w:rFonts w:ascii="Arial" w:hAnsi="Arial" w:cs="Arial"/>
          <w:color w:val="000000" w:themeColor="text1"/>
          <w:szCs w:val="24"/>
          <w:lang w:val="en-GB"/>
        </w:rPr>
        <w:t>’s case, it was well-established that transsexualism was a condition requiring medical treatment.</w:t>
      </w:r>
      <w:r w:rsidRPr="00181CF2">
        <w:rPr>
          <w:rStyle w:val="FootnoteReference"/>
          <w:rFonts w:ascii="Arial" w:hAnsi="Arial" w:cs="Arial"/>
          <w:lang w:val="en-GB"/>
        </w:rPr>
        <w:footnoteReference w:id="470"/>
      </w:r>
      <w:r w:rsidRPr="00181CF2">
        <w:rPr>
          <w:rFonts w:ascii="Arial" w:hAnsi="Arial" w:cs="Arial"/>
          <w:color w:val="000000" w:themeColor="text1"/>
          <w:szCs w:val="24"/>
          <w:lang w:val="en-GB"/>
        </w:rPr>
        <w:t xml:space="preserve">  In many jurisdictions including Hong Kong, the </w:t>
      </w:r>
      <w:r w:rsidR="00B42008" w:rsidRPr="00181CF2">
        <w:rPr>
          <w:rFonts w:ascii="Arial" w:hAnsi="Arial" w:cs="Arial"/>
          <w:color w:val="000000" w:themeColor="text1"/>
          <w:szCs w:val="24"/>
          <w:lang w:val="en-GB"/>
        </w:rPr>
        <w:t xml:space="preserve">medical </w:t>
      </w:r>
      <w:r w:rsidRPr="00C57CE1">
        <w:rPr>
          <w:rFonts w:ascii="Arial" w:hAnsi="Arial" w:cs="Arial"/>
          <w:color w:val="000000" w:themeColor="text1"/>
          <w:szCs w:val="24"/>
          <w:lang w:val="en-GB"/>
        </w:rPr>
        <w:t>diagnosis of gender dysphori</w:t>
      </w:r>
      <w:r w:rsidRPr="0028108F">
        <w:rPr>
          <w:rFonts w:ascii="Arial" w:hAnsi="Arial" w:cs="Arial"/>
          <w:color w:val="000000" w:themeColor="text1"/>
          <w:szCs w:val="24"/>
          <w:lang w:val="en-GB"/>
        </w:rPr>
        <w:t xml:space="preserve">a, gender identity disorder or transsexualism remains a pre-condition for accessing the medical interventions or treatments </w:t>
      </w:r>
      <w:r w:rsidR="00BE38E3" w:rsidRPr="0028108F">
        <w:rPr>
          <w:rFonts w:ascii="Arial" w:hAnsi="Arial" w:cs="Arial"/>
          <w:color w:val="000000" w:themeColor="text1"/>
          <w:szCs w:val="24"/>
          <w:lang w:val="en-GB"/>
        </w:rPr>
        <w:t>by transgender persons</w:t>
      </w:r>
      <w:r w:rsidRPr="0028108F">
        <w:rPr>
          <w:rFonts w:ascii="Arial" w:hAnsi="Arial" w:cs="Arial"/>
          <w:color w:val="000000" w:themeColor="text1"/>
          <w:szCs w:val="24"/>
          <w:lang w:val="en-GB"/>
        </w:rPr>
        <w:t xml:space="preserve">.  As stated in Chapter </w:t>
      </w:r>
      <w:r w:rsidR="00D522FD" w:rsidRPr="0028108F">
        <w:rPr>
          <w:rFonts w:ascii="Arial" w:hAnsi="Arial" w:cs="Arial"/>
          <w:color w:val="000000" w:themeColor="text1"/>
          <w:szCs w:val="24"/>
          <w:lang w:val="en-GB"/>
        </w:rPr>
        <w:t>2</w:t>
      </w:r>
      <w:r w:rsidRPr="00181CF2">
        <w:rPr>
          <w:rFonts w:ascii="Arial" w:hAnsi="Arial" w:cs="Arial"/>
          <w:color w:val="000000" w:themeColor="text1"/>
          <w:szCs w:val="24"/>
          <w:lang w:val="en-GB"/>
        </w:rPr>
        <w:t xml:space="preserve"> of this paper (see paragraph</w:t>
      </w:r>
      <w:r w:rsidRPr="0028108F">
        <w:rPr>
          <w:rFonts w:ascii="Arial" w:hAnsi="Arial" w:cs="Arial"/>
          <w:color w:val="000000" w:themeColor="text1"/>
          <w:szCs w:val="24"/>
          <w:lang w:val="en-GB"/>
        </w:rPr>
        <w:t xml:space="preserve"> </w:t>
      </w:r>
      <w:r w:rsidR="00D522FD" w:rsidRPr="008813DE">
        <w:rPr>
          <w:rFonts w:ascii="Arial" w:hAnsi="Arial" w:cs="Arial"/>
          <w:color w:val="000000" w:themeColor="text1"/>
          <w:szCs w:val="24"/>
          <w:lang w:val="en-GB"/>
        </w:rPr>
        <w:t>2.38</w:t>
      </w:r>
      <w:r w:rsidRPr="00181CF2">
        <w:rPr>
          <w:rFonts w:ascii="Arial" w:hAnsi="Arial" w:cs="Arial"/>
          <w:color w:val="000000" w:themeColor="text1"/>
          <w:szCs w:val="24"/>
          <w:lang w:val="en-GB"/>
        </w:rPr>
        <w:t>), the management of persons wi</w:t>
      </w:r>
      <w:r w:rsidRPr="00C57CE1">
        <w:rPr>
          <w:rFonts w:ascii="Arial" w:hAnsi="Arial" w:cs="Arial"/>
          <w:color w:val="000000" w:themeColor="text1"/>
          <w:szCs w:val="24"/>
          <w:lang w:val="en-GB"/>
        </w:rPr>
        <w:t xml:space="preserve">th the relevant symptoms usually begins with a psychiatric assessment.  </w:t>
      </w:r>
      <w:r w:rsidR="00984149" w:rsidRPr="0028108F">
        <w:rPr>
          <w:rFonts w:ascii="Arial" w:hAnsi="Arial" w:cs="Arial"/>
          <w:color w:val="000000" w:themeColor="text1"/>
          <w:szCs w:val="24"/>
          <w:lang w:val="en-GB"/>
        </w:rPr>
        <w:t xml:space="preserve">It </w:t>
      </w:r>
      <w:r w:rsidR="00D85333" w:rsidRPr="0028108F">
        <w:rPr>
          <w:rFonts w:ascii="Arial" w:hAnsi="Arial" w:cs="Arial"/>
          <w:color w:val="000000" w:themeColor="text1"/>
          <w:szCs w:val="24"/>
          <w:lang w:val="en-GB"/>
        </w:rPr>
        <w:t>c</w:t>
      </w:r>
      <w:r w:rsidR="00984149" w:rsidRPr="0028108F">
        <w:rPr>
          <w:rFonts w:ascii="Arial" w:hAnsi="Arial" w:cs="Arial"/>
          <w:color w:val="000000" w:themeColor="text1"/>
          <w:szCs w:val="24"/>
          <w:lang w:val="en-GB"/>
        </w:rPr>
        <w:t>ould be argued that, i</w:t>
      </w:r>
      <w:r w:rsidRPr="0028108F">
        <w:rPr>
          <w:rFonts w:ascii="Arial" w:hAnsi="Arial" w:cs="Arial"/>
          <w:color w:val="000000" w:themeColor="text1"/>
          <w:szCs w:val="24"/>
          <w:lang w:val="en-GB"/>
        </w:rPr>
        <w:t xml:space="preserve">f it is decided that a gender recognition </w:t>
      </w:r>
      <w:r w:rsidR="00984149" w:rsidRPr="0028108F">
        <w:rPr>
          <w:rFonts w:ascii="Arial" w:hAnsi="Arial" w:cs="Arial"/>
          <w:color w:val="000000" w:themeColor="text1"/>
          <w:szCs w:val="24"/>
          <w:lang w:val="en-GB"/>
        </w:rPr>
        <w:t xml:space="preserve">scheme </w:t>
      </w:r>
      <w:r w:rsidRPr="0028108F">
        <w:rPr>
          <w:rFonts w:ascii="Arial" w:hAnsi="Arial" w:cs="Arial"/>
          <w:color w:val="000000" w:themeColor="text1"/>
          <w:szCs w:val="24"/>
          <w:lang w:val="en-GB"/>
        </w:rPr>
        <w:t xml:space="preserve">is intended to address the problems facing people </w:t>
      </w:r>
      <w:r w:rsidR="00513E4A">
        <w:rPr>
          <w:rFonts w:ascii="Arial" w:hAnsi="Arial" w:cs="Arial" w:hint="eastAsia"/>
          <w:color w:val="000000" w:themeColor="text1"/>
          <w:szCs w:val="24"/>
          <w:lang w:val="en-GB"/>
        </w:rPr>
        <w:t xml:space="preserve">having </w:t>
      </w:r>
      <w:r w:rsidRPr="0028108F">
        <w:rPr>
          <w:rFonts w:ascii="Arial" w:hAnsi="Arial" w:cs="Arial"/>
          <w:color w:val="000000" w:themeColor="text1"/>
          <w:szCs w:val="24"/>
          <w:lang w:val="en-GB"/>
        </w:rPr>
        <w:t>gender dysphoria, gender identity disorder or transsexualism, as opposed to other minority groups such as homosexual people, cross-dressers (ie</w:t>
      </w:r>
      <w:r w:rsidR="00CF7ED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people who wear clothing and adopt a gender role presentation that, in a given culture, is more typical of the other sex),</w:t>
      </w:r>
      <w:r w:rsidR="00C73C97" w:rsidRPr="0028108F">
        <w:rPr>
          <w:rFonts w:ascii="Arial" w:eastAsiaTheme="minorEastAsia" w:hAnsi="Arial" w:cs="Arial"/>
          <w:color w:val="000000" w:themeColor="text1"/>
          <w:szCs w:val="24"/>
          <w:vertAlign w:val="superscript"/>
          <w:lang w:val="en-GB"/>
        </w:rPr>
        <w:footnoteReference w:id="471"/>
      </w:r>
      <w:r w:rsidRPr="0028108F">
        <w:rPr>
          <w:rFonts w:ascii="Arial" w:hAnsi="Arial" w:cs="Arial"/>
          <w:color w:val="000000" w:themeColor="text1"/>
          <w:szCs w:val="24"/>
          <w:lang w:val="en-GB"/>
        </w:rPr>
        <w:t xml:space="preserve"> then a</w:t>
      </w:r>
      <w:r w:rsidR="00B42008" w:rsidRPr="0028108F">
        <w:rPr>
          <w:rFonts w:ascii="Arial" w:hAnsi="Arial" w:cs="Arial"/>
          <w:color w:val="000000" w:themeColor="text1"/>
          <w:szCs w:val="24"/>
          <w:lang w:val="en-GB"/>
        </w:rPr>
        <w:t xml:space="preserve"> medical</w:t>
      </w:r>
      <w:r w:rsidRPr="0028108F">
        <w:rPr>
          <w:rFonts w:ascii="Arial" w:hAnsi="Arial" w:cs="Arial"/>
          <w:color w:val="000000" w:themeColor="text1"/>
          <w:szCs w:val="24"/>
          <w:lang w:val="en-GB"/>
        </w:rPr>
        <w:t xml:space="preserve"> diagnosis of the condition would be a practical mean</w:t>
      </w:r>
      <w:r w:rsidR="008763AD"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to distinguish the former from the latter.  </w:t>
      </w:r>
    </w:p>
    <w:p w:rsidR="00E773F6" w:rsidRPr="0028108F" w:rsidRDefault="00E773F6" w:rsidP="00E773F6">
      <w:pPr>
        <w:pStyle w:val="ListParagraph"/>
        <w:tabs>
          <w:tab w:val="left" w:pos="1418"/>
          <w:tab w:val="left" w:pos="2552"/>
        </w:tabs>
        <w:adjustRightInd w:val="0"/>
        <w:snapToGrid w:val="0"/>
        <w:ind w:leftChars="0" w:left="840"/>
        <w:jc w:val="both"/>
        <w:rPr>
          <w:rFonts w:ascii="Arial" w:hAnsi="Arial" w:cs="Arial"/>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To require </w:t>
      </w:r>
      <w:r w:rsidR="00CF7EDD"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medical diagnosis as a pre-condition for gender recognition might seem to suggest</w:t>
      </w:r>
      <w:r w:rsidR="00CF7EDD" w:rsidRPr="0028108F">
        <w:rPr>
          <w:rFonts w:ascii="Arial" w:hAnsi="Arial" w:cs="Arial"/>
          <w:color w:val="000000" w:themeColor="text1"/>
          <w:szCs w:val="24"/>
          <w:lang w:val="en-GB"/>
        </w:rPr>
        <w:t>, to a certain extent,</w:t>
      </w:r>
      <w:r w:rsidRPr="0028108F">
        <w:rPr>
          <w:rFonts w:ascii="Arial" w:hAnsi="Arial" w:cs="Arial"/>
          <w:color w:val="000000" w:themeColor="text1"/>
          <w:szCs w:val="24"/>
          <w:lang w:val="en-GB"/>
        </w:rPr>
        <w:t xml:space="preserve"> that the persons seeking recognition of gender identities different from their sexes assigned at birth are pathologised, and </w:t>
      </w:r>
      <w:r w:rsidR="00CF7EDD"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medical diagnosis performs a therapeutic function.  As Lisa Fishbayn observed (upon her review of the UK GRA):</w:t>
      </w:r>
    </w:p>
    <w:p w:rsidR="00E773F6" w:rsidRPr="0028108F" w:rsidRDefault="00E773F6" w:rsidP="00E773F6">
      <w:pPr>
        <w:tabs>
          <w:tab w:val="left" w:pos="1418"/>
          <w:tab w:val="left" w:pos="2552"/>
        </w:tabs>
        <w:autoSpaceDE w:val="0"/>
        <w:autoSpaceDN w:val="0"/>
        <w:adjustRightInd w:val="0"/>
        <w:snapToGrid w:val="0"/>
        <w:jc w:val="both"/>
        <w:rPr>
          <w:rFonts w:ascii="Arial" w:hAnsi="Arial" w:cs="Arial"/>
          <w:color w:val="000000" w:themeColor="text1"/>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eastAsiaTheme="minorEastAsia" w:hAnsi="Arial" w:cs="Arial"/>
          <w:i/>
          <w:kern w:val="0"/>
          <w:szCs w:val="24"/>
          <w:lang w:val="en-GB"/>
        </w:rPr>
      </w:pPr>
      <w:r w:rsidRPr="0028108F">
        <w:rPr>
          <w:rFonts w:ascii="Arial" w:hAnsi="Arial" w:cs="Arial"/>
          <w:i/>
          <w:color w:val="000000" w:themeColor="text1"/>
          <w:szCs w:val="24"/>
          <w:lang w:val="en-GB"/>
        </w:rPr>
        <w:t>“</w:t>
      </w:r>
      <w:r w:rsidRPr="0028108F">
        <w:rPr>
          <w:rFonts w:ascii="Arial" w:eastAsiaTheme="minorEastAsia" w:hAnsi="Arial" w:cs="Arial"/>
          <w:i/>
          <w:kern w:val="0"/>
          <w:szCs w:val="24"/>
          <w:lang w:val="en-GB"/>
        </w:rPr>
        <w:t>The need to characterize transsexuality as pathology rather than as a chosen mode of existence may also reflect the needs of the medical profession itself… The acceptance of gender dysphoria as a therapeutic diagnosis is key to this conception of legitimacy.  An alternative conception of gender transition as an autonomous act of self-creation</w:t>
      </w:r>
      <w:r w:rsidRPr="0028108F">
        <w:rPr>
          <w:rFonts w:ascii="Arial" w:hAnsi="Arial" w:cs="Arial"/>
          <w:i/>
          <w:color w:val="000000" w:themeColor="text1"/>
          <w:szCs w:val="24"/>
          <w:lang w:val="en-GB"/>
        </w:rPr>
        <w:t xml:space="preserve"> </w:t>
      </w:r>
      <w:r w:rsidRPr="0028108F">
        <w:rPr>
          <w:rFonts w:ascii="Arial" w:eastAsiaTheme="minorEastAsia" w:hAnsi="Arial" w:cs="Arial"/>
          <w:i/>
          <w:kern w:val="0"/>
          <w:szCs w:val="24"/>
          <w:lang w:val="en-GB"/>
        </w:rPr>
        <w:t>does not fit easily within this paradigm.”</w:t>
      </w:r>
      <w:r w:rsidRPr="00181CF2">
        <w:rPr>
          <w:rStyle w:val="FootnoteReference"/>
          <w:rFonts w:ascii="Arial" w:hAnsi="Arial" w:cs="Arial"/>
          <w:color w:val="000000" w:themeColor="text1"/>
          <w:szCs w:val="24"/>
          <w:lang w:val="en-GB"/>
        </w:rPr>
        <w:footnoteReference w:id="472"/>
      </w:r>
    </w:p>
    <w:p w:rsidR="00E773F6" w:rsidRPr="00C57CE1" w:rsidRDefault="00E773F6" w:rsidP="00E773F6">
      <w:pPr>
        <w:tabs>
          <w:tab w:val="left" w:pos="1418"/>
          <w:tab w:val="left" w:pos="2552"/>
        </w:tabs>
        <w:autoSpaceDE w:val="0"/>
        <w:autoSpaceDN w:val="0"/>
        <w:adjustRightInd w:val="0"/>
        <w:snapToGrid w:val="0"/>
        <w:jc w:val="both"/>
        <w:rPr>
          <w:rFonts w:ascii="Arial" w:hAnsi="Arial" w:cs="Arial"/>
          <w:i/>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 </w:t>
      </w:r>
      <w:r w:rsidR="004125A3">
        <w:rPr>
          <w:rFonts w:ascii="Arial" w:hAnsi="Arial" w:cs="Arial"/>
          <w:color w:val="000000" w:themeColor="text1"/>
          <w:szCs w:val="24"/>
          <w:lang w:val="en-GB"/>
        </w:rPr>
        <w:t xml:space="preserve">WPATH considers that some people experience gender dysphoria at such a level that the distress meets criteria for a formal diagnosis that might be classified as a mental disorder.  Such a </w:t>
      </w:r>
      <w:r w:rsidR="00C73C97">
        <w:rPr>
          <w:rFonts w:ascii="Arial" w:hAnsi="Arial" w:cs="Arial"/>
          <w:color w:val="000000" w:themeColor="text1"/>
          <w:szCs w:val="24"/>
          <w:lang w:val="en-GB"/>
        </w:rPr>
        <w:t>diagnosis</w:t>
      </w:r>
      <w:r w:rsidR="004125A3">
        <w:rPr>
          <w:rFonts w:ascii="Arial" w:hAnsi="Arial" w:cs="Arial"/>
          <w:color w:val="000000" w:themeColor="text1"/>
          <w:szCs w:val="24"/>
          <w:lang w:val="en-GB"/>
        </w:rPr>
        <w:t xml:space="preserve"> is </w:t>
      </w:r>
      <w:r w:rsidRPr="0028108F">
        <w:rPr>
          <w:rFonts w:ascii="Arial" w:hAnsi="Arial" w:cs="Arial"/>
          <w:color w:val="000000" w:themeColor="text1"/>
          <w:szCs w:val="24"/>
          <w:lang w:val="en-GB"/>
        </w:rPr>
        <w:t>not a license for stigmatisation</w:t>
      </w:r>
      <w:r w:rsidR="00CF7ED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4125A3">
        <w:rPr>
          <w:rFonts w:ascii="Arial" w:hAnsi="Arial" w:cs="Arial"/>
          <w:color w:val="000000" w:themeColor="text1"/>
          <w:szCs w:val="24"/>
          <w:lang w:val="en-GB"/>
        </w:rPr>
        <w:t>or</w:t>
      </w:r>
      <w:r w:rsidRPr="0028108F">
        <w:rPr>
          <w:rFonts w:ascii="Arial" w:hAnsi="Arial" w:cs="Arial"/>
          <w:color w:val="000000" w:themeColor="text1"/>
          <w:szCs w:val="24"/>
          <w:lang w:val="en-GB"/>
        </w:rPr>
        <w:t xml:space="preserve"> for the deprivation of civil and human rights</w:t>
      </w:r>
      <w:r w:rsidR="004125A3">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4125A3">
        <w:rPr>
          <w:rFonts w:ascii="Arial" w:hAnsi="Arial" w:cs="Arial"/>
          <w:color w:val="000000" w:themeColor="text1"/>
          <w:szCs w:val="24"/>
          <w:lang w:val="en-GB"/>
        </w:rPr>
        <w:t xml:space="preserve"> Existing </w:t>
      </w:r>
      <w:r w:rsidRPr="0028108F">
        <w:rPr>
          <w:rFonts w:ascii="Arial" w:hAnsi="Arial" w:cs="Arial"/>
          <w:color w:val="000000" w:themeColor="text1"/>
          <w:szCs w:val="24"/>
          <w:lang w:val="en-GB"/>
        </w:rPr>
        <w:t>classification systems such as the DSM and ICD</w:t>
      </w:r>
      <w:r w:rsidRPr="00181CF2">
        <w:rPr>
          <w:rStyle w:val="FootnoteReference"/>
          <w:rFonts w:ascii="Arial" w:hAnsi="Arial" w:cs="Arial"/>
          <w:color w:val="000000" w:themeColor="text1"/>
          <w:szCs w:val="24"/>
          <w:lang w:val="en-GB"/>
        </w:rPr>
        <w:footnoteReference w:id="473"/>
      </w:r>
      <w:r w:rsidRPr="00181CF2">
        <w:rPr>
          <w:rFonts w:ascii="Arial" w:hAnsi="Arial" w:cs="Arial"/>
          <w:color w:val="000000" w:themeColor="text1"/>
          <w:szCs w:val="24"/>
          <w:lang w:val="en-GB"/>
        </w:rPr>
        <w:t xml:space="preserve"> attempt to classify clusters of symptoms and conditions, not the individuals themselves.</w:t>
      </w:r>
      <w:r w:rsidRPr="00181CF2">
        <w:rPr>
          <w:rFonts w:ascii="Arial" w:hAnsi="Arial" w:cs="Arial"/>
          <w:vertAlign w:val="superscript"/>
          <w:lang w:val="en-GB"/>
        </w:rPr>
        <w:footnoteReference w:id="474"/>
      </w:r>
      <w:r w:rsidRPr="00181CF2">
        <w:rPr>
          <w:rFonts w:ascii="Arial" w:hAnsi="Arial" w:cs="Arial"/>
          <w:color w:val="000000" w:themeColor="text1"/>
          <w:szCs w:val="24"/>
          <w:lang w:val="en-GB"/>
        </w:rPr>
        <w:t xml:space="preserve">  </w:t>
      </w:r>
      <w:r w:rsidR="004125A3">
        <w:rPr>
          <w:rFonts w:ascii="Arial" w:hAnsi="Arial" w:cs="Arial"/>
          <w:color w:val="000000" w:themeColor="text1"/>
          <w:szCs w:val="24"/>
          <w:lang w:val="en-GB"/>
        </w:rPr>
        <w:t>Thus, transsexual and transgender individuals are not inherently disordered.  Rather, the distress of gender dysphoria, when present, is the concern that might be diagnosable and for which various treatment options are available.  The existence of a diagnosis for such dysphoria often facilitates access to health care and can guide further research into effective treatments.</w:t>
      </w:r>
      <w:r w:rsidRPr="0028108F">
        <w:rPr>
          <w:rFonts w:ascii="Arial" w:hAnsi="Arial" w:cs="Arial"/>
          <w:vertAlign w:val="superscript"/>
          <w:lang w:val="en-GB"/>
        </w:rPr>
        <w:footnoteReference w:id="475"/>
      </w:r>
    </w:p>
    <w:p w:rsidR="00E773F6" w:rsidRPr="0028108F" w:rsidRDefault="00E773F6" w:rsidP="008813DE">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E773F6" w:rsidP="00E773F6">
      <w:pPr>
        <w:tabs>
          <w:tab w:val="left" w:pos="1418"/>
          <w:tab w:val="left" w:pos="2552"/>
        </w:tabs>
        <w:adjustRightIn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Argument (2): Diagnosis being the “gatekeeper”</w:t>
      </w:r>
    </w:p>
    <w:p w:rsidR="00E773F6" w:rsidRPr="0028108F" w:rsidRDefault="00E773F6" w:rsidP="00E773F6">
      <w:pPr>
        <w:pStyle w:val="ListParagraph"/>
        <w:tabs>
          <w:tab w:val="left" w:pos="1418"/>
          <w:tab w:val="left" w:pos="2552"/>
        </w:tabs>
        <w:adjustRightInd w:val="0"/>
        <w:snapToGrid w:val="0"/>
        <w:ind w:leftChars="0" w:left="840"/>
        <w:jc w:val="both"/>
        <w:rPr>
          <w:rFonts w:ascii="Arial" w:hAnsi="Arial" w:cs="Arial"/>
          <w:color w:val="000000" w:themeColor="text1"/>
          <w:szCs w:val="24"/>
          <w:lang w:val="en-GB"/>
        </w:rPr>
      </w:pPr>
    </w:p>
    <w:p w:rsidR="00E773F6" w:rsidRPr="0028108F" w:rsidRDefault="00E773F6" w:rsidP="005C54DC">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It was noted by some scholars that medical practitioners have long been the </w:t>
      </w:r>
      <w:r w:rsidRPr="0028108F">
        <w:rPr>
          <w:rFonts w:ascii="Arial" w:hAnsi="Arial" w:cs="Arial"/>
          <w:i/>
          <w:color w:val="000000" w:themeColor="text1"/>
          <w:szCs w:val="24"/>
          <w:lang w:val="en-GB"/>
        </w:rPr>
        <w:t>“gatekeepers”</w:t>
      </w:r>
      <w:r w:rsidRPr="00181CF2">
        <w:rPr>
          <w:rFonts w:ascii="Arial" w:hAnsi="Arial" w:cs="Arial"/>
          <w:color w:val="000000" w:themeColor="text1"/>
          <w:szCs w:val="24"/>
          <w:lang w:val="en-GB"/>
        </w:rPr>
        <w:t xml:space="preserve"> to legal recognition</w:t>
      </w:r>
      <w:r w:rsidR="00CF7EDD" w:rsidRPr="00C57CE1">
        <w:rPr>
          <w:rFonts w:ascii="Arial" w:hAnsi="Arial" w:cs="Arial"/>
          <w:color w:val="000000" w:themeColor="text1"/>
          <w:szCs w:val="24"/>
          <w:lang w:val="en-GB"/>
        </w:rPr>
        <w:t>,</w:t>
      </w:r>
      <w:r w:rsidRPr="0028108F">
        <w:rPr>
          <w:rFonts w:ascii="Arial" w:hAnsi="Arial" w:cs="Arial"/>
          <w:color w:val="000000" w:themeColor="text1"/>
          <w:szCs w:val="24"/>
          <w:lang w:val="en-GB"/>
        </w:rPr>
        <w:t xml:space="preserve"> as medicine has played a role in interpreting the bodies of transsexual people and has offered shifting accounts of their meaning.</w:t>
      </w:r>
      <w:r w:rsidRPr="0028108F">
        <w:rPr>
          <w:rStyle w:val="FootnoteReference"/>
          <w:rFonts w:ascii="Arial" w:hAnsi="Arial" w:cs="Arial"/>
          <w:color w:val="000000" w:themeColor="text1"/>
          <w:szCs w:val="24"/>
          <w:lang w:val="en-GB"/>
        </w:rPr>
        <w:footnoteReference w:id="476"/>
      </w:r>
      <w:r w:rsidRPr="0028108F">
        <w:rPr>
          <w:rFonts w:ascii="Arial" w:hAnsi="Arial" w:cs="Arial"/>
          <w:color w:val="000000" w:themeColor="text1"/>
          <w:szCs w:val="24"/>
          <w:lang w:val="en-GB"/>
        </w:rPr>
        <w:t xml:space="preserve">  The role of doctors in this context </w:t>
      </w:r>
      <w:r w:rsidR="00984149" w:rsidRPr="0028108F">
        <w:rPr>
          <w:rFonts w:ascii="Arial" w:hAnsi="Arial" w:cs="Arial"/>
          <w:color w:val="000000" w:themeColor="text1"/>
          <w:szCs w:val="24"/>
          <w:lang w:val="en-GB"/>
        </w:rPr>
        <w:t xml:space="preserve">is, presumably, </w:t>
      </w:r>
      <w:r w:rsidRPr="0028108F">
        <w:rPr>
          <w:rFonts w:ascii="Arial" w:hAnsi="Arial" w:cs="Arial"/>
          <w:color w:val="000000" w:themeColor="text1"/>
          <w:szCs w:val="24"/>
          <w:lang w:val="en-GB"/>
        </w:rPr>
        <w:t>to decipher “</w:t>
      </w:r>
      <w:r w:rsidRPr="0028108F">
        <w:rPr>
          <w:rFonts w:ascii="Arial" w:hAnsi="Arial" w:cs="Arial"/>
          <w:i/>
          <w:color w:val="000000" w:themeColor="text1"/>
          <w:szCs w:val="24"/>
          <w:lang w:val="en-GB"/>
        </w:rPr>
        <w:t>the true sex that was hidden beneath ambiguous appearance</w:t>
      </w:r>
      <w:r w:rsidRPr="0028108F">
        <w:rPr>
          <w:rFonts w:ascii="Arial" w:hAnsi="Arial" w:cs="Arial"/>
          <w:color w:val="000000" w:themeColor="text1"/>
          <w:szCs w:val="24"/>
          <w:lang w:val="en-GB"/>
        </w:rPr>
        <w:t>.”</w:t>
      </w:r>
      <w:r w:rsidRPr="0028108F">
        <w:rPr>
          <w:rStyle w:val="FootnoteReference"/>
          <w:rFonts w:ascii="Arial" w:hAnsi="Arial" w:cs="Arial"/>
          <w:color w:val="000000" w:themeColor="text1"/>
          <w:szCs w:val="24"/>
          <w:lang w:val="en-GB"/>
        </w:rPr>
        <w:footnoteReference w:id="477"/>
      </w:r>
      <w:r w:rsidRPr="0028108F">
        <w:rPr>
          <w:rFonts w:ascii="Arial" w:hAnsi="Arial" w:cs="Arial"/>
          <w:color w:val="000000" w:themeColor="text1"/>
          <w:szCs w:val="24"/>
          <w:lang w:val="en-GB"/>
        </w:rPr>
        <w:t xml:space="preserve"> </w:t>
      </w:r>
      <w:r w:rsidR="00984149"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Further, securing a diagnosis of gender dysphoria might</w:t>
      </w:r>
      <w:r w:rsidR="00984149" w:rsidRPr="0028108F">
        <w:rPr>
          <w:rFonts w:ascii="Arial" w:hAnsi="Arial" w:cs="Arial"/>
          <w:color w:val="000000" w:themeColor="text1"/>
          <w:szCs w:val="24"/>
          <w:lang w:val="en-GB"/>
        </w:rPr>
        <w:t>, in the views of some medical experts and scholars,</w:t>
      </w:r>
      <w:r w:rsidRPr="0028108F">
        <w:rPr>
          <w:rFonts w:ascii="Arial" w:hAnsi="Arial" w:cs="Arial"/>
          <w:color w:val="000000" w:themeColor="text1"/>
          <w:szCs w:val="24"/>
          <w:lang w:val="en-GB"/>
        </w:rPr>
        <w:t xml:space="preserve"> be a necessary step in expressing a transgender person’s autonomy to redefine his or her gender.</w:t>
      </w:r>
      <w:r w:rsidRPr="0028108F">
        <w:rPr>
          <w:rStyle w:val="FootnoteReference"/>
          <w:rFonts w:ascii="Arial" w:hAnsi="Arial" w:cs="Arial"/>
          <w:color w:val="000000" w:themeColor="text1"/>
          <w:szCs w:val="24"/>
          <w:lang w:val="en-GB"/>
        </w:rPr>
        <w:footnoteReference w:id="478"/>
      </w:r>
      <w:r w:rsidRPr="0028108F">
        <w:rPr>
          <w:rFonts w:ascii="Arial" w:hAnsi="Arial" w:cs="Arial"/>
          <w:color w:val="000000" w:themeColor="text1"/>
          <w:szCs w:val="24"/>
          <w:lang w:val="en-GB"/>
        </w:rPr>
        <w:t xml:space="preserve">  Arguably, since medical diagnosis is </w:t>
      </w:r>
      <w:r w:rsidR="00CF7EDD" w:rsidRPr="0028108F">
        <w:rPr>
          <w:rFonts w:ascii="Arial" w:hAnsi="Arial" w:cs="Arial"/>
          <w:color w:val="000000" w:themeColor="text1"/>
          <w:szCs w:val="24"/>
          <w:lang w:val="en-GB"/>
        </w:rPr>
        <w:t>usually</w:t>
      </w:r>
      <w:r w:rsidRPr="0028108F">
        <w:rPr>
          <w:rFonts w:ascii="Arial" w:hAnsi="Arial" w:cs="Arial"/>
          <w:color w:val="000000" w:themeColor="text1"/>
          <w:szCs w:val="24"/>
          <w:lang w:val="en-GB"/>
        </w:rPr>
        <w:t xml:space="preserve"> the very first step </w:t>
      </w:r>
      <w:r w:rsidR="00CF7EDD" w:rsidRPr="0028108F">
        <w:rPr>
          <w:rFonts w:ascii="Arial" w:hAnsi="Arial" w:cs="Arial"/>
          <w:color w:val="000000" w:themeColor="text1"/>
          <w:szCs w:val="24"/>
          <w:lang w:val="en-GB"/>
        </w:rPr>
        <w:t>in determining</w:t>
      </w:r>
      <w:r w:rsidRPr="0028108F">
        <w:rPr>
          <w:rFonts w:ascii="Arial" w:hAnsi="Arial" w:cs="Arial"/>
          <w:color w:val="000000" w:themeColor="text1"/>
          <w:szCs w:val="24"/>
          <w:lang w:val="en-GB"/>
        </w:rPr>
        <w:t xml:space="preserve"> whether a person belongs to a gender other than his or her sex assigned at birth, it makes sense to require such a diagnosis as one of the key </w:t>
      </w:r>
      <w:r w:rsidRPr="0028108F">
        <w:rPr>
          <w:rFonts w:ascii="Arial" w:hAnsi="Arial" w:cs="Arial"/>
          <w:i/>
          <w:color w:val="000000" w:themeColor="text1"/>
          <w:szCs w:val="24"/>
          <w:lang w:val="en-GB"/>
        </w:rPr>
        <w:t>“gatekeepers”</w:t>
      </w:r>
      <w:r w:rsidRPr="00181CF2">
        <w:rPr>
          <w:rFonts w:ascii="Arial" w:hAnsi="Arial" w:cs="Arial"/>
          <w:color w:val="000000" w:themeColor="text1"/>
          <w:szCs w:val="24"/>
          <w:lang w:val="en-GB"/>
        </w:rPr>
        <w:t xml:space="preserve"> for allowing gender recognition, unless, as some</w:t>
      </w:r>
      <w:r w:rsidRPr="0028108F">
        <w:rPr>
          <w:rFonts w:ascii="Arial" w:hAnsi="Arial" w:cs="Arial"/>
          <w:color w:val="000000" w:themeColor="text1"/>
          <w:szCs w:val="24"/>
          <w:lang w:val="en-GB"/>
        </w:rPr>
        <w:t xml:space="preserve"> may argue, SRS</w:t>
      </w:r>
      <w:r w:rsidR="00CF7ED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being a stronger indicator of gender transition</w:t>
      </w:r>
      <w:r w:rsidR="00CF7ED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should be made a mandatory requirement for gender recognition.  Moreover, this would arguably be a relatively objective approach as opposed to </w:t>
      </w:r>
      <w:r w:rsidRPr="0028108F">
        <w:rPr>
          <w:rFonts w:ascii="Arial" w:hAnsi="Arial" w:cs="Arial"/>
          <w:szCs w:val="24"/>
          <w:lang w:val="en-GB"/>
        </w:rPr>
        <w:t>a subjective self-determination approach (as that adopted in Denmark, Argentina and Malta</w:t>
      </w:r>
      <w:r w:rsidR="002D7009" w:rsidRPr="0028108F">
        <w:rPr>
          <w:rFonts w:ascii="Arial" w:hAnsi="Arial" w:cs="Arial"/>
          <w:szCs w:val="24"/>
          <w:lang w:val="en-GB"/>
        </w:rPr>
        <w:t xml:space="preserve"> </w:t>
      </w:r>
      <w:r w:rsidR="00C23F13" w:rsidRPr="0028108F">
        <w:rPr>
          <w:rFonts w:ascii="Arial" w:hAnsi="Arial" w:cs="Arial"/>
          <w:szCs w:val="24"/>
          <w:lang w:val="en-GB"/>
        </w:rPr>
        <w:t>etc</w:t>
      </w:r>
      <w:r w:rsidRPr="0028108F">
        <w:rPr>
          <w:rFonts w:ascii="Arial" w:hAnsi="Arial" w:cs="Arial"/>
          <w:szCs w:val="24"/>
          <w:lang w:val="en-GB"/>
        </w:rPr>
        <w:t xml:space="preserve">), to decide whether a person with gender dysphoria </w:t>
      </w:r>
      <w:r w:rsidR="00C23F13" w:rsidRPr="0028108F">
        <w:rPr>
          <w:rFonts w:ascii="Arial" w:hAnsi="Arial" w:cs="Arial"/>
          <w:szCs w:val="24"/>
          <w:lang w:val="en-GB"/>
        </w:rPr>
        <w:t xml:space="preserve">or gender identity disorder </w:t>
      </w:r>
      <w:r w:rsidRPr="0028108F">
        <w:rPr>
          <w:rFonts w:ascii="Arial" w:hAnsi="Arial" w:cs="Arial"/>
          <w:szCs w:val="24"/>
          <w:lang w:val="en-GB"/>
        </w:rPr>
        <w:t xml:space="preserve">would require treatments and what </w:t>
      </w:r>
      <w:r w:rsidR="00CF7EDD" w:rsidRPr="0028108F">
        <w:rPr>
          <w:rFonts w:ascii="Arial" w:hAnsi="Arial" w:cs="Arial"/>
          <w:szCs w:val="24"/>
          <w:lang w:val="en-GB"/>
        </w:rPr>
        <w:t xml:space="preserve">those </w:t>
      </w:r>
      <w:r w:rsidRPr="0028108F">
        <w:rPr>
          <w:rFonts w:ascii="Arial" w:hAnsi="Arial" w:cs="Arial"/>
          <w:szCs w:val="24"/>
          <w:lang w:val="en-GB"/>
        </w:rPr>
        <w:t>treatments would be.</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86328E" w:rsidP="00E773F6">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It is further argued that i</w:t>
      </w:r>
      <w:r w:rsidR="00E773F6" w:rsidRPr="0028108F">
        <w:rPr>
          <w:rFonts w:ascii="Arial" w:hAnsi="Arial" w:cs="Arial"/>
          <w:color w:val="000000" w:themeColor="text1"/>
          <w:szCs w:val="24"/>
          <w:lang w:val="en-GB"/>
        </w:rPr>
        <w:t xml:space="preserve">f medical diagnosis is required for </w:t>
      </w:r>
      <w:r w:rsidR="00C23F13" w:rsidRPr="0028108F">
        <w:rPr>
          <w:rFonts w:ascii="Arial" w:hAnsi="Arial" w:cs="Arial"/>
          <w:color w:val="000000" w:themeColor="text1"/>
          <w:szCs w:val="24"/>
          <w:lang w:val="en-GB"/>
        </w:rPr>
        <w:t xml:space="preserve">an </w:t>
      </w:r>
      <w:r w:rsidR="00E773F6" w:rsidRPr="0028108F">
        <w:rPr>
          <w:rFonts w:ascii="Arial" w:hAnsi="Arial" w:cs="Arial"/>
          <w:color w:val="000000" w:themeColor="text1"/>
          <w:szCs w:val="24"/>
          <w:lang w:val="en-GB"/>
        </w:rPr>
        <w:t>application f</w:t>
      </w:r>
      <w:r w:rsidR="00CF7EDD" w:rsidRPr="0028108F">
        <w:rPr>
          <w:rFonts w:ascii="Arial" w:hAnsi="Arial" w:cs="Arial"/>
          <w:color w:val="000000" w:themeColor="text1"/>
          <w:szCs w:val="24"/>
          <w:lang w:val="en-GB"/>
        </w:rPr>
        <w:t>or</w:t>
      </w:r>
      <w:r w:rsidR="00E773F6" w:rsidRPr="0028108F">
        <w:rPr>
          <w:rFonts w:ascii="Arial" w:hAnsi="Arial" w:cs="Arial"/>
          <w:color w:val="000000" w:themeColor="text1"/>
          <w:szCs w:val="24"/>
          <w:lang w:val="en-GB"/>
        </w:rPr>
        <w:t xml:space="preserve"> gender recognition, it would likely prevent the gender recognition </w:t>
      </w:r>
      <w:r w:rsidR="00C23F13" w:rsidRPr="0028108F">
        <w:rPr>
          <w:rFonts w:ascii="Arial" w:hAnsi="Arial" w:cs="Arial"/>
          <w:color w:val="000000" w:themeColor="text1"/>
          <w:szCs w:val="24"/>
          <w:lang w:val="en-GB"/>
        </w:rPr>
        <w:t xml:space="preserve">scheme </w:t>
      </w:r>
      <w:r w:rsidR="00CF7EDD" w:rsidRPr="0028108F">
        <w:rPr>
          <w:rFonts w:ascii="Arial" w:hAnsi="Arial" w:cs="Arial"/>
          <w:color w:val="000000" w:themeColor="text1"/>
          <w:szCs w:val="24"/>
          <w:lang w:val="en-GB"/>
        </w:rPr>
        <w:t xml:space="preserve">from </w:t>
      </w:r>
      <w:r w:rsidR="00E773F6" w:rsidRPr="0028108F">
        <w:rPr>
          <w:rFonts w:ascii="Arial" w:hAnsi="Arial" w:cs="Arial"/>
          <w:color w:val="000000" w:themeColor="text1"/>
          <w:szCs w:val="24"/>
          <w:lang w:val="en-GB"/>
        </w:rPr>
        <w:t>being abused by people not entitled to the protection under</w:t>
      </w:r>
      <w:r w:rsidR="00CF7EDD" w:rsidRPr="0028108F">
        <w:rPr>
          <w:rFonts w:ascii="Arial" w:hAnsi="Arial" w:cs="Arial"/>
          <w:color w:val="000000" w:themeColor="text1"/>
          <w:szCs w:val="24"/>
          <w:lang w:val="en-GB"/>
        </w:rPr>
        <w:t xml:space="preserve"> it</w:t>
      </w:r>
      <w:r w:rsidR="00E773F6" w:rsidRPr="0028108F">
        <w:rPr>
          <w:rFonts w:ascii="Arial" w:hAnsi="Arial" w:cs="Arial"/>
          <w:color w:val="000000" w:themeColor="text1"/>
          <w:szCs w:val="24"/>
          <w:lang w:val="en-GB"/>
        </w:rPr>
        <w:t xml:space="preserve">.  </w:t>
      </w:r>
      <w:r w:rsidR="00957CF6" w:rsidRPr="0028108F">
        <w:rPr>
          <w:rFonts w:ascii="Arial" w:hAnsi="Arial" w:cs="Arial"/>
          <w:color w:val="000000" w:themeColor="text1"/>
          <w:szCs w:val="24"/>
          <w:lang w:val="en-GB"/>
        </w:rPr>
        <w:t>Presumably p</w:t>
      </w:r>
      <w:r w:rsidR="00E773F6" w:rsidRPr="0028108F">
        <w:rPr>
          <w:rFonts w:ascii="Arial" w:hAnsi="Arial" w:cs="Arial"/>
          <w:color w:val="000000" w:themeColor="text1"/>
          <w:szCs w:val="24"/>
          <w:lang w:val="en-GB"/>
        </w:rPr>
        <w:t xml:space="preserve">sychiatrists would be able to rule out phenomena other than gender dysphoria or </w:t>
      </w:r>
      <w:r w:rsidR="00334997" w:rsidRPr="0028108F">
        <w:rPr>
          <w:rFonts w:ascii="Arial" w:hAnsi="Arial" w:cs="Arial"/>
          <w:color w:val="000000" w:themeColor="text1"/>
          <w:szCs w:val="24"/>
          <w:lang w:val="en-GB"/>
        </w:rPr>
        <w:t>gender identity disorder</w:t>
      </w:r>
      <w:r w:rsidR="00B2482B"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such as homosexuality and </w:t>
      </w:r>
      <w:r w:rsidR="00825383" w:rsidRPr="0028108F">
        <w:rPr>
          <w:rFonts w:ascii="Arial" w:hAnsi="Arial" w:cs="Arial"/>
          <w:color w:val="000000" w:themeColor="text1"/>
          <w:szCs w:val="24"/>
          <w:lang w:val="en-GB"/>
        </w:rPr>
        <w:t>transvestism</w:t>
      </w:r>
      <w:r w:rsidR="00E773F6" w:rsidRPr="0028108F">
        <w:rPr>
          <w:rFonts w:ascii="Arial" w:hAnsi="Arial" w:cs="Arial"/>
          <w:color w:val="000000" w:themeColor="text1"/>
          <w:szCs w:val="24"/>
          <w:lang w:val="en-GB"/>
        </w:rPr>
        <w:t xml:space="preserve">.  The use of international classification standards, such as ICD and DSM standards which provide series of diagnostic guidelines, could </w:t>
      </w:r>
      <w:r w:rsidR="00957CF6" w:rsidRPr="0028108F">
        <w:rPr>
          <w:rFonts w:ascii="Arial" w:hAnsi="Arial" w:cs="Arial"/>
          <w:color w:val="000000" w:themeColor="text1"/>
          <w:szCs w:val="24"/>
          <w:lang w:val="en-GB"/>
        </w:rPr>
        <w:t xml:space="preserve">help </w:t>
      </w:r>
      <w:r w:rsidR="00E773F6" w:rsidRPr="0028108F">
        <w:rPr>
          <w:rFonts w:ascii="Arial" w:hAnsi="Arial" w:cs="Arial"/>
          <w:color w:val="000000" w:themeColor="text1"/>
          <w:szCs w:val="24"/>
          <w:lang w:val="en-GB"/>
        </w:rPr>
        <w:t>enhance the accuracy and reliability of medical diagnosis by psychiatrists.</w:t>
      </w:r>
      <w:r w:rsidR="00E773F6" w:rsidRPr="0028108F">
        <w:rPr>
          <w:rStyle w:val="FootnoteReference"/>
          <w:rFonts w:ascii="Arial" w:hAnsi="Arial" w:cs="Arial"/>
          <w:color w:val="000000" w:themeColor="text1"/>
          <w:szCs w:val="24"/>
          <w:lang w:val="en-GB"/>
        </w:rPr>
        <w:footnoteReference w:id="479"/>
      </w:r>
      <w:r w:rsidR="00E773F6" w:rsidRPr="0028108F">
        <w:rPr>
          <w:rFonts w:ascii="Arial" w:hAnsi="Arial" w:cs="Arial"/>
          <w:color w:val="000000" w:themeColor="text1"/>
          <w:szCs w:val="24"/>
          <w:lang w:val="en-GB"/>
        </w:rPr>
        <w:t xml:space="preserve">  It is arguable that medical diagnosis is </w:t>
      </w:r>
      <w:r w:rsidR="00741BBE" w:rsidRPr="0028108F">
        <w:rPr>
          <w:rFonts w:ascii="Arial" w:hAnsi="Arial" w:cs="Arial"/>
          <w:color w:val="000000" w:themeColor="text1"/>
          <w:szCs w:val="24"/>
          <w:lang w:val="en-GB"/>
        </w:rPr>
        <w:t xml:space="preserve">a </w:t>
      </w:r>
      <w:r w:rsidR="00E773F6" w:rsidRPr="0028108F">
        <w:rPr>
          <w:rFonts w:ascii="Arial" w:hAnsi="Arial" w:cs="Arial"/>
          <w:color w:val="000000" w:themeColor="text1"/>
          <w:szCs w:val="24"/>
          <w:lang w:val="en-GB"/>
        </w:rPr>
        <w:t xml:space="preserve">reliable </w:t>
      </w:r>
      <w:r w:rsidR="00741BBE" w:rsidRPr="0028108F">
        <w:rPr>
          <w:rFonts w:ascii="Arial" w:hAnsi="Arial" w:cs="Arial"/>
          <w:color w:val="000000" w:themeColor="text1"/>
          <w:szCs w:val="24"/>
          <w:lang w:val="en-GB"/>
        </w:rPr>
        <w:t>determinant</w:t>
      </w:r>
      <w:r w:rsidR="00E773F6" w:rsidRPr="0028108F">
        <w:rPr>
          <w:rFonts w:ascii="Arial" w:hAnsi="Arial" w:cs="Arial"/>
          <w:color w:val="000000" w:themeColor="text1"/>
          <w:szCs w:val="24"/>
          <w:lang w:val="en-GB"/>
        </w:rPr>
        <w:t xml:space="preserve"> of one’s gender identity for the purpose of legal gender recognition, and that the risks of fraud or misuse </w:t>
      </w:r>
      <w:r w:rsidR="00741BBE" w:rsidRPr="0028108F">
        <w:rPr>
          <w:rFonts w:ascii="Arial" w:hAnsi="Arial" w:cs="Arial"/>
          <w:color w:val="000000" w:themeColor="text1"/>
          <w:szCs w:val="24"/>
          <w:lang w:val="en-GB"/>
        </w:rPr>
        <w:t>w</w:t>
      </w:r>
      <w:r w:rsidR="00E773F6" w:rsidRPr="0028108F">
        <w:rPr>
          <w:rFonts w:ascii="Arial" w:hAnsi="Arial" w:cs="Arial"/>
          <w:color w:val="000000" w:themeColor="text1"/>
          <w:szCs w:val="24"/>
          <w:lang w:val="en-GB"/>
        </w:rPr>
        <w:t>ould be reduced.</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i/>
          <w:color w:val="000000" w:themeColor="text1"/>
          <w:szCs w:val="24"/>
          <w:u w:val="single"/>
          <w:lang w:val="en-GB"/>
        </w:rPr>
      </w:pPr>
      <w:r w:rsidRPr="0028108F">
        <w:rPr>
          <w:rFonts w:ascii="Arial" w:hAnsi="Arial" w:cs="Arial"/>
          <w:i/>
          <w:color w:val="000000" w:themeColor="text1"/>
          <w:szCs w:val="24"/>
          <w:lang w:val="en-GB"/>
        </w:rPr>
        <w:t xml:space="preserve">Argument (3): Prevalence of jurisdictions requiring </w:t>
      </w:r>
      <w:r w:rsidR="00741BBE" w:rsidRPr="0028108F">
        <w:rPr>
          <w:rFonts w:ascii="Arial" w:hAnsi="Arial" w:cs="Arial"/>
          <w:i/>
          <w:color w:val="000000" w:themeColor="text1"/>
          <w:szCs w:val="24"/>
          <w:lang w:val="en-GB"/>
        </w:rPr>
        <w:t xml:space="preserve">medical </w:t>
      </w:r>
      <w:r w:rsidRPr="0028108F">
        <w:rPr>
          <w:rFonts w:ascii="Arial" w:hAnsi="Arial" w:cs="Arial"/>
          <w:i/>
          <w:color w:val="000000" w:themeColor="text1"/>
          <w:szCs w:val="24"/>
          <w:lang w:val="en-GB"/>
        </w:rPr>
        <w:t>diagnosis in their gender</w:t>
      </w:r>
      <w:r w:rsidRPr="0028108F">
        <w:rPr>
          <w:rFonts w:ascii="Arial" w:hAnsi="Arial" w:cs="Arial"/>
          <w:color w:val="000000" w:themeColor="text1"/>
          <w:szCs w:val="24"/>
          <w:lang w:val="en-GB"/>
        </w:rPr>
        <w:t xml:space="preserve"> </w:t>
      </w:r>
      <w:r w:rsidRPr="0028108F">
        <w:rPr>
          <w:rFonts w:ascii="Arial" w:hAnsi="Arial" w:cs="Arial"/>
          <w:i/>
          <w:color w:val="000000" w:themeColor="text1"/>
          <w:szCs w:val="24"/>
          <w:lang w:val="en-GB"/>
        </w:rPr>
        <w:t xml:space="preserve">recognition </w:t>
      </w:r>
      <w:r w:rsidR="00957CF6" w:rsidRPr="00181CF2">
        <w:rPr>
          <w:rFonts w:ascii="Arial" w:hAnsi="Arial" w:cs="Arial"/>
          <w:i/>
          <w:color w:val="000000" w:themeColor="text1"/>
          <w:szCs w:val="24"/>
          <w:lang w:val="en-GB"/>
        </w:rPr>
        <w:t>scheme</w:t>
      </w:r>
      <w:r w:rsidR="00741BBE" w:rsidRPr="00C57CE1">
        <w:rPr>
          <w:rFonts w:ascii="Arial" w:hAnsi="Arial" w:cs="Arial"/>
          <w:i/>
          <w:color w:val="000000" w:themeColor="text1"/>
          <w:szCs w:val="24"/>
          <w:lang w:val="en-GB"/>
        </w:rPr>
        <w:t>s</w:t>
      </w:r>
    </w:p>
    <w:p w:rsidR="00001A8C" w:rsidRPr="0028108F" w:rsidRDefault="00001A8C" w:rsidP="00E773F6">
      <w:pPr>
        <w:pStyle w:val="ListParagraph"/>
        <w:tabs>
          <w:tab w:val="left" w:pos="1418"/>
          <w:tab w:val="left" w:pos="2552"/>
        </w:tabs>
        <w:adjustRightInd w:val="0"/>
        <w:snapToGrid w:val="0"/>
        <w:ind w:leftChars="0" w:left="0"/>
        <w:jc w:val="both"/>
        <w:rPr>
          <w:rFonts w:ascii="Arial" w:hAnsi="Arial" w:cs="Arial"/>
          <w:i/>
          <w:color w:val="000000" w:themeColor="text1"/>
          <w:szCs w:val="24"/>
          <w:u w:val="single"/>
          <w:lang w:val="en-GB"/>
        </w:rPr>
      </w:pPr>
    </w:p>
    <w:p w:rsidR="00E773F6" w:rsidRPr="00181CF2" w:rsidRDefault="00E773F6" w:rsidP="00E773F6">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illustrated in Annex </w:t>
      </w:r>
      <w:r w:rsidRPr="008813DE">
        <w:rPr>
          <w:rFonts w:ascii="Arial" w:hAnsi="Arial" w:cs="Arial"/>
          <w:color w:val="000000" w:themeColor="text1"/>
          <w:szCs w:val="24"/>
          <w:lang w:val="en-GB"/>
        </w:rPr>
        <w:t>B</w:t>
      </w:r>
      <w:r w:rsidRPr="0028108F">
        <w:rPr>
          <w:rFonts w:ascii="Arial" w:hAnsi="Arial" w:cs="Arial"/>
          <w:color w:val="000000" w:themeColor="text1"/>
          <w:szCs w:val="24"/>
          <w:lang w:val="en-GB"/>
        </w:rPr>
        <w:t xml:space="preserve"> of this </w:t>
      </w:r>
      <w:r w:rsidR="00DF28D9">
        <w:rPr>
          <w:rFonts w:ascii="Arial" w:hAnsi="Arial" w:cs="Arial"/>
          <w:color w:val="000000" w:themeColor="text1"/>
          <w:szCs w:val="24"/>
          <w:lang w:val="en-GB"/>
        </w:rPr>
        <w:t>p</w:t>
      </w:r>
      <w:r w:rsidRPr="0028108F">
        <w:rPr>
          <w:rFonts w:ascii="Arial" w:hAnsi="Arial" w:cs="Arial"/>
          <w:color w:val="000000" w:themeColor="text1"/>
          <w:szCs w:val="24"/>
          <w:lang w:val="en-GB"/>
        </w:rPr>
        <w:t>aper, a requirement that an applicant for gender recognition has to prove that he or she has or has had gender dysphoria, gen</w:t>
      </w:r>
      <w:r w:rsidRPr="000B4F6C">
        <w:rPr>
          <w:rFonts w:ascii="Arial" w:hAnsi="Arial" w:cs="Arial"/>
          <w:color w:val="000000" w:themeColor="text1"/>
          <w:szCs w:val="24"/>
          <w:lang w:val="en-GB"/>
        </w:rPr>
        <w:t xml:space="preserve">der identity disorder or transsexualism has been expressly adopted in many jurisdictions such as the </w:t>
      </w:r>
      <w:r w:rsidRPr="008813DE">
        <w:rPr>
          <w:rFonts w:ascii="Arial" w:hAnsi="Arial" w:cs="Arial"/>
          <w:color w:val="000000" w:themeColor="text1"/>
          <w:szCs w:val="24"/>
          <w:lang w:val="en-GB"/>
        </w:rPr>
        <w:t xml:space="preserve">UK, Japan, </w:t>
      </w:r>
      <w:r w:rsidR="004E3316">
        <w:rPr>
          <w:rFonts w:ascii="Arial" w:hAnsi="Arial" w:cs="Arial"/>
          <w:color w:val="000000" w:themeColor="text1"/>
          <w:szCs w:val="24"/>
          <w:lang w:val="en-GB"/>
        </w:rPr>
        <w:t xml:space="preserve">Mainland </w:t>
      </w:r>
      <w:r w:rsidRPr="008813DE">
        <w:rPr>
          <w:rFonts w:ascii="Arial" w:hAnsi="Arial" w:cs="Arial"/>
          <w:color w:val="000000" w:themeColor="text1"/>
          <w:szCs w:val="24"/>
          <w:lang w:val="en-GB"/>
        </w:rPr>
        <w:t>China, Austria, Estonia, Spain, Portugal, Minnesota (</w:t>
      </w:r>
      <w:r w:rsidR="00512AC0" w:rsidRPr="008813DE">
        <w:rPr>
          <w:rFonts w:ascii="Arial" w:hAnsi="Arial" w:cs="Arial"/>
          <w:color w:val="000000" w:themeColor="text1"/>
          <w:szCs w:val="24"/>
          <w:lang w:val="en-GB"/>
        </w:rPr>
        <w:t>US</w:t>
      </w:r>
      <w:r w:rsidRPr="008813DE">
        <w:rPr>
          <w:rFonts w:ascii="Arial" w:hAnsi="Arial" w:cs="Arial"/>
          <w:color w:val="000000" w:themeColor="text1"/>
          <w:szCs w:val="24"/>
          <w:lang w:val="en-GB"/>
        </w:rPr>
        <w:t>), New York State (</w:t>
      </w:r>
      <w:r w:rsidR="00512AC0" w:rsidRPr="008813DE">
        <w:rPr>
          <w:rFonts w:ascii="Arial" w:hAnsi="Arial" w:cs="Arial"/>
          <w:color w:val="000000" w:themeColor="text1"/>
          <w:szCs w:val="24"/>
          <w:lang w:val="en-GB"/>
        </w:rPr>
        <w:t>US</w:t>
      </w:r>
      <w:r w:rsidRPr="008813DE">
        <w:rPr>
          <w:rFonts w:ascii="Arial" w:hAnsi="Arial" w:cs="Arial"/>
          <w:color w:val="000000" w:themeColor="text1"/>
          <w:szCs w:val="24"/>
          <w:lang w:val="en-GB"/>
        </w:rPr>
        <w:t>)</w:t>
      </w:r>
      <w:r w:rsidRPr="000B4F6C">
        <w:rPr>
          <w:rFonts w:ascii="Arial" w:hAnsi="Arial" w:cs="Arial"/>
          <w:color w:val="000000" w:themeColor="text1"/>
          <w:szCs w:val="24"/>
          <w:lang w:val="en-GB"/>
        </w:rPr>
        <w:t>.  In some jurisdictions where it is unclear as to what kinds of diagnosis are mandatory, the regime requires affirmation or report by psychiatrists and/or psychologists as regards the applicant’s sex identity or an irreversible conviction of belonging to another gender (eg</w:t>
      </w:r>
      <w:r w:rsidR="00940215" w:rsidRPr="000B4F6C">
        <w:rPr>
          <w:rFonts w:ascii="Arial" w:hAnsi="Arial" w:cs="Arial"/>
          <w:color w:val="000000" w:themeColor="text1"/>
          <w:szCs w:val="24"/>
          <w:lang w:val="en-GB"/>
        </w:rPr>
        <w:t>,</w:t>
      </w:r>
      <w:r w:rsidRPr="008813DE">
        <w:rPr>
          <w:rFonts w:ascii="Arial" w:hAnsi="Arial" w:cs="Arial"/>
          <w:color w:val="000000" w:themeColor="text1"/>
          <w:szCs w:val="24"/>
          <w:lang w:val="en-GB"/>
        </w:rPr>
        <w:t xml:space="preserve"> Bulgaria, Republic of Cyprus, Finland, British Columbia (Canada), Ontario (Canada)</w:t>
      </w:r>
      <w:r w:rsidRPr="000B4F6C">
        <w:rPr>
          <w:rFonts w:ascii="Arial" w:hAnsi="Arial" w:cs="Arial"/>
          <w:color w:val="000000" w:themeColor="text1"/>
          <w:szCs w:val="24"/>
          <w:lang w:val="en-GB"/>
        </w:rPr>
        <w:t>).</w:t>
      </w:r>
      <w:r w:rsidR="00C73C97" w:rsidRPr="000466D4">
        <w:rPr>
          <w:rFonts w:ascii="Arial" w:hAnsi="Arial" w:cs="Arial"/>
          <w:color w:val="000000" w:themeColor="text1"/>
          <w:szCs w:val="24"/>
          <w:lang w:val="en-GB"/>
        </w:rPr>
        <w:t xml:space="preserve">  </w:t>
      </w:r>
      <w:r w:rsidR="00C73C97" w:rsidRPr="008813DE">
        <w:rPr>
          <w:rFonts w:ascii="Arial" w:eastAsia="細明體" w:hAnsi="Arial" w:cs="Arial"/>
          <w:color w:val="000000"/>
          <w:kern w:val="0"/>
          <w:szCs w:val="24"/>
        </w:rPr>
        <w:t>It is also pertinent to note that the ECtHR has recently held</w:t>
      </w:r>
      <w:r w:rsidR="000466D4" w:rsidRPr="000466D4">
        <w:rPr>
          <w:rFonts w:ascii="Arial" w:eastAsia="細明體" w:hAnsi="Arial" w:cs="Arial"/>
          <w:color w:val="000000"/>
          <w:kern w:val="0"/>
          <w:szCs w:val="24"/>
        </w:rPr>
        <w:t xml:space="preserve"> in the case of </w:t>
      </w:r>
      <w:r w:rsidR="000466D4" w:rsidRPr="008813DE">
        <w:rPr>
          <w:rFonts w:ascii="Arial" w:hAnsi="Arial" w:cs="Arial"/>
          <w:i/>
          <w:color w:val="000000" w:themeColor="text1"/>
          <w:szCs w:val="24"/>
          <w:lang w:val="en-GB"/>
        </w:rPr>
        <w:t>A.P.,</w:t>
      </w:r>
      <w:r w:rsidR="000466D4" w:rsidRPr="008813DE">
        <w:rPr>
          <w:rStyle w:val="apple-converted-space"/>
          <w:rFonts w:ascii="Arial" w:hAnsi="Arial" w:cs="Arial"/>
          <w:bCs/>
          <w:i/>
          <w:color w:val="000000"/>
          <w:shd w:val="clear" w:color="auto" w:fill="FFFFFF"/>
        </w:rPr>
        <w:t> </w:t>
      </w:r>
      <w:r w:rsidR="000466D4" w:rsidRPr="008813DE">
        <w:rPr>
          <w:rFonts w:ascii="Arial" w:hAnsi="Arial" w:cs="Arial"/>
          <w:i/>
          <w:color w:val="000000"/>
          <w:shd w:val="clear" w:color="auto" w:fill="FFFFFF"/>
        </w:rPr>
        <w:t>Garçon</w:t>
      </w:r>
      <w:r w:rsidR="000466D4" w:rsidRPr="008813DE">
        <w:rPr>
          <w:rFonts w:ascii="Arial" w:eastAsia="細明體" w:hAnsi="Arial" w:cs="Arial"/>
          <w:i/>
          <w:iCs/>
          <w:color w:val="000000"/>
          <w:kern w:val="0"/>
          <w:szCs w:val="24"/>
        </w:rPr>
        <w:t xml:space="preserve"> and Nicot v France </w:t>
      </w:r>
      <w:r w:rsidR="000466D4">
        <w:rPr>
          <w:rFonts w:ascii="Arial" w:eastAsia="細明體" w:hAnsi="Arial" w:cs="Arial"/>
          <w:iCs/>
          <w:color w:val="000000"/>
          <w:kern w:val="0"/>
          <w:szCs w:val="24"/>
        </w:rPr>
        <w:t>(2017)</w:t>
      </w:r>
      <w:r w:rsidR="00D54F18">
        <w:rPr>
          <w:rStyle w:val="FootnoteReference"/>
          <w:rFonts w:ascii="Arial" w:eastAsia="細明體" w:hAnsi="Arial" w:cs="Arial"/>
          <w:iCs/>
          <w:color w:val="000000"/>
          <w:kern w:val="0"/>
          <w:szCs w:val="24"/>
        </w:rPr>
        <w:footnoteReference w:id="480"/>
      </w:r>
      <w:r w:rsidR="000466D4">
        <w:rPr>
          <w:rFonts w:ascii="Arial" w:eastAsia="細明體" w:hAnsi="Arial" w:cs="Arial"/>
          <w:iCs/>
          <w:color w:val="000000"/>
          <w:kern w:val="0"/>
          <w:szCs w:val="24"/>
        </w:rPr>
        <w:t xml:space="preserve"> </w:t>
      </w:r>
      <w:r w:rsidR="00C73C97" w:rsidRPr="008813DE">
        <w:rPr>
          <w:rFonts w:ascii="Arial" w:eastAsia="細明體" w:hAnsi="Arial" w:cs="Arial"/>
          <w:color w:val="000000"/>
          <w:kern w:val="0"/>
          <w:szCs w:val="24"/>
        </w:rPr>
        <w:t>that</w:t>
      </w:r>
      <w:r w:rsidR="000466D4" w:rsidRPr="000466D4">
        <w:rPr>
          <w:rFonts w:ascii="Arial" w:eastAsia="細明體" w:hAnsi="Arial" w:cs="Arial"/>
          <w:color w:val="000000"/>
          <w:kern w:val="0"/>
          <w:szCs w:val="24"/>
        </w:rPr>
        <w:t xml:space="preserve"> </w:t>
      </w:r>
      <w:r w:rsidR="000466D4" w:rsidRPr="00495CFD">
        <w:rPr>
          <w:rFonts w:ascii="Arial" w:eastAsia="細明體" w:hAnsi="Arial" w:cs="Arial"/>
          <w:color w:val="000000"/>
          <w:kern w:val="0"/>
          <w:szCs w:val="24"/>
        </w:rPr>
        <w:t xml:space="preserve">the requirements for medical diagnosis of gender identity disorder and medical examination in order to change the sex entry on birth certificates (under the French law </w:t>
      </w:r>
      <w:r w:rsidR="000466D4">
        <w:rPr>
          <w:rFonts w:ascii="Arial" w:eastAsia="細明體" w:hAnsi="Arial" w:cs="Arial"/>
          <w:color w:val="000000"/>
          <w:kern w:val="0"/>
          <w:szCs w:val="24"/>
        </w:rPr>
        <w:t>at that time</w:t>
      </w:r>
      <w:r w:rsidR="000466D4" w:rsidRPr="00495CFD">
        <w:rPr>
          <w:rFonts w:ascii="Arial" w:eastAsia="細明體" w:hAnsi="Arial" w:cs="Arial"/>
          <w:color w:val="000000"/>
          <w:kern w:val="0"/>
          <w:szCs w:val="24"/>
        </w:rPr>
        <w:t>) did not constitute a violation of Article 8 of ECHR</w:t>
      </w:r>
      <w:r w:rsidR="00C73C97" w:rsidRPr="008813DE">
        <w:rPr>
          <w:rFonts w:ascii="Arial" w:eastAsia="細明體" w:hAnsi="Arial" w:cs="Arial"/>
          <w:color w:val="000000"/>
          <w:kern w:val="0"/>
          <w:szCs w:val="24"/>
        </w:rPr>
        <w:t xml:space="preserve"> </w:t>
      </w:r>
      <w:r w:rsidR="000466D4">
        <w:rPr>
          <w:rFonts w:ascii="Arial" w:eastAsia="細明體" w:hAnsi="Arial" w:cs="Arial"/>
          <w:color w:val="000000"/>
          <w:kern w:val="0"/>
          <w:szCs w:val="24"/>
        </w:rPr>
        <w:t xml:space="preserve">(right to respect for private life).  With regard to the condition </w:t>
      </w:r>
      <w:r w:rsidR="00313413">
        <w:rPr>
          <w:rFonts w:ascii="Arial" w:eastAsia="細明體" w:hAnsi="Arial" w:cs="Arial"/>
          <w:color w:val="000000"/>
          <w:kern w:val="0"/>
          <w:szCs w:val="24"/>
        </w:rPr>
        <w:t xml:space="preserve">imposed on a person requesting to change the sex entry on the birth certificate to </w:t>
      </w:r>
      <w:r w:rsidR="000466D4">
        <w:rPr>
          <w:rFonts w:ascii="Arial" w:eastAsia="細明體" w:hAnsi="Arial" w:cs="Arial"/>
          <w:color w:val="000000"/>
          <w:kern w:val="0"/>
          <w:szCs w:val="24"/>
        </w:rPr>
        <w:t>pr</w:t>
      </w:r>
      <w:r w:rsidR="00313413">
        <w:rPr>
          <w:rFonts w:ascii="Arial" w:eastAsia="細明體" w:hAnsi="Arial" w:cs="Arial"/>
          <w:color w:val="000000"/>
          <w:kern w:val="0"/>
          <w:szCs w:val="24"/>
        </w:rPr>
        <w:t>ove that he or she suffered from gender identity disorder, t</w:t>
      </w:r>
      <w:r w:rsidR="000466D4">
        <w:rPr>
          <w:rFonts w:ascii="Arial" w:eastAsia="細明體" w:hAnsi="Arial" w:cs="Arial"/>
          <w:color w:val="000000"/>
          <w:kern w:val="0"/>
          <w:szCs w:val="24"/>
        </w:rPr>
        <w:t xml:space="preserve">he ECtHR observed that </w:t>
      </w:r>
      <w:r w:rsidR="00C73C97" w:rsidRPr="008813DE">
        <w:rPr>
          <w:rFonts w:ascii="Arial" w:eastAsia="細明體" w:hAnsi="Arial" w:cs="Arial"/>
          <w:color w:val="000000"/>
          <w:kern w:val="0"/>
          <w:szCs w:val="24"/>
        </w:rPr>
        <w:t>a broad consensus existed among the member States</w:t>
      </w:r>
      <w:r w:rsidR="00313413">
        <w:rPr>
          <w:rFonts w:ascii="Arial" w:eastAsia="細明體" w:hAnsi="Arial" w:cs="Arial"/>
          <w:color w:val="000000"/>
          <w:kern w:val="0"/>
          <w:szCs w:val="24"/>
        </w:rPr>
        <w:t xml:space="preserve"> in this area</w:t>
      </w:r>
      <w:r w:rsidR="00C73C97" w:rsidRPr="008813DE">
        <w:rPr>
          <w:rFonts w:ascii="Arial" w:eastAsia="細明體" w:hAnsi="Arial" w:cs="Arial"/>
          <w:color w:val="000000"/>
          <w:kern w:val="0"/>
          <w:szCs w:val="24"/>
        </w:rPr>
        <w:t xml:space="preserve"> </w:t>
      </w:r>
      <w:r w:rsidR="000466D4">
        <w:rPr>
          <w:rFonts w:ascii="Arial" w:eastAsia="細明體" w:hAnsi="Arial" w:cs="Arial"/>
          <w:color w:val="000000"/>
          <w:kern w:val="0"/>
          <w:szCs w:val="24"/>
        </w:rPr>
        <w:t xml:space="preserve">and </w:t>
      </w:r>
      <w:r w:rsidR="00C73C97" w:rsidRPr="008813DE">
        <w:rPr>
          <w:rFonts w:ascii="Arial" w:eastAsia="細明體" w:hAnsi="Arial" w:cs="Arial"/>
          <w:color w:val="000000"/>
          <w:kern w:val="0"/>
          <w:szCs w:val="24"/>
        </w:rPr>
        <w:t xml:space="preserve">that </w:t>
      </w:r>
      <w:r w:rsidR="00313413">
        <w:rPr>
          <w:rFonts w:ascii="Arial" w:eastAsia="細明體" w:hAnsi="Arial" w:cs="Arial"/>
          <w:color w:val="000000"/>
          <w:kern w:val="0"/>
          <w:szCs w:val="24"/>
        </w:rPr>
        <w:t>this criterion</w:t>
      </w:r>
      <w:r w:rsidR="00C73C97" w:rsidRPr="008813DE">
        <w:rPr>
          <w:rFonts w:ascii="Arial" w:eastAsia="細明體" w:hAnsi="Arial" w:cs="Arial"/>
          <w:color w:val="000000"/>
          <w:kern w:val="0"/>
          <w:szCs w:val="24"/>
        </w:rPr>
        <w:t xml:space="preserve"> did not directly c</w:t>
      </w:r>
      <w:r w:rsidR="00313413">
        <w:rPr>
          <w:rFonts w:ascii="Arial" w:eastAsia="細明體" w:hAnsi="Arial" w:cs="Arial"/>
          <w:color w:val="000000"/>
          <w:kern w:val="0"/>
          <w:szCs w:val="24"/>
        </w:rPr>
        <w:t>all into question an individual’</w:t>
      </w:r>
      <w:r w:rsidR="00C73C97" w:rsidRPr="008813DE">
        <w:rPr>
          <w:rFonts w:ascii="Arial" w:eastAsia="細明體" w:hAnsi="Arial" w:cs="Arial"/>
          <w:color w:val="000000"/>
          <w:kern w:val="0"/>
          <w:szCs w:val="24"/>
        </w:rPr>
        <w:t>s physical integrity.  The Court therefore concluded that the member States retained considerable room for manoeuvre in deciding whether to impose such a condition</w:t>
      </w:r>
      <w:r w:rsidR="00313413">
        <w:rPr>
          <w:rFonts w:ascii="Arial" w:eastAsia="細明體" w:hAnsi="Arial" w:cs="Arial"/>
          <w:color w:val="000000"/>
          <w:kern w:val="0"/>
          <w:szCs w:val="24"/>
        </w:rPr>
        <w:t>.</w:t>
      </w:r>
    </w:p>
    <w:p w:rsidR="00E773F6" w:rsidRPr="00C57CE1"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Arguments against</w:t>
      </w:r>
      <w:r w:rsidR="00E773F6" w:rsidRPr="0028108F">
        <w:rPr>
          <w:rFonts w:ascii="Arial" w:hAnsi="Arial" w:cs="Arial"/>
          <w:b/>
          <w:i/>
          <w:color w:val="000000" w:themeColor="text1"/>
          <w:szCs w:val="24"/>
          <w:lang w:val="en-GB"/>
        </w:rPr>
        <w:t xml:space="preserve"> having a requirement of medical diagnosis </w:t>
      </w:r>
    </w:p>
    <w:p w:rsidR="00E773F6" w:rsidRPr="0028108F"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Argument (1): </w:t>
      </w:r>
      <w:r w:rsidR="00BE4B3F" w:rsidRPr="0028108F">
        <w:rPr>
          <w:rFonts w:ascii="Arial" w:hAnsi="Arial" w:cs="Arial"/>
          <w:i/>
          <w:color w:val="000000" w:themeColor="text1"/>
          <w:szCs w:val="24"/>
          <w:lang w:val="en-GB"/>
        </w:rPr>
        <w:t>Possibility of</w:t>
      </w:r>
      <w:r w:rsidRPr="0028108F">
        <w:rPr>
          <w:rFonts w:ascii="Arial" w:hAnsi="Arial" w:cs="Arial"/>
          <w:i/>
          <w:color w:val="000000" w:themeColor="text1"/>
          <w:szCs w:val="24"/>
          <w:lang w:val="en-GB"/>
        </w:rPr>
        <w:t xml:space="preserve"> misdiagnosis</w:t>
      </w:r>
    </w:p>
    <w:p w:rsidR="00E773F6" w:rsidRPr="0028108F" w:rsidRDefault="00E773F6" w:rsidP="00E773F6">
      <w:pPr>
        <w:tabs>
          <w:tab w:val="left" w:pos="851"/>
        </w:tabs>
        <w:adjustRightInd w:val="0"/>
        <w:snapToGrid w:val="0"/>
        <w:jc w:val="both"/>
        <w:rPr>
          <w:rFonts w:ascii="Arial" w:hAnsi="Arial" w:cs="Arial"/>
          <w:color w:val="000000" w:themeColor="text1"/>
          <w:szCs w:val="24"/>
          <w:lang w:val="en-GB"/>
        </w:rPr>
      </w:pPr>
    </w:p>
    <w:p w:rsidR="003D261A" w:rsidRPr="00C57CE1" w:rsidRDefault="00741BBE" w:rsidP="0028108F">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181CF2">
        <w:rPr>
          <w:rFonts w:ascii="Arial" w:eastAsiaTheme="minorEastAsia" w:hAnsi="Arial" w:cs="Arial"/>
          <w:color w:val="000000" w:themeColor="text1"/>
          <w:kern w:val="0"/>
          <w:szCs w:val="24"/>
          <w:lang w:val="en-GB"/>
        </w:rPr>
        <w:t>A</w:t>
      </w:r>
      <w:r w:rsidR="007467EC" w:rsidRPr="0028108F">
        <w:rPr>
          <w:rFonts w:ascii="Arial" w:eastAsiaTheme="minorEastAsia" w:hAnsi="Arial" w:cs="Arial"/>
          <w:color w:val="000000" w:themeColor="text1"/>
          <w:kern w:val="0"/>
          <w:szCs w:val="24"/>
          <w:lang w:val="en-GB"/>
        </w:rPr>
        <w:t xml:space="preserve"> recent article </w:t>
      </w:r>
      <w:r w:rsidR="00C85EF7" w:rsidRPr="00181CF2">
        <w:rPr>
          <w:rFonts w:ascii="Arial" w:eastAsiaTheme="minorEastAsia" w:hAnsi="Arial" w:cs="Arial"/>
          <w:color w:val="000000" w:themeColor="text1"/>
          <w:kern w:val="0"/>
          <w:szCs w:val="24"/>
          <w:lang w:val="en-GB"/>
        </w:rPr>
        <w:t>referring to</w:t>
      </w:r>
      <w:r w:rsidR="007467EC" w:rsidRPr="0028108F">
        <w:rPr>
          <w:rFonts w:ascii="Arial" w:eastAsiaTheme="minorEastAsia" w:hAnsi="Arial" w:cs="Arial"/>
          <w:color w:val="000000" w:themeColor="text1"/>
          <w:kern w:val="0"/>
          <w:szCs w:val="24"/>
          <w:lang w:val="en-GB"/>
        </w:rPr>
        <w:t xml:space="preserve"> observations made by Dr James Barrett, a consultant psychiatrist at the Charing Cross clinic, </w:t>
      </w:r>
      <w:r w:rsidR="00C85EF7" w:rsidRPr="00181CF2">
        <w:rPr>
          <w:rFonts w:ascii="Arial" w:eastAsiaTheme="minorEastAsia" w:hAnsi="Arial" w:cs="Arial"/>
          <w:color w:val="000000" w:themeColor="text1"/>
          <w:kern w:val="0"/>
          <w:szCs w:val="24"/>
          <w:lang w:val="en-GB"/>
        </w:rPr>
        <w:t>asse</w:t>
      </w:r>
      <w:r w:rsidR="00C85EF7" w:rsidRPr="00C57CE1">
        <w:rPr>
          <w:rFonts w:ascii="Arial" w:eastAsiaTheme="minorEastAsia" w:hAnsi="Arial" w:cs="Arial"/>
          <w:color w:val="000000" w:themeColor="text1"/>
          <w:kern w:val="0"/>
          <w:szCs w:val="24"/>
          <w:lang w:val="en-GB"/>
        </w:rPr>
        <w:t>r</w:t>
      </w:r>
      <w:r w:rsidR="00C85EF7" w:rsidRPr="0028108F">
        <w:rPr>
          <w:rFonts w:ascii="Arial" w:eastAsiaTheme="minorEastAsia" w:hAnsi="Arial" w:cs="Arial"/>
          <w:color w:val="000000" w:themeColor="text1"/>
          <w:kern w:val="0"/>
          <w:szCs w:val="24"/>
          <w:lang w:val="en-GB"/>
        </w:rPr>
        <w:t xml:space="preserve">ts </w:t>
      </w:r>
      <w:r w:rsidR="007467EC" w:rsidRPr="0028108F">
        <w:rPr>
          <w:rFonts w:ascii="Arial" w:eastAsiaTheme="minorEastAsia" w:hAnsi="Arial" w:cs="Arial"/>
          <w:color w:val="000000" w:themeColor="text1"/>
          <w:kern w:val="0"/>
          <w:szCs w:val="24"/>
          <w:lang w:val="en-GB"/>
        </w:rPr>
        <w:t xml:space="preserve">that a fair proportion (at least 80%) of the children </w:t>
      </w:r>
      <w:r w:rsidR="00001A8C" w:rsidRPr="0028108F">
        <w:rPr>
          <w:rFonts w:ascii="Arial" w:eastAsiaTheme="minorEastAsia" w:hAnsi="Arial" w:cs="Arial"/>
          <w:color w:val="000000" w:themeColor="text1"/>
          <w:kern w:val="0"/>
          <w:szCs w:val="24"/>
          <w:lang w:val="en-GB"/>
        </w:rPr>
        <w:t xml:space="preserve">originally diagnosed </w:t>
      </w:r>
      <w:r w:rsidR="00C85EF7" w:rsidRPr="00181CF2">
        <w:rPr>
          <w:rFonts w:ascii="Arial" w:eastAsiaTheme="minorEastAsia" w:hAnsi="Arial" w:cs="Arial"/>
          <w:color w:val="000000" w:themeColor="text1"/>
          <w:kern w:val="0"/>
          <w:szCs w:val="24"/>
          <w:lang w:val="en-GB"/>
        </w:rPr>
        <w:t>as</w:t>
      </w:r>
      <w:r w:rsidR="00001A8C" w:rsidRPr="0028108F">
        <w:rPr>
          <w:rFonts w:ascii="Arial" w:eastAsiaTheme="minorEastAsia" w:hAnsi="Arial" w:cs="Arial"/>
          <w:color w:val="000000" w:themeColor="text1"/>
          <w:kern w:val="0"/>
          <w:szCs w:val="24"/>
          <w:lang w:val="en-GB"/>
        </w:rPr>
        <w:t xml:space="preserve"> having</w:t>
      </w:r>
      <w:r w:rsidR="007467EC" w:rsidRPr="0028108F">
        <w:rPr>
          <w:rFonts w:ascii="Arial" w:eastAsiaTheme="minorEastAsia" w:hAnsi="Arial" w:cs="Arial"/>
          <w:color w:val="000000" w:themeColor="text1"/>
          <w:kern w:val="0"/>
          <w:szCs w:val="24"/>
          <w:lang w:val="en-GB"/>
        </w:rPr>
        <w:t xml:space="preserve"> gender dysphoria will grow up to be cisgender and gay or bisexual.</w:t>
      </w:r>
      <w:r w:rsidR="007467EC" w:rsidRPr="00181CF2">
        <w:rPr>
          <w:rStyle w:val="FootnoteReference"/>
          <w:rFonts w:ascii="Arial" w:eastAsiaTheme="minorEastAsia" w:hAnsi="Arial" w:cs="Arial"/>
          <w:color w:val="000000" w:themeColor="text1"/>
          <w:kern w:val="0"/>
          <w:szCs w:val="24"/>
          <w:lang w:val="en-GB"/>
        </w:rPr>
        <w:footnoteReference w:id="481"/>
      </w:r>
      <w:r w:rsidR="007467EC" w:rsidRPr="0028108F">
        <w:rPr>
          <w:rFonts w:ascii="Arial" w:eastAsiaTheme="minorEastAsia" w:hAnsi="Arial" w:cs="Arial"/>
          <w:color w:val="000000" w:themeColor="text1"/>
          <w:kern w:val="0"/>
          <w:szCs w:val="24"/>
          <w:lang w:val="en-GB"/>
        </w:rPr>
        <w:t xml:space="preserve">  Although a reason for this</w:t>
      </w:r>
      <w:r w:rsidR="00A35F18" w:rsidRPr="00181CF2">
        <w:rPr>
          <w:rFonts w:ascii="Arial" w:eastAsiaTheme="minorEastAsia" w:hAnsi="Arial" w:cs="Arial"/>
          <w:color w:val="000000" w:themeColor="text1"/>
          <w:kern w:val="0"/>
          <w:szCs w:val="24"/>
          <w:lang w:val="en-GB"/>
        </w:rPr>
        <w:t xml:space="preserve"> was not found</w:t>
      </w:r>
      <w:r w:rsidR="007467EC" w:rsidRPr="0028108F">
        <w:rPr>
          <w:rFonts w:ascii="Arial" w:eastAsiaTheme="minorEastAsia" w:hAnsi="Arial" w:cs="Arial"/>
          <w:color w:val="000000" w:themeColor="text1"/>
          <w:kern w:val="0"/>
          <w:szCs w:val="24"/>
          <w:lang w:val="en-GB"/>
        </w:rPr>
        <w:t xml:space="preserve">, it appeared that in some </w:t>
      </w:r>
      <w:r w:rsidR="00C85EF7" w:rsidRPr="00181CF2">
        <w:rPr>
          <w:rFonts w:ascii="Arial" w:eastAsiaTheme="minorEastAsia" w:hAnsi="Arial" w:cs="Arial"/>
          <w:color w:val="000000" w:themeColor="text1"/>
          <w:kern w:val="0"/>
          <w:szCs w:val="24"/>
          <w:lang w:val="en-GB"/>
        </w:rPr>
        <w:t>children</w:t>
      </w:r>
      <w:r w:rsidR="007467EC" w:rsidRPr="0028108F">
        <w:rPr>
          <w:rFonts w:ascii="Arial" w:eastAsiaTheme="minorEastAsia" w:hAnsi="Arial" w:cs="Arial"/>
          <w:color w:val="000000" w:themeColor="text1"/>
          <w:kern w:val="0"/>
          <w:szCs w:val="24"/>
          <w:lang w:val="en-GB"/>
        </w:rPr>
        <w:t xml:space="preserve">, </w:t>
      </w:r>
      <w:r w:rsidR="007467EC" w:rsidRPr="00181CF2">
        <w:rPr>
          <w:rFonts w:ascii="Arial" w:hAnsi="Arial" w:cs="Arial"/>
          <w:color w:val="000000" w:themeColor="text1"/>
          <w:szCs w:val="24"/>
          <w:lang w:val="en-GB"/>
        </w:rPr>
        <w:t xml:space="preserve">nascent homosexuality or bisexuality manifests itself as gender dysphoria. </w:t>
      </w:r>
      <w:r w:rsidR="007467EC" w:rsidRPr="0028108F">
        <w:rPr>
          <w:rFonts w:ascii="Arial" w:hAnsi="Arial" w:cs="Arial"/>
          <w:color w:val="000000" w:themeColor="text1"/>
          <w:szCs w:val="24"/>
          <w:lang w:val="en-GB"/>
        </w:rPr>
        <w:t xml:space="preserve"> </w:t>
      </w:r>
      <w:r w:rsidR="00A35F18" w:rsidRPr="00181CF2">
        <w:rPr>
          <w:rFonts w:ascii="Arial" w:hAnsi="Arial" w:cs="Arial"/>
          <w:color w:val="000000" w:themeColor="text1"/>
          <w:szCs w:val="24"/>
          <w:lang w:val="en-GB"/>
        </w:rPr>
        <w:t xml:space="preserve">The article suggested that, </w:t>
      </w:r>
      <w:r w:rsidR="00A35F18" w:rsidRPr="0028108F">
        <w:rPr>
          <w:rFonts w:ascii="Arial" w:hAnsi="Arial" w:cs="Arial"/>
          <w:color w:val="000000" w:themeColor="text1"/>
          <w:szCs w:val="24"/>
          <w:lang w:val="en-GB"/>
        </w:rPr>
        <w:t>i</w:t>
      </w:r>
      <w:r w:rsidR="007467EC" w:rsidRPr="0028108F">
        <w:rPr>
          <w:rFonts w:ascii="Arial" w:hAnsi="Arial" w:cs="Arial"/>
          <w:color w:val="000000" w:themeColor="text1"/>
          <w:szCs w:val="24"/>
          <w:lang w:val="en-GB"/>
        </w:rPr>
        <w:t xml:space="preserve">n </w:t>
      </w:r>
      <w:r w:rsidR="00A35F18" w:rsidRPr="0028108F">
        <w:rPr>
          <w:rFonts w:ascii="Arial" w:hAnsi="Arial" w:cs="Arial"/>
          <w:color w:val="000000" w:themeColor="text1"/>
          <w:szCs w:val="24"/>
          <w:lang w:val="en-GB"/>
        </w:rPr>
        <w:t xml:space="preserve">the case of </w:t>
      </w:r>
      <w:r w:rsidR="007467EC" w:rsidRPr="0028108F">
        <w:rPr>
          <w:rFonts w:ascii="Arial" w:hAnsi="Arial" w:cs="Arial"/>
          <w:color w:val="000000" w:themeColor="text1"/>
          <w:szCs w:val="24"/>
          <w:lang w:val="en-GB"/>
        </w:rPr>
        <w:t>other</w:t>
      </w:r>
      <w:r w:rsidR="00A35F18" w:rsidRPr="0028108F">
        <w:rPr>
          <w:rFonts w:ascii="Arial" w:hAnsi="Arial" w:cs="Arial"/>
          <w:color w:val="000000" w:themeColor="text1"/>
          <w:szCs w:val="24"/>
          <w:lang w:val="en-GB"/>
        </w:rPr>
        <w:t xml:space="preserve"> children</w:t>
      </w:r>
      <w:r w:rsidR="007467EC" w:rsidRPr="0028108F">
        <w:rPr>
          <w:rFonts w:ascii="Arial" w:hAnsi="Arial" w:cs="Arial"/>
          <w:color w:val="000000" w:themeColor="text1"/>
          <w:szCs w:val="24"/>
          <w:lang w:val="en-GB"/>
        </w:rPr>
        <w:t xml:space="preserve">, gender dysphoria can arise as a result of some sort of trauma or other unresolved psychological issue, and </w:t>
      </w:r>
      <w:r w:rsidR="00A35F18" w:rsidRPr="0028108F">
        <w:rPr>
          <w:rFonts w:ascii="Arial" w:hAnsi="Arial" w:cs="Arial"/>
          <w:color w:val="000000" w:themeColor="text1"/>
          <w:szCs w:val="24"/>
          <w:lang w:val="en-GB"/>
        </w:rPr>
        <w:t xml:space="preserve">may </w:t>
      </w:r>
      <w:r w:rsidR="007467EC" w:rsidRPr="0028108F">
        <w:rPr>
          <w:rFonts w:ascii="Arial" w:hAnsi="Arial" w:cs="Arial"/>
          <w:color w:val="000000" w:themeColor="text1"/>
          <w:szCs w:val="24"/>
          <w:lang w:val="en-GB"/>
        </w:rPr>
        <w:t xml:space="preserve">go away either with time or counselling. </w:t>
      </w:r>
      <w:r w:rsidR="003D261A" w:rsidRPr="0028108F">
        <w:rPr>
          <w:rFonts w:ascii="Arial" w:hAnsi="Arial" w:cs="Arial"/>
          <w:color w:val="000000" w:themeColor="text1"/>
          <w:szCs w:val="24"/>
          <w:lang w:val="en-GB"/>
        </w:rPr>
        <w:t xml:space="preserve"> </w:t>
      </w:r>
      <w:r w:rsidR="00C85EF7" w:rsidRPr="00181CF2">
        <w:rPr>
          <w:rFonts w:ascii="Arial" w:hAnsi="Arial" w:cs="Arial"/>
          <w:color w:val="000000" w:themeColor="text1"/>
          <w:szCs w:val="24"/>
          <w:lang w:val="en-GB"/>
        </w:rPr>
        <w:t xml:space="preserve">The article </w:t>
      </w:r>
      <w:r w:rsidR="003D261A" w:rsidRPr="0028108F">
        <w:rPr>
          <w:rFonts w:ascii="Arial" w:hAnsi="Arial" w:cs="Arial"/>
          <w:color w:val="000000" w:themeColor="text1"/>
          <w:szCs w:val="24"/>
          <w:lang w:val="en-GB"/>
        </w:rPr>
        <w:t xml:space="preserve">also cited two </w:t>
      </w:r>
      <w:r w:rsidR="00F86558" w:rsidRPr="0028108F">
        <w:rPr>
          <w:rFonts w:ascii="Arial" w:hAnsi="Arial" w:cs="Arial"/>
          <w:color w:val="000000" w:themeColor="text1"/>
          <w:szCs w:val="24"/>
          <w:lang w:val="en-GB"/>
        </w:rPr>
        <w:t>research papers</w:t>
      </w:r>
      <w:r w:rsidR="003D261A" w:rsidRPr="0028108F">
        <w:rPr>
          <w:rFonts w:ascii="Arial" w:hAnsi="Arial" w:cs="Arial"/>
          <w:color w:val="000000" w:themeColor="text1"/>
          <w:szCs w:val="24"/>
          <w:lang w:val="en-GB"/>
        </w:rPr>
        <w:t xml:space="preserve"> </w:t>
      </w:r>
      <w:r w:rsidR="00F86558" w:rsidRPr="0028108F">
        <w:rPr>
          <w:rFonts w:ascii="Arial" w:hAnsi="Arial" w:cs="Arial"/>
          <w:color w:val="000000" w:themeColor="text1"/>
          <w:szCs w:val="24"/>
          <w:lang w:val="en-GB"/>
        </w:rPr>
        <w:t xml:space="preserve">(2012 and 2013) </w:t>
      </w:r>
      <w:r w:rsidR="003D261A" w:rsidRPr="0028108F">
        <w:rPr>
          <w:rFonts w:ascii="Arial" w:hAnsi="Arial" w:cs="Arial"/>
          <w:color w:val="000000" w:themeColor="text1"/>
          <w:szCs w:val="24"/>
          <w:lang w:val="en-GB"/>
        </w:rPr>
        <w:t xml:space="preserve">by specialists in the area of gender dysphoria </w:t>
      </w:r>
      <w:r w:rsidR="00F86558" w:rsidRPr="0028108F">
        <w:rPr>
          <w:rFonts w:ascii="Arial" w:hAnsi="Arial" w:cs="Arial"/>
          <w:color w:val="000000" w:themeColor="text1"/>
          <w:szCs w:val="24"/>
          <w:lang w:val="en-GB"/>
        </w:rPr>
        <w:t xml:space="preserve">and gender identity disorder </w:t>
      </w:r>
      <w:r w:rsidR="003D261A" w:rsidRPr="0028108F">
        <w:rPr>
          <w:rFonts w:ascii="Arial" w:hAnsi="Arial" w:cs="Arial"/>
          <w:color w:val="000000" w:themeColor="text1"/>
          <w:szCs w:val="24"/>
          <w:lang w:val="en-GB"/>
        </w:rPr>
        <w:t xml:space="preserve">which </w:t>
      </w:r>
      <w:r w:rsidR="005F4488" w:rsidRPr="00181CF2">
        <w:rPr>
          <w:rFonts w:ascii="Arial" w:hAnsi="Arial" w:cs="Arial"/>
          <w:color w:val="000000" w:themeColor="text1"/>
          <w:szCs w:val="24"/>
          <w:lang w:val="en-GB"/>
        </w:rPr>
        <w:t xml:space="preserve">appeared to </w:t>
      </w:r>
      <w:r w:rsidR="003D261A" w:rsidRPr="0028108F">
        <w:rPr>
          <w:rFonts w:ascii="Arial" w:hAnsi="Arial" w:cs="Arial"/>
          <w:color w:val="000000" w:themeColor="text1"/>
          <w:szCs w:val="24"/>
          <w:lang w:val="en-GB"/>
        </w:rPr>
        <w:t>support</w:t>
      </w:r>
      <w:r w:rsidR="005F4488" w:rsidRPr="00181CF2">
        <w:rPr>
          <w:rFonts w:ascii="Arial" w:hAnsi="Arial" w:cs="Arial"/>
          <w:color w:val="000000" w:themeColor="text1"/>
          <w:szCs w:val="24"/>
          <w:lang w:val="en-GB"/>
        </w:rPr>
        <w:t xml:space="preserve"> </w:t>
      </w:r>
      <w:r w:rsidR="00C85EF7" w:rsidRPr="00C57CE1">
        <w:rPr>
          <w:rFonts w:ascii="Arial" w:hAnsi="Arial" w:cs="Arial"/>
          <w:color w:val="000000" w:themeColor="text1"/>
          <w:szCs w:val="24"/>
          <w:lang w:val="en-GB"/>
        </w:rPr>
        <w:t>these</w:t>
      </w:r>
      <w:r w:rsidR="003D261A" w:rsidRPr="0028108F">
        <w:rPr>
          <w:rFonts w:ascii="Arial" w:hAnsi="Arial" w:cs="Arial"/>
          <w:color w:val="000000" w:themeColor="text1"/>
          <w:szCs w:val="24"/>
          <w:lang w:val="en-GB"/>
        </w:rPr>
        <w:t xml:space="preserve"> observations.</w:t>
      </w:r>
      <w:r w:rsidR="003D261A" w:rsidRPr="00181CF2">
        <w:rPr>
          <w:rStyle w:val="FootnoteReference"/>
          <w:rFonts w:ascii="Arial" w:hAnsi="Arial" w:cs="Arial"/>
          <w:color w:val="000000" w:themeColor="text1"/>
          <w:szCs w:val="24"/>
          <w:lang w:val="en-GB"/>
        </w:rPr>
        <w:footnoteReference w:id="482"/>
      </w:r>
      <w:r w:rsidR="003D261A" w:rsidRPr="0028108F">
        <w:rPr>
          <w:rFonts w:ascii="Arial" w:hAnsi="Arial" w:cs="Arial"/>
          <w:color w:val="000000" w:themeColor="text1"/>
          <w:szCs w:val="24"/>
          <w:lang w:val="en-GB"/>
        </w:rPr>
        <w:t xml:space="preserve">  </w:t>
      </w:r>
      <w:r w:rsidR="00A35F18" w:rsidRPr="00181CF2">
        <w:rPr>
          <w:rFonts w:ascii="Arial" w:hAnsi="Arial" w:cs="Arial"/>
          <w:color w:val="000000" w:themeColor="text1"/>
          <w:szCs w:val="24"/>
          <w:lang w:val="en-GB"/>
        </w:rPr>
        <w:t>R</w:t>
      </w:r>
      <w:r w:rsidR="00BE4B3F" w:rsidRPr="0028108F">
        <w:rPr>
          <w:rFonts w:ascii="Arial" w:hAnsi="Arial" w:cs="Arial"/>
          <w:color w:val="000000" w:themeColor="text1"/>
          <w:szCs w:val="24"/>
          <w:lang w:val="en-GB"/>
        </w:rPr>
        <w:t>esearch by Dr</w:t>
      </w:r>
      <w:r w:rsidR="00001A8C" w:rsidRPr="0028108F">
        <w:rPr>
          <w:rFonts w:ascii="Arial" w:hAnsi="Arial" w:cs="Arial"/>
          <w:color w:val="000000" w:themeColor="text1"/>
          <w:szCs w:val="24"/>
          <w:lang w:val="en-GB"/>
        </w:rPr>
        <w:t xml:space="preserve"> James Cantor, a Canadian </w:t>
      </w:r>
      <w:hyperlink r:id="rId22" w:tooltip="Clinical psychology" w:history="1">
        <w:r w:rsidR="00001A8C" w:rsidRPr="0028108F">
          <w:rPr>
            <w:rFonts w:ascii="Arial" w:hAnsi="Arial" w:cs="Arial"/>
            <w:color w:val="000000" w:themeColor="text1"/>
            <w:szCs w:val="24"/>
            <w:lang w:val="en-GB"/>
          </w:rPr>
          <w:t>clinical psychologist</w:t>
        </w:r>
      </w:hyperlink>
      <w:r w:rsidR="00001A8C" w:rsidRPr="0028108F">
        <w:rPr>
          <w:rFonts w:ascii="Arial" w:hAnsi="Arial" w:cs="Arial"/>
          <w:color w:val="000000" w:themeColor="text1"/>
          <w:szCs w:val="24"/>
          <w:lang w:val="en-GB"/>
        </w:rPr>
        <w:t xml:space="preserve"> and </w:t>
      </w:r>
      <w:hyperlink r:id="rId23" w:tooltip="Sexologist" w:history="1">
        <w:r w:rsidR="00001A8C" w:rsidRPr="0028108F">
          <w:rPr>
            <w:rFonts w:ascii="Arial" w:hAnsi="Arial" w:cs="Arial"/>
            <w:color w:val="000000" w:themeColor="text1"/>
            <w:szCs w:val="24"/>
            <w:lang w:val="en-GB"/>
          </w:rPr>
          <w:t>sexologist</w:t>
        </w:r>
      </w:hyperlink>
      <w:r w:rsidR="00001A8C" w:rsidRPr="0028108F">
        <w:rPr>
          <w:rFonts w:ascii="Arial" w:hAnsi="Arial" w:cs="Arial"/>
          <w:color w:val="000000" w:themeColor="text1"/>
          <w:szCs w:val="24"/>
          <w:lang w:val="en-GB"/>
        </w:rPr>
        <w:t xml:space="preserve">, </w:t>
      </w:r>
      <w:r w:rsidR="00A35F18" w:rsidRPr="00181CF2">
        <w:rPr>
          <w:rFonts w:ascii="Arial" w:hAnsi="Arial" w:cs="Arial"/>
          <w:color w:val="000000" w:themeColor="text1"/>
          <w:szCs w:val="24"/>
          <w:lang w:val="en-GB"/>
        </w:rPr>
        <w:t xml:space="preserve">noted </w:t>
      </w:r>
      <w:r w:rsidR="00A35F18" w:rsidRPr="00C57CE1">
        <w:rPr>
          <w:rFonts w:ascii="Arial" w:hAnsi="Arial" w:cs="Arial"/>
          <w:color w:val="000000" w:themeColor="text1"/>
          <w:szCs w:val="24"/>
          <w:lang w:val="en-GB"/>
        </w:rPr>
        <w:t xml:space="preserve">that </w:t>
      </w:r>
      <w:r w:rsidR="00001A8C" w:rsidRPr="0028108F">
        <w:rPr>
          <w:rFonts w:ascii="Arial" w:hAnsi="Arial" w:cs="Arial"/>
          <w:color w:val="000000" w:themeColor="text1"/>
          <w:szCs w:val="24"/>
          <w:lang w:val="en-GB"/>
        </w:rPr>
        <w:t>since 1972</w:t>
      </w:r>
      <w:r w:rsidR="00A35F18" w:rsidRPr="00181CF2">
        <w:rPr>
          <w:rFonts w:ascii="Arial" w:hAnsi="Arial" w:cs="Arial"/>
          <w:color w:val="000000" w:themeColor="text1"/>
          <w:szCs w:val="24"/>
          <w:lang w:val="en-GB"/>
        </w:rPr>
        <w:t>,</w:t>
      </w:r>
      <w:r w:rsidR="00001A8C" w:rsidRPr="0028108F">
        <w:rPr>
          <w:rFonts w:ascii="Arial" w:hAnsi="Arial" w:cs="Arial"/>
          <w:color w:val="000000" w:themeColor="text1"/>
          <w:szCs w:val="24"/>
          <w:lang w:val="en-GB"/>
        </w:rPr>
        <w:t xml:space="preserve"> there have been three large</w:t>
      </w:r>
      <w:r w:rsidR="002849DB" w:rsidRPr="00181CF2">
        <w:rPr>
          <w:rFonts w:ascii="Arial" w:hAnsi="Arial" w:cs="Arial"/>
          <w:color w:val="000000" w:themeColor="text1"/>
          <w:szCs w:val="24"/>
          <w:lang w:val="en-GB"/>
        </w:rPr>
        <w:t>-</w:t>
      </w:r>
      <w:r w:rsidR="00001A8C" w:rsidRPr="0028108F">
        <w:rPr>
          <w:rFonts w:ascii="Arial" w:hAnsi="Arial" w:cs="Arial"/>
          <w:color w:val="000000" w:themeColor="text1"/>
          <w:szCs w:val="24"/>
          <w:lang w:val="en-GB"/>
        </w:rPr>
        <w:t xml:space="preserve">scale studies and </w:t>
      </w:r>
      <w:r w:rsidR="00A35F18" w:rsidRPr="00181CF2">
        <w:rPr>
          <w:rFonts w:ascii="Arial" w:hAnsi="Arial" w:cs="Arial"/>
          <w:color w:val="000000" w:themeColor="text1"/>
          <w:szCs w:val="24"/>
          <w:lang w:val="en-GB"/>
        </w:rPr>
        <w:t>eight</w:t>
      </w:r>
      <w:r w:rsidR="00001A8C" w:rsidRPr="0028108F">
        <w:rPr>
          <w:rFonts w:ascii="Arial" w:hAnsi="Arial" w:cs="Arial"/>
          <w:color w:val="000000" w:themeColor="text1"/>
          <w:szCs w:val="24"/>
          <w:lang w:val="en-GB"/>
        </w:rPr>
        <w:t xml:space="preserve"> smaller ones on </w:t>
      </w:r>
      <w:r w:rsidR="00A35F18" w:rsidRPr="0028108F">
        <w:rPr>
          <w:rFonts w:ascii="Arial" w:hAnsi="Arial" w:cs="Arial"/>
          <w:i/>
          <w:color w:val="000000" w:themeColor="text1"/>
          <w:szCs w:val="24"/>
          <w:lang w:val="en-GB"/>
        </w:rPr>
        <w:t>“</w:t>
      </w:r>
      <w:r w:rsidR="002129AB" w:rsidRPr="0028108F">
        <w:rPr>
          <w:rFonts w:ascii="Arial" w:hAnsi="Arial" w:cs="Arial"/>
          <w:i/>
          <w:color w:val="000000" w:themeColor="text1"/>
          <w:szCs w:val="24"/>
          <w:lang w:val="en-GB"/>
        </w:rPr>
        <w:t>trans-kids</w:t>
      </w:r>
      <w:r w:rsidR="00A35F18" w:rsidRPr="0028108F">
        <w:rPr>
          <w:rFonts w:ascii="Arial" w:hAnsi="Arial" w:cs="Arial"/>
          <w:i/>
          <w:color w:val="000000" w:themeColor="text1"/>
          <w:szCs w:val="24"/>
          <w:lang w:val="en-GB"/>
        </w:rPr>
        <w:t>”</w:t>
      </w:r>
      <w:r w:rsidR="002129AB" w:rsidRPr="0028108F">
        <w:rPr>
          <w:rFonts w:ascii="Arial" w:hAnsi="Arial" w:cs="Arial"/>
          <w:color w:val="000000" w:themeColor="text1"/>
          <w:szCs w:val="24"/>
          <w:lang w:val="en-GB"/>
        </w:rPr>
        <w:t>.</w:t>
      </w:r>
      <w:r w:rsidR="002129AB" w:rsidRPr="00181CF2">
        <w:rPr>
          <w:rStyle w:val="FootnoteReference"/>
          <w:rFonts w:ascii="Arial" w:hAnsi="Arial" w:cs="Arial"/>
          <w:color w:val="000000" w:themeColor="text1"/>
          <w:szCs w:val="24"/>
          <w:lang w:val="en-GB"/>
        </w:rPr>
        <w:footnoteReference w:id="483"/>
      </w:r>
      <w:r w:rsidR="002129AB" w:rsidRPr="0028108F">
        <w:rPr>
          <w:rFonts w:ascii="Arial" w:hAnsi="Arial" w:cs="Arial"/>
          <w:color w:val="000000" w:themeColor="text1"/>
          <w:szCs w:val="24"/>
          <w:lang w:val="en-GB"/>
        </w:rPr>
        <w:t xml:space="preserve">  </w:t>
      </w:r>
      <w:r w:rsidR="005F4488" w:rsidRPr="00181CF2">
        <w:rPr>
          <w:rFonts w:ascii="Arial" w:hAnsi="Arial" w:cs="Arial"/>
          <w:color w:val="000000" w:themeColor="text1"/>
          <w:szCs w:val="24"/>
          <w:lang w:val="en-GB"/>
        </w:rPr>
        <w:t>T</w:t>
      </w:r>
      <w:r w:rsidR="002129AB" w:rsidRPr="0028108F">
        <w:rPr>
          <w:rFonts w:ascii="Arial" w:hAnsi="Arial" w:cs="Arial"/>
          <w:color w:val="000000" w:themeColor="text1"/>
          <w:szCs w:val="24"/>
          <w:lang w:val="en-GB"/>
        </w:rPr>
        <w:t xml:space="preserve">hese studies </w:t>
      </w:r>
      <w:r w:rsidR="005F4488" w:rsidRPr="00181CF2">
        <w:rPr>
          <w:rFonts w:ascii="Arial" w:hAnsi="Arial" w:cs="Arial"/>
          <w:color w:val="000000" w:themeColor="text1"/>
          <w:szCs w:val="24"/>
          <w:lang w:val="en-GB"/>
        </w:rPr>
        <w:t xml:space="preserve">apparently demonstrated </w:t>
      </w:r>
      <w:r w:rsidR="002129AB" w:rsidRPr="0028108F">
        <w:rPr>
          <w:rFonts w:ascii="Arial" w:hAnsi="Arial" w:cs="Arial"/>
          <w:color w:val="000000" w:themeColor="text1"/>
          <w:szCs w:val="24"/>
          <w:lang w:val="en-GB"/>
        </w:rPr>
        <w:t xml:space="preserve">that </w:t>
      </w:r>
      <w:r w:rsidR="00001A8C" w:rsidRPr="0028108F">
        <w:rPr>
          <w:rFonts w:ascii="Arial" w:hAnsi="Arial" w:cs="Arial"/>
          <w:color w:val="000000" w:themeColor="text1"/>
          <w:szCs w:val="24"/>
          <w:lang w:val="en-GB"/>
        </w:rPr>
        <w:t>despite the differences in country, culture, decade, and follow-up length and method, a similar conclusion</w:t>
      </w:r>
      <w:r w:rsidR="005F4488" w:rsidRPr="00181CF2">
        <w:rPr>
          <w:rFonts w:ascii="Arial" w:hAnsi="Arial" w:cs="Arial"/>
          <w:color w:val="000000" w:themeColor="text1"/>
          <w:szCs w:val="24"/>
          <w:lang w:val="en-GB"/>
        </w:rPr>
        <w:t xml:space="preserve"> was reached</w:t>
      </w:r>
      <w:r w:rsidR="00001A8C" w:rsidRPr="0028108F">
        <w:rPr>
          <w:rFonts w:ascii="Arial" w:hAnsi="Arial" w:cs="Arial"/>
          <w:color w:val="000000" w:themeColor="text1"/>
          <w:szCs w:val="24"/>
          <w:lang w:val="en-GB"/>
        </w:rPr>
        <w:t xml:space="preserve">: </w:t>
      </w:r>
      <w:r w:rsidR="005F4488" w:rsidRPr="00181CF2">
        <w:rPr>
          <w:rFonts w:ascii="Arial" w:hAnsi="Arial" w:cs="Arial"/>
          <w:color w:val="000000" w:themeColor="text1"/>
          <w:szCs w:val="24"/>
          <w:lang w:val="en-GB"/>
        </w:rPr>
        <w:t>o</w:t>
      </w:r>
      <w:r w:rsidR="00001A8C" w:rsidRPr="0028108F">
        <w:rPr>
          <w:rFonts w:ascii="Arial" w:hAnsi="Arial" w:cs="Arial"/>
          <w:color w:val="000000" w:themeColor="text1"/>
          <w:szCs w:val="24"/>
          <w:lang w:val="en-GB"/>
        </w:rPr>
        <w:t>nly very few trans-kids still want</w:t>
      </w:r>
      <w:r w:rsidR="005F4488" w:rsidRPr="00181CF2">
        <w:rPr>
          <w:rFonts w:ascii="Arial" w:hAnsi="Arial" w:cs="Arial"/>
          <w:color w:val="000000" w:themeColor="text1"/>
          <w:szCs w:val="24"/>
          <w:lang w:val="en-GB"/>
        </w:rPr>
        <w:t>ed</w:t>
      </w:r>
      <w:r w:rsidR="00001A8C" w:rsidRPr="0028108F">
        <w:rPr>
          <w:rFonts w:ascii="Arial" w:hAnsi="Arial" w:cs="Arial"/>
          <w:color w:val="000000" w:themeColor="text1"/>
          <w:szCs w:val="24"/>
          <w:lang w:val="en-GB"/>
        </w:rPr>
        <w:t xml:space="preserve"> to transition by the time they </w:t>
      </w:r>
      <w:r w:rsidR="005F4488" w:rsidRPr="00181CF2">
        <w:rPr>
          <w:rFonts w:ascii="Arial" w:hAnsi="Arial" w:cs="Arial"/>
          <w:color w:val="000000" w:themeColor="text1"/>
          <w:szCs w:val="24"/>
          <w:lang w:val="en-GB"/>
        </w:rPr>
        <w:t>we</w:t>
      </w:r>
      <w:r w:rsidR="00001A8C" w:rsidRPr="0028108F">
        <w:rPr>
          <w:rFonts w:ascii="Arial" w:hAnsi="Arial" w:cs="Arial"/>
          <w:color w:val="000000" w:themeColor="text1"/>
          <w:szCs w:val="24"/>
          <w:lang w:val="en-GB"/>
        </w:rPr>
        <w:t>re adults</w:t>
      </w:r>
      <w:r w:rsidR="005F4488" w:rsidRPr="00181CF2">
        <w:rPr>
          <w:rFonts w:ascii="Arial" w:hAnsi="Arial" w:cs="Arial"/>
          <w:color w:val="000000" w:themeColor="text1"/>
          <w:szCs w:val="24"/>
          <w:lang w:val="en-GB"/>
        </w:rPr>
        <w:t>, and</w:t>
      </w:r>
      <w:r w:rsidR="00001A8C" w:rsidRPr="0028108F">
        <w:rPr>
          <w:rFonts w:ascii="Arial" w:hAnsi="Arial" w:cs="Arial"/>
          <w:color w:val="000000" w:themeColor="text1"/>
          <w:szCs w:val="24"/>
          <w:lang w:val="en-GB"/>
        </w:rPr>
        <w:t xml:space="preserve"> </w:t>
      </w:r>
      <w:r w:rsidR="005F4488" w:rsidRPr="00181CF2">
        <w:rPr>
          <w:rFonts w:ascii="Arial" w:hAnsi="Arial" w:cs="Arial"/>
          <w:color w:val="000000" w:themeColor="text1"/>
          <w:szCs w:val="24"/>
          <w:lang w:val="en-GB"/>
        </w:rPr>
        <w:t>many</w:t>
      </w:r>
      <w:r w:rsidR="00001A8C" w:rsidRPr="0028108F">
        <w:rPr>
          <w:rFonts w:ascii="Arial" w:hAnsi="Arial" w:cs="Arial"/>
          <w:color w:val="000000" w:themeColor="text1"/>
          <w:szCs w:val="24"/>
          <w:lang w:val="en-GB"/>
        </w:rPr>
        <w:t xml:space="preserve"> turn</w:t>
      </w:r>
      <w:r w:rsidR="002849DB" w:rsidRPr="00181CF2">
        <w:rPr>
          <w:rFonts w:ascii="Arial" w:hAnsi="Arial" w:cs="Arial"/>
          <w:color w:val="000000" w:themeColor="text1"/>
          <w:szCs w:val="24"/>
          <w:lang w:val="en-GB"/>
        </w:rPr>
        <w:t>ed</w:t>
      </w:r>
      <w:r w:rsidR="00001A8C" w:rsidRPr="0028108F">
        <w:rPr>
          <w:rFonts w:ascii="Arial" w:hAnsi="Arial" w:cs="Arial"/>
          <w:color w:val="000000" w:themeColor="text1"/>
          <w:szCs w:val="24"/>
          <w:lang w:val="en-GB"/>
        </w:rPr>
        <w:t xml:space="preserve"> out</w:t>
      </w:r>
      <w:r w:rsidR="005F4488" w:rsidRPr="00181CF2">
        <w:rPr>
          <w:rFonts w:ascii="Arial" w:hAnsi="Arial" w:cs="Arial"/>
          <w:color w:val="000000" w:themeColor="text1"/>
          <w:szCs w:val="24"/>
          <w:lang w:val="en-GB"/>
        </w:rPr>
        <w:t>, instead,</w:t>
      </w:r>
      <w:r w:rsidR="00001A8C" w:rsidRPr="0028108F">
        <w:rPr>
          <w:rFonts w:ascii="Arial" w:hAnsi="Arial" w:cs="Arial"/>
          <w:color w:val="000000" w:themeColor="text1"/>
          <w:szCs w:val="24"/>
          <w:lang w:val="en-GB"/>
        </w:rPr>
        <w:t xml:space="preserve"> to be gay or lesbian </w:t>
      </w:r>
      <w:r w:rsidR="002849DB" w:rsidRPr="00181CF2">
        <w:rPr>
          <w:rFonts w:ascii="Arial" w:hAnsi="Arial" w:cs="Arial"/>
          <w:color w:val="000000" w:themeColor="text1"/>
          <w:szCs w:val="24"/>
          <w:lang w:val="en-GB"/>
        </w:rPr>
        <w:t>persons</w:t>
      </w:r>
      <w:r w:rsidR="00001A8C" w:rsidRPr="0028108F">
        <w:rPr>
          <w:rFonts w:ascii="Arial" w:hAnsi="Arial" w:cs="Arial"/>
          <w:color w:val="000000" w:themeColor="text1"/>
          <w:szCs w:val="24"/>
          <w:lang w:val="en-GB"/>
        </w:rPr>
        <w:t xml:space="preserve">. </w:t>
      </w:r>
      <w:r w:rsidR="002129AB" w:rsidRPr="0028108F">
        <w:rPr>
          <w:rFonts w:ascii="Arial" w:hAnsi="Arial" w:cs="Arial"/>
          <w:color w:val="000000" w:themeColor="text1"/>
          <w:szCs w:val="24"/>
          <w:lang w:val="en-GB"/>
        </w:rPr>
        <w:t xml:space="preserve"> </w:t>
      </w:r>
      <w:r w:rsidR="00001A8C" w:rsidRPr="0028108F">
        <w:rPr>
          <w:rFonts w:ascii="Arial" w:hAnsi="Arial" w:cs="Arial"/>
          <w:color w:val="000000" w:themeColor="text1"/>
          <w:szCs w:val="24"/>
          <w:lang w:val="en-GB"/>
        </w:rPr>
        <w:t>The exact number</w:t>
      </w:r>
      <w:r w:rsidR="005F4488" w:rsidRPr="00181CF2">
        <w:rPr>
          <w:rFonts w:ascii="Arial" w:hAnsi="Arial" w:cs="Arial"/>
          <w:color w:val="000000" w:themeColor="text1"/>
          <w:szCs w:val="24"/>
          <w:lang w:val="en-GB"/>
        </w:rPr>
        <w:t>s</w:t>
      </w:r>
      <w:r w:rsidR="00001A8C" w:rsidRPr="0028108F">
        <w:rPr>
          <w:rFonts w:ascii="Arial" w:hAnsi="Arial" w:cs="Arial"/>
          <w:color w:val="000000" w:themeColor="text1"/>
          <w:szCs w:val="24"/>
          <w:lang w:val="en-GB"/>
        </w:rPr>
        <w:t xml:space="preserve"> varie</w:t>
      </w:r>
      <w:r w:rsidR="005F4488" w:rsidRPr="00181CF2">
        <w:rPr>
          <w:rFonts w:ascii="Arial" w:hAnsi="Arial" w:cs="Arial"/>
          <w:color w:val="000000" w:themeColor="text1"/>
          <w:szCs w:val="24"/>
          <w:lang w:val="en-GB"/>
        </w:rPr>
        <w:t>d</w:t>
      </w:r>
      <w:r w:rsidR="00001A8C" w:rsidRPr="0028108F">
        <w:rPr>
          <w:rFonts w:ascii="Arial" w:hAnsi="Arial" w:cs="Arial"/>
          <w:color w:val="000000" w:themeColor="text1"/>
          <w:szCs w:val="24"/>
          <w:lang w:val="en-GB"/>
        </w:rPr>
        <w:t xml:space="preserve"> by study, but </w:t>
      </w:r>
      <w:r w:rsidR="005F4488" w:rsidRPr="00181CF2">
        <w:rPr>
          <w:rFonts w:ascii="Arial" w:hAnsi="Arial" w:cs="Arial"/>
          <w:color w:val="000000" w:themeColor="text1"/>
          <w:szCs w:val="24"/>
          <w:lang w:val="en-GB"/>
        </w:rPr>
        <w:t>according to this research</w:t>
      </w:r>
      <w:r w:rsidR="00B2725E" w:rsidRPr="0028108F">
        <w:rPr>
          <w:rFonts w:ascii="Arial" w:hAnsi="Arial" w:cs="Arial"/>
          <w:color w:val="000000" w:themeColor="text1"/>
          <w:szCs w:val="24"/>
          <w:lang w:val="en-GB"/>
        </w:rPr>
        <w:t xml:space="preserve"> by Dr Cantor</w:t>
      </w:r>
      <w:r w:rsidR="005F4488" w:rsidRPr="00181CF2">
        <w:rPr>
          <w:rFonts w:ascii="Arial" w:hAnsi="Arial" w:cs="Arial"/>
          <w:color w:val="000000" w:themeColor="text1"/>
          <w:szCs w:val="24"/>
          <w:lang w:val="en-GB"/>
        </w:rPr>
        <w:t xml:space="preserve">, </w:t>
      </w:r>
      <w:r w:rsidR="00001A8C" w:rsidRPr="0028108F">
        <w:rPr>
          <w:rFonts w:ascii="Arial" w:hAnsi="Arial" w:cs="Arial"/>
          <w:color w:val="000000" w:themeColor="text1"/>
          <w:szCs w:val="24"/>
          <w:lang w:val="en-GB"/>
        </w:rPr>
        <w:t xml:space="preserve">roughly 60–90% of trans-kids </w:t>
      </w:r>
      <w:r w:rsidR="005F4488" w:rsidRPr="00181CF2">
        <w:rPr>
          <w:rFonts w:ascii="Arial" w:hAnsi="Arial" w:cs="Arial"/>
          <w:color w:val="000000" w:themeColor="text1"/>
          <w:szCs w:val="24"/>
          <w:lang w:val="en-GB"/>
        </w:rPr>
        <w:t>were</w:t>
      </w:r>
      <w:r w:rsidR="00001A8C" w:rsidRPr="0028108F">
        <w:rPr>
          <w:rFonts w:ascii="Arial" w:hAnsi="Arial" w:cs="Arial"/>
          <w:color w:val="000000" w:themeColor="text1"/>
          <w:szCs w:val="24"/>
          <w:lang w:val="en-GB"/>
        </w:rPr>
        <w:t xml:space="preserve"> no longer trans by adulthood</w:t>
      </w:r>
      <w:r w:rsidR="002129AB" w:rsidRPr="0028108F">
        <w:rPr>
          <w:rFonts w:ascii="Arial" w:hAnsi="Arial" w:cs="Arial"/>
          <w:color w:val="000000" w:themeColor="text1"/>
          <w:szCs w:val="24"/>
          <w:lang w:val="en-GB"/>
        </w:rPr>
        <w:t>.</w:t>
      </w:r>
      <w:r w:rsidR="00363352" w:rsidRPr="0028108F">
        <w:rPr>
          <w:rFonts w:ascii="Arial" w:hAnsi="Arial" w:cs="Arial"/>
          <w:color w:val="000000" w:themeColor="text1"/>
          <w:szCs w:val="24"/>
          <w:lang w:val="en-GB"/>
        </w:rPr>
        <w:t xml:space="preserve">  The A</w:t>
      </w:r>
      <w:r w:rsidR="00363352" w:rsidRPr="00181CF2">
        <w:rPr>
          <w:rFonts w:ascii="Arial" w:hAnsi="Arial" w:cs="Arial"/>
          <w:color w:val="000000" w:themeColor="text1"/>
          <w:szCs w:val="24"/>
          <w:lang w:val="en-GB"/>
        </w:rPr>
        <w:t>m</w:t>
      </w:r>
      <w:r w:rsidR="00363352" w:rsidRPr="0028108F">
        <w:rPr>
          <w:rFonts w:ascii="Arial" w:hAnsi="Arial" w:cs="Arial"/>
          <w:color w:val="000000" w:themeColor="text1"/>
          <w:szCs w:val="24"/>
          <w:lang w:val="en-GB"/>
        </w:rPr>
        <w:t>erican C</w:t>
      </w:r>
      <w:r w:rsidR="00363352" w:rsidRPr="00181CF2">
        <w:rPr>
          <w:rFonts w:ascii="Arial" w:hAnsi="Arial" w:cs="Arial"/>
          <w:color w:val="000000" w:themeColor="text1"/>
          <w:szCs w:val="24"/>
          <w:lang w:val="en-GB"/>
        </w:rPr>
        <w:t>o</w:t>
      </w:r>
      <w:r w:rsidR="00363352" w:rsidRPr="0028108F">
        <w:rPr>
          <w:rFonts w:ascii="Arial" w:hAnsi="Arial" w:cs="Arial"/>
          <w:color w:val="000000" w:themeColor="text1"/>
          <w:szCs w:val="24"/>
          <w:lang w:val="en-GB"/>
        </w:rPr>
        <w:t xml:space="preserve">llege of Pediatricians </w:t>
      </w:r>
      <w:r w:rsidR="00254B47" w:rsidRPr="00181CF2">
        <w:rPr>
          <w:rFonts w:ascii="Arial" w:hAnsi="Arial" w:cs="Arial"/>
          <w:color w:val="000000" w:themeColor="text1"/>
          <w:szCs w:val="24"/>
          <w:lang w:val="en-GB"/>
        </w:rPr>
        <w:t>expressed</w:t>
      </w:r>
      <w:r w:rsidR="00363352" w:rsidRPr="0028108F">
        <w:rPr>
          <w:rFonts w:ascii="Arial" w:hAnsi="Arial" w:cs="Arial"/>
          <w:color w:val="000000" w:themeColor="text1"/>
          <w:szCs w:val="24"/>
          <w:lang w:val="en-GB"/>
        </w:rPr>
        <w:t xml:space="preserve"> a similar view in their recent research paper.</w:t>
      </w:r>
      <w:r w:rsidR="00363352" w:rsidRPr="00181CF2">
        <w:rPr>
          <w:rStyle w:val="FootnoteReference"/>
          <w:rFonts w:ascii="Arial" w:hAnsi="Arial" w:cs="Arial"/>
          <w:szCs w:val="24"/>
          <w:lang w:val="en-GB"/>
        </w:rPr>
        <w:footnoteReference w:id="484"/>
      </w:r>
      <w:r w:rsidR="00001A8C" w:rsidRPr="0028108F">
        <w:rPr>
          <w:rFonts w:ascii="Arial" w:hAnsi="Arial" w:cs="Arial"/>
          <w:color w:val="000000" w:themeColor="text1"/>
          <w:szCs w:val="24"/>
          <w:lang w:val="en-GB"/>
        </w:rPr>
        <w:t xml:space="preserve"> </w:t>
      </w:r>
      <w:r w:rsidR="00363352" w:rsidRPr="0028108F">
        <w:rPr>
          <w:rFonts w:ascii="Arial" w:hAnsi="Arial" w:cs="Arial"/>
          <w:color w:val="000000" w:themeColor="text1"/>
          <w:szCs w:val="24"/>
          <w:lang w:val="en-GB"/>
        </w:rPr>
        <w:t xml:space="preserve"> </w:t>
      </w:r>
      <w:r w:rsidR="00841F62" w:rsidRPr="00C57CE1">
        <w:rPr>
          <w:rFonts w:ascii="Arial" w:hAnsi="Arial" w:cs="Arial"/>
          <w:color w:val="000000" w:themeColor="text1"/>
          <w:szCs w:val="24"/>
          <w:lang w:val="en-GB"/>
        </w:rPr>
        <w:t xml:space="preserve">On the basis of </w:t>
      </w:r>
      <w:r w:rsidR="00841F62" w:rsidRPr="0028108F">
        <w:rPr>
          <w:rFonts w:ascii="Arial" w:hAnsi="Arial" w:cs="Arial"/>
          <w:color w:val="000000" w:themeColor="text1"/>
          <w:szCs w:val="24"/>
          <w:lang w:val="en-GB"/>
        </w:rPr>
        <w:t>such</w:t>
      </w:r>
      <w:r w:rsidR="005F4488" w:rsidRPr="0028108F">
        <w:rPr>
          <w:rFonts w:ascii="Arial" w:hAnsi="Arial" w:cs="Arial"/>
          <w:color w:val="000000" w:themeColor="text1"/>
          <w:szCs w:val="24"/>
          <w:lang w:val="en-GB"/>
        </w:rPr>
        <w:t xml:space="preserve"> research,</w:t>
      </w:r>
      <w:r w:rsidR="007467EC" w:rsidRPr="0028108F">
        <w:rPr>
          <w:rFonts w:ascii="Arial" w:hAnsi="Arial" w:cs="Arial"/>
          <w:color w:val="000000" w:themeColor="text1"/>
          <w:szCs w:val="24"/>
          <w:lang w:val="en-GB"/>
        </w:rPr>
        <w:t xml:space="preserve"> </w:t>
      </w:r>
      <w:r w:rsidR="005F4488" w:rsidRPr="0028108F">
        <w:rPr>
          <w:rFonts w:ascii="Arial" w:hAnsi="Arial" w:cs="Arial"/>
          <w:color w:val="000000" w:themeColor="text1"/>
          <w:szCs w:val="24"/>
          <w:lang w:val="en-GB"/>
        </w:rPr>
        <w:t xml:space="preserve">it might </w:t>
      </w:r>
      <w:r w:rsidR="007467EC" w:rsidRPr="0028108F">
        <w:rPr>
          <w:rFonts w:ascii="Arial" w:hAnsi="Arial" w:cs="Arial"/>
          <w:color w:val="000000" w:themeColor="text1"/>
          <w:szCs w:val="24"/>
          <w:lang w:val="en-GB"/>
        </w:rPr>
        <w:t xml:space="preserve">be argued by some that given such complexity </w:t>
      </w:r>
      <w:r w:rsidR="005F4488" w:rsidRPr="0028108F">
        <w:rPr>
          <w:rFonts w:ascii="Arial" w:hAnsi="Arial" w:cs="Arial"/>
          <w:color w:val="000000" w:themeColor="text1"/>
          <w:szCs w:val="24"/>
          <w:lang w:val="en-GB"/>
        </w:rPr>
        <w:t>in</w:t>
      </w:r>
      <w:r w:rsidR="007467EC" w:rsidRPr="0028108F">
        <w:rPr>
          <w:rFonts w:ascii="Arial" w:hAnsi="Arial" w:cs="Arial"/>
          <w:color w:val="000000" w:themeColor="text1"/>
          <w:szCs w:val="24"/>
          <w:lang w:val="en-GB"/>
        </w:rPr>
        <w:t xml:space="preserve"> identifying </w:t>
      </w:r>
      <w:r w:rsidR="007467EC" w:rsidRPr="0028108F">
        <w:rPr>
          <w:rFonts w:ascii="Arial" w:hAnsi="Arial" w:cs="Arial"/>
          <w:i/>
          <w:color w:val="000000" w:themeColor="text1"/>
          <w:szCs w:val="24"/>
          <w:lang w:val="en-GB"/>
        </w:rPr>
        <w:t>“real”</w:t>
      </w:r>
      <w:r w:rsidR="007467EC" w:rsidRPr="00181CF2">
        <w:rPr>
          <w:rFonts w:ascii="Arial" w:hAnsi="Arial" w:cs="Arial"/>
          <w:color w:val="000000" w:themeColor="text1"/>
          <w:szCs w:val="24"/>
          <w:lang w:val="en-GB"/>
        </w:rPr>
        <w:t xml:space="preserve"> gender dysphoria</w:t>
      </w:r>
      <w:r w:rsidR="007467EC" w:rsidRPr="00C57CE1">
        <w:rPr>
          <w:rFonts w:ascii="Arial" w:hAnsi="Arial" w:cs="Arial"/>
          <w:color w:val="000000" w:themeColor="text1"/>
          <w:szCs w:val="24"/>
          <w:lang w:val="en-GB"/>
        </w:rPr>
        <w:t xml:space="preserve">, </w:t>
      </w:r>
      <w:r w:rsidR="005F4488" w:rsidRPr="0028108F">
        <w:rPr>
          <w:rFonts w:ascii="Arial" w:hAnsi="Arial" w:cs="Arial"/>
          <w:color w:val="000000" w:themeColor="text1"/>
          <w:szCs w:val="24"/>
          <w:lang w:val="en-GB"/>
        </w:rPr>
        <w:t xml:space="preserve">at least in children, </w:t>
      </w:r>
      <w:r w:rsidR="007467EC" w:rsidRPr="0028108F">
        <w:rPr>
          <w:rFonts w:ascii="Arial" w:hAnsi="Arial" w:cs="Arial"/>
          <w:color w:val="000000" w:themeColor="text1"/>
          <w:szCs w:val="24"/>
          <w:lang w:val="en-GB"/>
        </w:rPr>
        <w:t xml:space="preserve">misdiagnosis </w:t>
      </w:r>
      <w:r w:rsidR="005F4488" w:rsidRPr="0028108F">
        <w:rPr>
          <w:rFonts w:ascii="Arial" w:hAnsi="Arial" w:cs="Arial"/>
          <w:color w:val="000000" w:themeColor="text1"/>
          <w:szCs w:val="24"/>
          <w:lang w:val="en-GB"/>
        </w:rPr>
        <w:t>might</w:t>
      </w:r>
      <w:r w:rsidR="007467EC" w:rsidRPr="0028108F">
        <w:rPr>
          <w:rFonts w:ascii="Arial" w:hAnsi="Arial" w:cs="Arial"/>
          <w:color w:val="000000" w:themeColor="text1"/>
          <w:szCs w:val="24"/>
          <w:lang w:val="en-GB"/>
        </w:rPr>
        <w:t xml:space="preserve"> result</w:t>
      </w:r>
      <w:r w:rsidR="00001A8C" w:rsidRPr="0028108F">
        <w:rPr>
          <w:rFonts w:ascii="Arial" w:hAnsi="Arial" w:cs="Arial"/>
          <w:color w:val="000000" w:themeColor="text1"/>
          <w:szCs w:val="24"/>
          <w:lang w:val="en-GB"/>
        </w:rPr>
        <w:t xml:space="preserve"> and the proportion of misdiagnosis could be considerable</w:t>
      </w:r>
      <w:r w:rsidR="007467EC" w:rsidRPr="00181CF2">
        <w:rPr>
          <w:rFonts w:ascii="Arial" w:hAnsi="Arial" w:cs="Arial"/>
          <w:color w:val="000000" w:themeColor="text1"/>
          <w:szCs w:val="24"/>
          <w:lang w:val="en-GB"/>
        </w:rPr>
        <w:t>.</w:t>
      </w:r>
      <w:r w:rsidR="003D261A" w:rsidRPr="00181CF2">
        <w:rPr>
          <w:rStyle w:val="FootnoteReference"/>
          <w:rFonts w:ascii="Arial" w:hAnsi="Arial" w:cs="Arial"/>
          <w:color w:val="000000" w:themeColor="text1"/>
          <w:szCs w:val="24"/>
          <w:lang w:val="en-GB"/>
        </w:rPr>
        <w:footnoteReference w:id="485"/>
      </w:r>
      <w:r w:rsidR="007467EC" w:rsidRPr="00181CF2">
        <w:rPr>
          <w:rFonts w:ascii="Arial" w:hAnsi="Arial" w:cs="Arial"/>
          <w:color w:val="000000" w:themeColor="text1"/>
          <w:szCs w:val="24"/>
          <w:lang w:val="en-GB"/>
        </w:rPr>
        <w:t xml:space="preserve"> </w:t>
      </w:r>
    </w:p>
    <w:p w:rsidR="003D261A" w:rsidRPr="0028108F" w:rsidRDefault="003D261A" w:rsidP="0028108F">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C027AE" w:rsidP="0028108F">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Regarding</w:t>
      </w:r>
      <w:r w:rsidR="00BE4B3F" w:rsidRPr="0028108F">
        <w:rPr>
          <w:rFonts w:ascii="Arial" w:hAnsi="Arial" w:cs="Arial"/>
          <w:color w:val="000000" w:themeColor="text1"/>
          <w:szCs w:val="24"/>
          <w:lang w:val="en-GB"/>
        </w:rPr>
        <w:t xml:space="preserve"> the </w:t>
      </w:r>
      <w:r w:rsidRPr="0028108F">
        <w:rPr>
          <w:rFonts w:ascii="Arial" w:hAnsi="Arial" w:cs="Arial"/>
          <w:color w:val="000000" w:themeColor="text1"/>
          <w:szCs w:val="24"/>
          <w:lang w:val="en-GB"/>
        </w:rPr>
        <w:t xml:space="preserve">possible </w:t>
      </w:r>
      <w:r w:rsidR="00BE4B3F" w:rsidRPr="0028108F">
        <w:rPr>
          <w:rFonts w:ascii="Arial" w:hAnsi="Arial" w:cs="Arial"/>
          <w:color w:val="000000" w:themeColor="text1"/>
          <w:szCs w:val="24"/>
          <w:lang w:val="en-GB"/>
        </w:rPr>
        <w:t>cause</w:t>
      </w:r>
      <w:r w:rsidRPr="0028108F">
        <w:rPr>
          <w:rFonts w:ascii="Arial" w:hAnsi="Arial" w:cs="Arial"/>
          <w:color w:val="000000" w:themeColor="text1"/>
          <w:szCs w:val="24"/>
          <w:lang w:val="en-GB"/>
        </w:rPr>
        <w:t>s</w:t>
      </w:r>
      <w:r w:rsidR="00BE4B3F" w:rsidRPr="0028108F">
        <w:rPr>
          <w:rFonts w:ascii="Arial" w:hAnsi="Arial" w:cs="Arial"/>
          <w:color w:val="000000" w:themeColor="text1"/>
          <w:szCs w:val="24"/>
          <w:lang w:val="en-GB"/>
        </w:rPr>
        <w:t xml:space="preserve"> of misdiagnosis</w:t>
      </w:r>
      <w:r w:rsidRPr="0028108F">
        <w:rPr>
          <w:rFonts w:ascii="Arial" w:hAnsi="Arial" w:cs="Arial"/>
          <w:color w:val="000000" w:themeColor="text1"/>
          <w:szCs w:val="24"/>
          <w:lang w:val="en-GB"/>
        </w:rPr>
        <w:t>,</w:t>
      </w:r>
      <w:r w:rsidR="00BE4B3F" w:rsidRPr="0028108F">
        <w:rPr>
          <w:rFonts w:ascii="Arial" w:hAnsi="Arial" w:cs="Arial"/>
          <w:color w:val="000000" w:themeColor="text1"/>
          <w:szCs w:val="24"/>
          <w:lang w:val="en-GB"/>
        </w:rPr>
        <w:t xml:space="preserve"> </w:t>
      </w:r>
      <w:r w:rsidR="00E773F6" w:rsidRPr="0028108F">
        <w:rPr>
          <w:rFonts w:ascii="Arial" w:hAnsi="Arial" w:cs="Arial"/>
          <w:color w:val="000000" w:themeColor="text1"/>
          <w:szCs w:val="24"/>
          <w:lang w:val="en-GB"/>
        </w:rPr>
        <w:t>the WPATH observed, “</w:t>
      </w:r>
      <w:r w:rsidR="00E773F6" w:rsidRPr="0028108F">
        <w:rPr>
          <w:rFonts w:ascii="Arial" w:hAnsi="Arial" w:cs="Arial"/>
          <w:i/>
          <w:color w:val="000000" w:themeColor="text1"/>
          <w:szCs w:val="24"/>
          <w:lang w:val="en-GB"/>
        </w:rPr>
        <w:t>[i]nexperienced clinicians may mistake indications of gender dysphoria for delusions</w:t>
      </w:r>
      <w:r w:rsidR="00E773F6" w:rsidRPr="0028108F">
        <w:rPr>
          <w:rFonts w:ascii="Arial" w:hAnsi="Arial" w:cs="Arial"/>
          <w:color w:val="000000" w:themeColor="text1"/>
          <w:szCs w:val="24"/>
          <w:lang w:val="en-GB"/>
        </w:rPr>
        <w:t>.</w:t>
      </w:r>
      <w:r w:rsidRPr="0028108F">
        <w:rPr>
          <w:rFonts w:ascii="Arial" w:hAnsi="Arial" w:cs="Arial"/>
          <w:color w:val="000000" w:themeColor="text1"/>
          <w:szCs w:val="24"/>
          <w:lang w:val="en-GB"/>
        </w:rPr>
        <w:t>”</w:t>
      </w:r>
      <w:r w:rsidR="00E773F6" w:rsidRPr="00181CF2">
        <w:rPr>
          <w:rFonts w:ascii="Arial" w:eastAsiaTheme="minorEastAsia" w:hAnsi="Arial" w:cs="Arial"/>
          <w:color w:val="000000" w:themeColor="text1"/>
          <w:szCs w:val="24"/>
          <w:vertAlign w:val="superscript"/>
          <w:lang w:val="en-GB"/>
        </w:rPr>
        <w:footnoteReference w:id="486"/>
      </w:r>
      <w:r w:rsidR="00E773F6" w:rsidRPr="00181CF2">
        <w:rPr>
          <w:rFonts w:ascii="Arial" w:eastAsiaTheme="minorEastAsia" w:hAnsi="Arial" w:cs="Arial"/>
          <w:color w:val="000000" w:themeColor="text1"/>
          <w:szCs w:val="24"/>
          <w:lang w:val="en-GB"/>
        </w:rPr>
        <w:t xml:space="preserve">  T</w:t>
      </w:r>
      <w:r w:rsidR="00E773F6" w:rsidRPr="00C57CE1">
        <w:rPr>
          <w:rFonts w:ascii="Arial" w:hAnsi="Arial" w:cs="Arial"/>
          <w:color w:val="000000" w:themeColor="text1"/>
          <w:szCs w:val="24"/>
          <w:lang w:val="en-GB"/>
        </w:rPr>
        <w:t>he requirement of me</w:t>
      </w:r>
      <w:r w:rsidR="00E773F6" w:rsidRPr="0028108F">
        <w:rPr>
          <w:rFonts w:ascii="Arial" w:hAnsi="Arial" w:cs="Arial"/>
          <w:color w:val="000000" w:themeColor="text1"/>
          <w:szCs w:val="24"/>
          <w:lang w:val="en-GB"/>
        </w:rPr>
        <w:t>dical diagnosis for determination of an application for gender recognition generally relies heavily on the decisions of psychiatrists.  However, psychological or psychiatric misdiagnosis may occur for various reasons</w:t>
      </w:r>
      <w:r w:rsidR="005A6127" w:rsidRPr="0028108F">
        <w:rPr>
          <w:rFonts w:ascii="Arial" w:hAnsi="Arial" w:cs="Arial"/>
          <w:color w:val="000000" w:themeColor="text1"/>
          <w:szCs w:val="24"/>
          <w:lang w:val="en-GB"/>
        </w:rPr>
        <w:t xml:space="preserve"> and one of them </w:t>
      </w:r>
      <w:r w:rsidR="00841F62" w:rsidRPr="00181CF2">
        <w:rPr>
          <w:rFonts w:ascii="Arial" w:hAnsi="Arial" w:cs="Arial"/>
          <w:color w:val="000000" w:themeColor="text1"/>
          <w:szCs w:val="24"/>
          <w:lang w:val="en-GB"/>
        </w:rPr>
        <w:t>may be</w:t>
      </w:r>
      <w:r w:rsidR="005A6127" w:rsidRPr="0028108F">
        <w:rPr>
          <w:rFonts w:ascii="Arial" w:hAnsi="Arial" w:cs="Arial"/>
          <w:color w:val="000000" w:themeColor="text1"/>
          <w:szCs w:val="24"/>
          <w:lang w:val="en-GB"/>
        </w:rPr>
        <w:t xml:space="preserve"> the complexity of </w:t>
      </w:r>
      <w:r w:rsidR="005A6127" w:rsidRPr="0028108F">
        <w:rPr>
          <w:rFonts w:ascii="Arial" w:hAnsi="Arial" w:cs="Arial"/>
          <w:i/>
          <w:color w:val="000000" w:themeColor="text1"/>
          <w:szCs w:val="24"/>
          <w:lang w:val="en-GB"/>
        </w:rPr>
        <w:t>“neuroplasticity”</w:t>
      </w:r>
      <w:r w:rsidR="00D83863" w:rsidRPr="0028108F">
        <w:rPr>
          <w:rFonts w:ascii="Arial" w:hAnsi="Arial" w:cs="Arial"/>
          <w:color w:val="000000" w:themeColor="text1"/>
          <w:szCs w:val="24"/>
          <w:lang w:val="en-GB"/>
        </w:rPr>
        <w:t xml:space="preserve"> (ie</w:t>
      </w:r>
      <w:r w:rsidR="00254B47" w:rsidRPr="00181CF2">
        <w:rPr>
          <w:rFonts w:ascii="Arial" w:hAnsi="Arial" w:cs="Arial"/>
          <w:color w:val="000000" w:themeColor="text1"/>
          <w:szCs w:val="24"/>
          <w:lang w:val="en-GB"/>
        </w:rPr>
        <w:t>,</w:t>
      </w:r>
      <w:r w:rsidR="00D83863" w:rsidRPr="0028108F">
        <w:rPr>
          <w:rFonts w:ascii="Arial" w:hAnsi="Arial" w:cs="Arial"/>
          <w:color w:val="000000" w:themeColor="text1"/>
          <w:szCs w:val="24"/>
          <w:lang w:val="en-GB"/>
        </w:rPr>
        <w:t xml:space="preserve"> changes of </w:t>
      </w:r>
      <w:r w:rsidR="00841F62" w:rsidRPr="00181CF2">
        <w:rPr>
          <w:rFonts w:ascii="Arial" w:hAnsi="Arial" w:cs="Arial"/>
          <w:color w:val="000000" w:themeColor="text1"/>
          <w:szCs w:val="24"/>
          <w:lang w:val="en-GB"/>
        </w:rPr>
        <w:t xml:space="preserve">the </w:t>
      </w:r>
      <w:r w:rsidR="00D83863" w:rsidRPr="0028108F">
        <w:rPr>
          <w:rFonts w:ascii="Arial" w:hAnsi="Arial" w:cs="Arial"/>
          <w:color w:val="000000" w:themeColor="text1"/>
          <w:szCs w:val="24"/>
          <w:lang w:val="en-GB"/>
        </w:rPr>
        <w:t>brain across the lifespan in response to behaviours) that might facilitate confusion of cogni</w:t>
      </w:r>
      <w:r w:rsidR="00254B47" w:rsidRPr="00181CF2">
        <w:rPr>
          <w:rFonts w:ascii="Arial" w:hAnsi="Arial" w:cs="Arial"/>
          <w:color w:val="000000" w:themeColor="text1"/>
          <w:szCs w:val="24"/>
          <w:lang w:val="en-GB"/>
        </w:rPr>
        <w:t>s</w:t>
      </w:r>
      <w:r w:rsidR="00D83863" w:rsidRPr="0028108F">
        <w:rPr>
          <w:rFonts w:ascii="Arial" w:hAnsi="Arial" w:cs="Arial"/>
          <w:color w:val="000000" w:themeColor="text1"/>
          <w:szCs w:val="24"/>
          <w:lang w:val="en-GB"/>
        </w:rPr>
        <w:t>ance of gender</w:t>
      </w:r>
      <w:r w:rsidRPr="00181CF2">
        <w:rPr>
          <w:rFonts w:ascii="Arial" w:hAnsi="Arial" w:cs="Arial"/>
          <w:color w:val="000000" w:themeColor="text1"/>
          <w:szCs w:val="24"/>
          <w:lang w:val="en-GB"/>
        </w:rPr>
        <w:t>.</w:t>
      </w:r>
      <w:r w:rsidR="00D83863" w:rsidRPr="00181CF2">
        <w:rPr>
          <w:rStyle w:val="FootnoteReference"/>
          <w:rFonts w:ascii="Arial" w:hAnsi="Arial" w:cs="Arial"/>
          <w:color w:val="000000" w:themeColor="text1"/>
          <w:szCs w:val="24"/>
          <w:lang w:val="en-GB"/>
        </w:rPr>
        <w:footnoteReference w:id="487"/>
      </w:r>
      <w:r w:rsidR="00E773F6" w:rsidRPr="00C57CE1">
        <w:rPr>
          <w:rFonts w:ascii="Arial" w:hAnsi="Arial" w:cs="Arial"/>
          <w:color w:val="000000" w:themeColor="text1"/>
          <w:szCs w:val="24"/>
          <w:lang w:val="en-GB"/>
        </w:rPr>
        <w:t xml:space="preserve">  </w:t>
      </w:r>
      <w:r w:rsidRPr="0028108F">
        <w:rPr>
          <w:rFonts w:ascii="Arial" w:hAnsi="Arial" w:cs="Arial"/>
          <w:szCs w:val="24"/>
          <w:lang w:val="en-GB"/>
        </w:rPr>
        <w:t>A</w:t>
      </w:r>
      <w:r w:rsidR="006E4E31" w:rsidRPr="0028108F">
        <w:rPr>
          <w:rFonts w:ascii="Arial" w:hAnsi="Arial" w:cs="Arial"/>
          <w:szCs w:val="24"/>
          <w:lang w:val="en-GB"/>
        </w:rPr>
        <w:t xml:space="preserve"> study conducted by Heyer</w:t>
      </w:r>
      <w:r w:rsidR="006E4E31" w:rsidRPr="00181CF2">
        <w:rPr>
          <w:rStyle w:val="FootnoteReference"/>
          <w:rFonts w:ascii="Arial" w:hAnsi="Arial" w:cs="Arial"/>
          <w:szCs w:val="24"/>
          <w:lang w:val="en-GB"/>
        </w:rPr>
        <w:footnoteReference w:id="488"/>
      </w:r>
      <w:r w:rsidR="006E4E31" w:rsidRPr="00C57CE1">
        <w:rPr>
          <w:rFonts w:ascii="Arial" w:hAnsi="Arial" w:cs="Arial"/>
          <w:szCs w:val="24"/>
          <w:lang w:val="en-GB"/>
        </w:rPr>
        <w:t xml:space="preserve"> used a Dutch study in 2003 and a</w:t>
      </w:r>
      <w:r w:rsidR="006E4E31" w:rsidRPr="0028108F">
        <w:rPr>
          <w:rFonts w:ascii="Arial" w:hAnsi="Arial" w:cs="Arial"/>
          <w:szCs w:val="24"/>
          <w:lang w:val="en-GB"/>
        </w:rPr>
        <w:t xml:space="preserve"> US model of treatment on patients with </w:t>
      </w:r>
      <w:r w:rsidR="006E4E31" w:rsidRPr="0028108F">
        <w:rPr>
          <w:rFonts w:ascii="Arial" w:hAnsi="Arial" w:cs="Arial"/>
          <w:i/>
          <w:szCs w:val="24"/>
          <w:lang w:val="en-GB"/>
        </w:rPr>
        <w:t>“I’m in the wrong body”</w:t>
      </w:r>
      <w:r w:rsidR="006E4E31" w:rsidRPr="00181CF2">
        <w:rPr>
          <w:rFonts w:ascii="Arial" w:hAnsi="Arial" w:cs="Arial"/>
          <w:szCs w:val="24"/>
          <w:lang w:val="en-GB"/>
        </w:rPr>
        <w:t xml:space="preserve"> symptom</w:t>
      </w:r>
      <w:r w:rsidRPr="00C57CE1">
        <w:rPr>
          <w:rFonts w:ascii="Arial" w:hAnsi="Arial" w:cs="Arial"/>
          <w:szCs w:val="24"/>
          <w:lang w:val="en-GB"/>
        </w:rPr>
        <w:t>s</w:t>
      </w:r>
      <w:r w:rsidR="006E4E31" w:rsidRPr="0028108F">
        <w:rPr>
          <w:rFonts w:ascii="Arial" w:hAnsi="Arial" w:cs="Arial"/>
          <w:szCs w:val="24"/>
          <w:lang w:val="en-GB"/>
        </w:rPr>
        <w:t xml:space="preserve"> as examples to illustrate the misdiagnosis of gender identity disorder.  He</w:t>
      </w:r>
      <w:r w:rsidRPr="0028108F">
        <w:rPr>
          <w:rFonts w:ascii="Arial" w:hAnsi="Arial" w:cs="Arial"/>
          <w:szCs w:val="24"/>
          <w:lang w:val="en-GB"/>
        </w:rPr>
        <w:t>yer</w:t>
      </w:r>
      <w:r w:rsidR="006E4E31" w:rsidRPr="0028108F">
        <w:rPr>
          <w:rFonts w:ascii="Arial" w:hAnsi="Arial" w:cs="Arial"/>
          <w:szCs w:val="24"/>
          <w:lang w:val="en-GB"/>
        </w:rPr>
        <w:t xml:space="preserve"> concluded that misdiagnosis and mistreatment could result </w:t>
      </w:r>
      <w:r w:rsidRPr="0028108F">
        <w:rPr>
          <w:rFonts w:ascii="Arial" w:hAnsi="Arial" w:cs="Arial"/>
          <w:szCs w:val="24"/>
          <w:lang w:val="en-GB"/>
        </w:rPr>
        <w:t>because</w:t>
      </w:r>
      <w:r w:rsidR="006E4E31" w:rsidRPr="0028108F">
        <w:rPr>
          <w:rFonts w:ascii="Arial" w:hAnsi="Arial" w:cs="Arial"/>
          <w:szCs w:val="24"/>
          <w:lang w:val="en-GB"/>
        </w:rPr>
        <w:t xml:space="preserve"> “</w:t>
      </w:r>
      <w:r w:rsidR="006E4E31" w:rsidRPr="0028108F">
        <w:rPr>
          <w:rFonts w:ascii="Arial" w:hAnsi="Arial" w:cs="Arial"/>
          <w:i/>
          <w:szCs w:val="24"/>
          <w:lang w:val="en-GB"/>
        </w:rPr>
        <w:t>the many other psychological, hormonal and childhood potential causes for the patient’s distress are rarely, if ever, explored first in an effort to prevent the surgery.</w:t>
      </w:r>
      <w:r w:rsidR="006E4E31" w:rsidRPr="0028108F">
        <w:rPr>
          <w:rFonts w:ascii="Arial" w:hAnsi="Arial" w:cs="Arial"/>
          <w:szCs w:val="24"/>
          <w:lang w:val="en-GB"/>
        </w:rPr>
        <w:t>”</w:t>
      </w:r>
      <w:r w:rsidR="006E4E31" w:rsidRPr="00181CF2">
        <w:rPr>
          <w:rStyle w:val="FootnoteReference"/>
          <w:rFonts w:ascii="Arial" w:hAnsi="Arial" w:cs="Arial"/>
          <w:szCs w:val="24"/>
          <w:lang w:val="en-GB"/>
        </w:rPr>
        <w:footnoteReference w:id="489"/>
      </w:r>
      <w:r w:rsidR="006E4E31" w:rsidRPr="00181CF2">
        <w:rPr>
          <w:rFonts w:ascii="Arial" w:hAnsi="Arial" w:cs="Arial"/>
          <w:szCs w:val="24"/>
          <w:lang w:val="en-GB"/>
        </w:rPr>
        <w:t xml:space="preserve">  Other causes </w:t>
      </w:r>
      <w:r w:rsidRPr="00C57CE1">
        <w:rPr>
          <w:rFonts w:ascii="Arial" w:hAnsi="Arial" w:cs="Arial"/>
          <w:szCs w:val="24"/>
          <w:lang w:val="en-GB"/>
        </w:rPr>
        <w:t xml:space="preserve">might </w:t>
      </w:r>
      <w:r w:rsidR="006E4E31" w:rsidRPr="0028108F">
        <w:rPr>
          <w:rFonts w:ascii="Arial" w:hAnsi="Arial" w:cs="Arial"/>
          <w:szCs w:val="24"/>
          <w:lang w:val="en-GB"/>
        </w:rPr>
        <w:t>include inadequate diagnosis of major pathology (eg, psychosis, personality disorder, alcohol dependency), absence of or a disappointing real-life experience, and poor family support.</w:t>
      </w:r>
      <w:r w:rsidR="006E4E31" w:rsidRPr="00181CF2">
        <w:rPr>
          <w:rStyle w:val="FootnoteReference"/>
          <w:rFonts w:ascii="Arial" w:hAnsi="Arial" w:cs="Arial"/>
          <w:szCs w:val="24"/>
          <w:lang w:val="en-GB"/>
        </w:rPr>
        <w:footnoteReference w:id="490"/>
      </w:r>
      <w:r w:rsidR="006E4E31" w:rsidRPr="00181CF2">
        <w:rPr>
          <w:rFonts w:ascii="Arial" w:hAnsi="Arial" w:cs="Arial"/>
          <w:szCs w:val="24"/>
          <w:lang w:val="en-GB"/>
        </w:rPr>
        <w:t xml:space="preserve">  S</w:t>
      </w:r>
      <w:r w:rsidR="00D168AD" w:rsidRPr="00C57CE1">
        <w:rPr>
          <w:rFonts w:ascii="Arial" w:hAnsi="Arial" w:cs="Arial"/>
          <w:color w:val="000000" w:themeColor="text1"/>
          <w:szCs w:val="24"/>
          <w:lang w:val="en-GB"/>
        </w:rPr>
        <w:t xml:space="preserve">ome </w:t>
      </w:r>
      <w:r w:rsidR="006E4E31" w:rsidRPr="0028108F">
        <w:rPr>
          <w:rFonts w:ascii="Arial" w:hAnsi="Arial" w:cs="Arial"/>
          <w:color w:val="000000" w:themeColor="text1"/>
          <w:szCs w:val="24"/>
          <w:lang w:val="en-GB"/>
        </w:rPr>
        <w:t xml:space="preserve">other </w:t>
      </w:r>
      <w:r w:rsidR="00D168AD" w:rsidRPr="0028108F">
        <w:rPr>
          <w:rFonts w:ascii="Arial" w:hAnsi="Arial" w:cs="Arial"/>
          <w:color w:val="000000" w:themeColor="text1"/>
          <w:szCs w:val="24"/>
          <w:lang w:val="en-GB"/>
        </w:rPr>
        <w:t xml:space="preserve">psychologists and sexologists </w:t>
      </w:r>
      <w:r w:rsidR="006E4E31" w:rsidRPr="0028108F">
        <w:rPr>
          <w:rFonts w:ascii="Arial" w:hAnsi="Arial" w:cs="Arial"/>
          <w:color w:val="000000" w:themeColor="text1"/>
          <w:szCs w:val="24"/>
          <w:lang w:val="en-GB"/>
        </w:rPr>
        <w:t xml:space="preserve">found </w:t>
      </w:r>
      <w:r w:rsidR="00D168AD" w:rsidRPr="0028108F">
        <w:rPr>
          <w:rFonts w:ascii="Arial" w:hAnsi="Arial" w:cs="Arial"/>
          <w:color w:val="000000" w:themeColor="text1"/>
          <w:szCs w:val="24"/>
          <w:lang w:val="en-GB"/>
        </w:rPr>
        <w:t>that s</w:t>
      </w:r>
      <w:r w:rsidR="00E773F6" w:rsidRPr="0028108F">
        <w:rPr>
          <w:rFonts w:ascii="Arial" w:hAnsi="Arial" w:cs="Arial"/>
          <w:color w:val="000000" w:themeColor="text1"/>
          <w:szCs w:val="24"/>
          <w:lang w:val="en-GB"/>
        </w:rPr>
        <w:t xml:space="preserve">ome </w:t>
      </w:r>
      <w:r w:rsidR="00D168AD" w:rsidRPr="0028108F">
        <w:rPr>
          <w:rFonts w:ascii="Arial" w:hAnsi="Arial" w:cs="Arial"/>
          <w:color w:val="000000" w:themeColor="text1"/>
          <w:szCs w:val="24"/>
          <w:lang w:val="en-GB"/>
        </w:rPr>
        <w:t xml:space="preserve">people diagnosed </w:t>
      </w:r>
      <w:r w:rsidR="00841F62" w:rsidRPr="0028108F">
        <w:rPr>
          <w:rFonts w:ascii="Arial" w:hAnsi="Arial" w:cs="Arial"/>
          <w:color w:val="000000" w:themeColor="text1"/>
          <w:szCs w:val="24"/>
          <w:lang w:val="en-GB"/>
        </w:rPr>
        <w:t>as</w:t>
      </w:r>
      <w:r w:rsidR="00D168AD" w:rsidRPr="0028108F">
        <w:rPr>
          <w:rFonts w:ascii="Arial" w:hAnsi="Arial" w:cs="Arial"/>
          <w:color w:val="000000" w:themeColor="text1"/>
          <w:szCs w:val="24"/>
          <w:lang w:val="en-GB"/>
        </w:rPr>
        <w:t xml:space="preserve"> having </w:t>
      </w:r>
      <w:r w:rsidR="00E773F6" w:rsidRPr="0028108F">
        <w:rPr>
          <w:rFonts w:ascii="Arial" w:hAnsi="Arial" w:cs="Arial"/>
          <w:color w:val="000000" w:themeColor="text1"/>
          <w:szCs w:val="24"/>
          <w:lang w:val="en-GB"/>
        </w:rPr>
        <w:t xml:space="preserve">gender dysphoria may </w:t>
      </w:r>
      <w:r w:rsidR="00513E4A">
        <w:rPr>
          <w:rFonts w:ascii="Arial" w:hAnsi="Arial" w:cs="Arial" w:hint="eastAsia"/>
          <w:color w:val="000000" w:themeColor="text1"/>
          <w:szCs w:val="24"/>
          <w:lang w:val="en-GB"/>
        </w:rPr>
        <w:t>have</w:t>
      </w:r>
      <w:r w:rsidR="00E773F6" w:rsidRPr="0028108F">
        <w:rPr>
          <w:rFonts w:ascii="Arial" w:hAnsi="Arial" w:cs="Arial"/>
          <w:color w:val="000000" w:themeColor="text1"/>
          <w:szCs w:val="24"/>
          <w:lang w:val="en-GB"/>
        </w:rPr>
        <w:t xml:space="preserve"> other psychological conditions beyond gender identity disorder</w:t>
      </w:r>
      <w:r w:rsidR="005A6127" w:rsidRPr="0028108F">
        <w:rPr>
          <w:rFonts w:ascii="Arial" w:hAnsi="Arial" w:cs="Arial"/>
          <w:color w:val="000000" w:themeColor="text1"/>
          <w:szCs w:val="24"/>
          <w:lang w:val="en-GB"/>
        </w:rPr>
        <w:t xml:space="preserve"> or the misunderstanding </w:t>
      </w:r>
      <w:r w:rsidR="00D168AD" w:rsidRPr="0028108F">
        <w:rPr>
          <w:rFonts w:ascii="Arial" w:hAnsi="Arial" w:cs="Arial"/>
          <w:color w:val="000000" w:themeColor="text1"/>
          <w:szCs w:val="24"/>
          <w:lang w:val="en-GB"/>
        </w:rPr>
        <w:t>of one’s gender</w:t>
      </w:r>
      <w:r w:rsidR="009E2729" w:rsidRPr="0028108F">
        <w:rPr>
          <w:rFonts w:ascii="Arial" w:hAnsi="Arial" w:cs="Arial"/>
          <w:color w:val="000000" w:themeColor="text1"/>
          <w:szCs w:val="24"/>
          <w:lang w:val="en-GB"/>
        </w:rPr>
        <w:t>,</w:t>
      </w:r>
      <w:r w:rsidR="00D168AD" w:rsidRPr="0028108F">
        <w:rPr>
          <w:rFonts w:ascii="Arial" w:hAnsi="Arial" w:cs="Arial"/>
          <w:color w:val="000000" w:themeColor="text1"/>
          <w:szCs w:val="24"/>
          <w:lang w:val="en-GB"/>
        </w:rPr>
        <w:t xml:space="preserve"> stemming from parental reinforcement of cross-gender behavio</w:t>
      </w:r>
      <w:r w:rsidR="00D168AD" w:rsidRPr="00181CF2">
        <w:rPr>
          <w:rFonts w:ascii="Arial" w:hAnsi="Arial" w:cs="Arial"/>
          <w:color w:val="000000" w:themeColor="text1"/>
          <w:szCs w:val="24"/>
          <w:lang w:val="en-GB"/>
        </w:rPr>
        <w:t>u</w:t>
      </w:r>
      <w:r w:rsidR="00D168AD" w:rsidRPr="0028108F">
        <w:rPr>
          <w:rFonts w:ascii="Arial" w:hAnsi="Arial" w:cs="Arial"/>
          <w:color w:val="000000" w:themeColor="text1"/>
          <w:szCs w:val="24"/>
          <w:lang w:val="en-GB"/>
        </w:rPr>
        <w:t>r during the sensitive period of gender identity formation, family dynamics, parental psychopathology, peer relationships</w:t>
      </w:r>
      <w:r w:rsidR="00363352" w:rsidRPr="00181CF2">
        <w:rPr>
          <w:rFonts w:ascii="Arial" w:hAnsi="Arial" w:cs="Arial"/>
          <w:color w:val="000000" w:themeColor="text1"/>
          <w:szCs w:val="24"/>
          <w:lang w:val="en-GB"/>
        </w:rPr>
        <w:t>, social situation</w:t>
      </w:r>
      <w:r w:rsidR="009E2729" w:rsidRPr="00C57CE1">
        <w:rPr>
          <w:rFonts w:ascii="Arial" w:hAnsi="Arial" w:cs="Arial"/>
          <w:color w:val="000000" w:themeColor="text1"/>
          <w:szCs w:val="24"/>
          <w:lang w:val="en-GB"/>
        </w:rPr>
        <w:t>s</w:t>
      </w:r>
      <w:r w:rsidR="00D168AD" w:rsidRPr="0028108F">
        <w:rPr>
          <w:rFonts w:ascii="Arial" w:hAnsi="Arial" w:cs="Arial"/>
          <w:color w:val="000000" w:themeColor="text1"/>
          <w:szCs w:val="24"/>
          <w:lang w:val="en-GB"/>
        </w:rPr>
        <w:t xml:space="preserve"> and the multiple meanings that might underlie the child’s fantasy of becoming a member of the opposite sex</w:t>
      </w:r>
      <w:r w:rsidR="00E773F6" w:rsidRPr="00181CF2">
        <w:rPr>
          <w:rFonts w:ascii="Arial" w:hAnsi="Arial" w:cs="Arial"/>
          <w:color w:val="000000" w:themeColor="text1"/>
          <w:szCs w:val="24"/>
          <w:lang w:val="en-GB"/>
        </w:rPr>
        <w:t>.</w:t>
      </w:r>
      <w:r w:rsidR="00D168AD" w:rsidRPr="00181CF2">
        <w:rPr>
          <w:rStyle w:val="FootnoteReference"/>
          <w:rFonts w:ascii="Arial" w:hAnsi="Arial" w:cs="Arial"/>
          <w:color w:val="000000" w:themeColor="text1"/>
          <w:szCs w:val="24"/>
          <w:lang w:val="en-GB"/>
        </w:rPr>
        <w:footnoteReference w:id="491"/>
      </w:r>
      <w:r w:rsidR="00E773F6" w:rsidRPr="00181CF2">
        <w:rPr>
          <w:rFonts w:ascii="Arial" w:hAnsi="Arial" w:cs="Arial"/>
          <w:color w:val="000000" w:themeColor="text1"/>
          <w:szCs w:val="24"/>
          <w:lang w:val="en-GB"/>
        </w:rPr>
        <w:t xml:space="preserve">  </w:t>
      </w:r>
    </w:p>
    <w:p w:rsidR="00BE4B3F" w:rsidRPr="00181CF2" w:rsidRDefault="00BE4B3F" w:rsidP="0028108F">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BE4B3F" w:rsidP="0028108F">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C57CE1">
        <w:rPr>
          <w:rFonts w:ascii="Arial" w:hAnsi="Arial" w:cs="Arial"/>
          <w:color w:val="000000" w:themeColor="text1"/>
          <w:szCs w:val="24"/>
          <w:lang w:val="en-GB"/>
        </w:rPr>
        <w:t xml:space="preserve">Given the possibility of misdiagnosis, some people argue that relying on </w:t>
      </w:r>
      <w:r w:rsidR="00A04000"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 xml:space="preserve">medical diagnosis for an application for gender recognition </w:t>
      </w:r>
      <w:r w:rsidR="009E2729" w:rsidRPr="0028108F">
        <w:rPr>
          <w:rFonts w:ascii="Arial" w:hAnsi="Arial" w:cs="Arial"/>
          <w:color w:val="000000" w:themeColor="text1"/>
          <w:szCs w:val="24"/>
          <w:lang w:val="en-GB"/>
        </w:rPr>
        <w:t xml:space="preserve">may lead to applications </w:t>
      </w:r>
      <w:r w:rsidRPr="0028108F">
        <w:rPr>
          <w:rFonts w:ascii="Arial" w:hAnsi="Arial" w:cs="Arial"/>
          <w:color w:val="000000" w:themeColor="text1"/>
          <w:szCs w:val="24"/>
          <w:lang w:val="en-GB"/>
        </w:rPr>
        <w:t>be</w:t>
      </w:r>
      <w:r w:rsidR="009E2729" w:rsidRPr="0028108F">
        <w:rPr>
          <w:rFonts w:ascii="Arial" w:hAnsi="Arial" w:cs="Arial"/>
          <w:color w:val="000000" w:themeColor="text1"/>
          <w:szCs w:val="24"/>
          <w:lang w:val="en-GB"/>
        </w:rPr>
        <w:t>ing</w:t>
      </w:r>
      <w:r w:rsidRPr="0028108F">
        <w:rPr>
          <w:rFonts w:ascii="Arial" w:hAnsi="Arial" w:cs="Arial"/>
          <w:color w:val="000000" w:themeColor="text1"/>
          <w:szCs w:val="24"/>
          <w:lang w:val="en-GB"/>
        </w:rPr>
        <w:t xml:space="preserve"> mistakenly allowed or disallowed.  In either case</w:t>
      </w:r>
      <w:r w:rsidR="009E2729"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the gender recognition scheme </w:t>
      </w:r>
      <w:r w:rsidR="009E2729" w:rsidRPr="0028108F">
        <w:rPr>
          <w:rFonts w:ascii="Arial" w:hAnsi="Arial" w:cs="Arial"/>
          <w:color w:val="000000" w:themeColor="text1"/>
          <w:szCs w:val="24"/>
          <w:lang w:val="en-GB"/>
        </w:rPr>
        <w:t>may</w:t>
      </w:r>
      <w:r w:rsidR="000F0C98" w:rsidRPr="0028108F">
        <w:rPr>
          <w:rFonts w:ascii="Arial" w:hAnsi="Arial" w:cs="Arial"/>
          <w:color w:val="000000" w:themeColor="text1"/>
          <w:szCs w:val="24"/>
          <w:lang w:val="en-GB"/>
        </w:rPr>
        <w:t xml:space="preserve"> become flawed or discredited, and the legislative intent to protect transgender persons </w:t>
      </w:r>
      <w:r w:rsidR="009E2729" w:rsidRPr="0028108F">
        <w:rPr>
          <w:rFonts w:ascii="Arial" w:hAnsi="Arial" w:cs="Arial"/>
          <w:color w:val="000000" w:themeColor="text1"/>
          <w:szCs w:val="24"/>
          <w:lang w:val="en-GB"/>
        </w:rPr>
        <w:t>undermined</w:t>
      </w:r>
      <w:r w:rsidR="000F0C98" w:rsidRPr="0028108F">
        <w:rPr>
          <w:rFonts w:ascii="Arial" w:hAnsi="Arial" w:cs="Arial"/>
          <w:color w:val="000000" w:themeColor="text1"/>
          <w:szCs w:val="24"/>
          <w:lang w:val="en-GB"/>
        </w:rPr>
        <w:t>.</w:t>
      </w:r>
      <w:r w:rsidR="009E2729" w:rsidRPr="0028108F">
        <w:rPr>
          <w:rFonts w:ascii="Arial" w:hAnsi="Arial" w:cs="Arial"/>
          <w:color w:val="000000" w:themeColor="text1"/>
          <w:szCs w:val="24"/>
          <w:lang w:val="en-GB"/>
        </w:rPr>
        <w:t xml:space="preserve">  </w:t>
      </w:r>
      <w:r w:rsidR="00E22ADE" w:rsidRPr="0028108F">
        <w:rPr>
          <w:rFonts w:ascii="Arial" w:hAnsi="Arial" w:cs="Arial"/>
          <w:color w:val="000000" w:themeColor="text1"/>
          <w:szCs w:val="24"/>
          <w:lang w:val="en-GB"/>
        </w:rPr>
        <w:t>T</w:t>
      </w:r>
      <w:r w:rsidR="009E2729" w:rsidRPr="0028108F">
        <w:rPr>
          <w:rFonts w:ascii="Arial" w:hAnsi="Arial" w:cs="Arial"/>
          <w:color w:val="000000" w:themeColor="text1"/>
          <w:szCs w:val="24"/>
          <w:lang w:val="en-GB"/>
        </w:rPr>
        <w:t>he availability</w:t>
      </w:r>
      <w:r w:rsidR="002A2C6E" w:rsidRPr="0028108F">
        <w:rPr>
          <w:rFonts w:ascii="Arial" w:hAnsi="Arial" w:cs="Arial"/>
          <w:color w:val="000000" w:themeColor="text1"/>
          <w:szCs w:val="24"/>
          <w:lang w:val="en-GB"/>
        </w:rPr>
        <w:t>,</w:t>
      </w:r>
      <w:r w:rsidR="009E2729" w:rsidRPr="0028108F">
        <w:rPr>
          <w:rFonts w:ascii="Arial" w:hAnsi="Arial" w:cs="Arial"/>
          <w:color w:val="000000" w:themeColor="text1"/>
          <w:szCs w:val="24"/>
          <w:lang w:val="en-GB"/>
        </w:rPr>
        <w:t xml:space="preserve"> willingne</w:t>
      </w:r>
      <w:r w:rsidR="00E04777" w:rsidRPr="0028108F">
        <w:rPr>
          <w:rFonts w:ascii="Arial" w:hAnsi="Arial" w:cs="Arial"/>
          <w:color w:val="000000" w:themeColor="text1"/>
          <w:szCs w:val="24"/>
          <w:lang w:val="en-GB"/>
        </w:rPr>
        <w:t xml:space="preserve">ss </w:t>
      </w:r>
      <w:r w:rsidR="002A2C6E" w:rsidRPr="0028108F">
        <w:rPr>
          <w:rFonts w:ascii="Arial" w:hAnsi="Arial" w:cs="Arial"/>
          <w:color w:val="000000" w:themeColor="text1"/>
          <w:szCs w:val="24"/>
          <w:lang w:val="en-GB"/>
        </w:rPr>
        <w:t xml:space="preserve">and, more importantly, </w:t>
      </w:r>
      <w:r w:rsidR="00E04777" w:rsidRPr="0028108F">
        <w:rPr>
          <w:rFonts w:ascii="Arial" w:hAnsi="Arial" w:cs="Arial"/>
          <w:color w:val="000000" w:themeColor="text1"/>
          <w:szCs w:val="24"/>
          <w:lang w:val="en-GB"/>
        </w:rPr>
        <w:t>competen</w:t>
      </w:r>
      <w:r w:rsidR="002A2C6E" w:rsidRPr="0028108F">
        <w:rPr>
          <w:rFonts w:ascii="Arial" w:hAnsi="Arial" w:cs="Arial"/>
          <w:color w:val="000000" w:themeColor="text1"/>
          <w:szCs w:val="24"/>
          <w:lang w:val="en-GB"/>
        </w:rPr>
        <w:t>ce of</w:t>
      </w:r>
      <w:r w:rsidR="00E04777" w:rsidRPr="0028108F">
        <w:rPr>
          <w:rFonts w:ascii="Arial" w:hAnsi="Arial" w:cs="Arial"/>
          <w:color w:val="000000" w:themeColor="text1"/>
          <w:szCs w:val="24"/>
          <w:lang w:val="en-GB"/>
        </w:rPr>
        <w:t xml:space="preserve"> psychiatrists </w:t>
      </w:r>
      <w:r w:rsidR="002A2C6E" w:rsidRPr="0028108F">
        <w:rPr>
          <w:rFonts w:ascii="Arial" w:hAnsi="Arial" w:cs="Arial"/>
          <w:color w:val="000000" w:themeColor="text1"/>
          <w:szCs w:val="24"/>
          <w:lang w:val="en-GB"/>
        </w:rPr>
        <w:t>who are going to</w:t>
      </w:r>
      <w:r w:rsidR="00E04777" w:rsidRPr="0028108F">
        <w:rPr>
          <w:rFonts w:ascii="Arial" w:hAnsi="Arial" w:cs="Arial"/>
          <w:color w:val="000000" w:themeColor="text1"/>
          <w:szCs w:val="24"/>
          <w:lang w:val="en-GB"/>
        </w:rPr>
        <w:t xml:space="preserve"> take</w:t>
      </w:r>
      <w:r w:rsidR="009E2729" w:rsidRPr="0028108F">
        <w:rPr>
          <w:rFonts w:ascii="Arial" w:hAnsi="Arial" w:cs="Arial"/>
          <w:color w:val="000000" w:themeColor="text1"/>
          <w:szCs w:val="24"/>
          <w:lang w:val="en-GB"/>
        </w:rPr>
        <w:t xml:space="preserve"> up the responsibi</w:t>
      </w:r>
      <w:r w:rsidR="00E04777" w:rsidRPr="0028108F">
        <w:rPr>
          <w:rFonts w:ascii="Arial" w:hAnsi="Arial" w:cs="Arial"/>
          <w:color w:val="000000" w:themeColor="text1"/>
          <w:szCs w:val="24"/>
          <w:lang w:val="en-GB"/>
        </w:rPr>
        <w:t>lity of making the decisions related to</w:t>
      </w:r>
      <w:r w:rsidR="009E2729" w:rsidRPr="0028108F">
        <w:rPr>
          <w:rFonts w:ascii="Arial" w:hAnsi="Arial" w:cs="Arial"/>
          <w:color w:val="000000" w:themeColor="text1"/>
          <w:szCs w:val="24"/>
          <w:lang w:val="en-GB"/>
        </w:rPr>
        <w:t xml:space="preserve"> gender recognition may be </w:t>
      </w:r>
      <w:r w:rsidR="00E04777" w:rsidRPr="0028108F">
        <w:rPr>
          <w:rFonts w:ascii="Arial" w:hAnsi="Arial" w:cs="Arial"/>
          <w:color w:val="000000" w:themeColor="text1"/>
          <w:szCs w:val="24"/>
          <w:lang w:val="en-GB"/>
        </w:rPr>
        <w:t xml:space="preserve">highly </w:t>
      </w:r>
      <w:r w:rsidR="009E2729" w:rsidRPr="0028108F">
        <w:rPr>
          <w:rFonts w:ascii="Arial" w:hAnsi="Arial" w:cs="Arial"/>
          <w:color w:val="000000" w:themeColor="text1"/>
          <w:szCs w:val="24"/>
          <w:lang w:val="en-GB"/>
        </w:rPr>
        <w:t>relevant in considering whether there should be a requirement of medical diagnosis for legal gender recognition.</w:t>
      </w:r>
    </w:p>
    <w:p w:rsidR="007467EC" w:rsidRPr="0028108F" w:rsidRDefault="007467EC" w:rsidP="0028108F">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181CF2" w:rsidRDefault="00E773F6" w:rsidP="00E773F6">
      <w:pPr>
        <w:tabs>
          <w:tab w:val="left" w:pos="851"/>
        </w:tabs>
        <w:adjustRightInd w:val="0"/>
        <w:snapToGrid w:val="0"/>
        <w:jc w:val="both"/>
        <w:rPr>
          <w:rFonts w:ascii="Arial" w:hAnsi="Arial" w:cs="Arial"/>
          <w:i/>
          <w:color w:val="000000" w:themeColor="text1"/>
          <w:szCs w:val="24"/>
          <w:lang w:val="en-GB"/>
        </w:rPr>
      </w:pPr>
      <w:r w:rsidRPr="00181CF2">
        <w:rPr>
          <w:rFonts w:ascii="Arial" w:hAnsi="Arial" w:cs="Arial"/>
          <w:i/>
          <w:color w:val="000000" w:themeColor="text1"/>
          <w:szCs w:val="24"/>
          <w:lang w:val="en-GB"/>
        </w:rPr>
        <w:t>Argument (2): Self-determination of one’s gender is a human right</w:t>
      </w:r>
    </w:p>
    <w:p w:rsidR="00E773F6" w:rsidRPr="00C57CE1"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In countries like Argentina, </w:t>
      </w:r>
      <w:r w:rsidR="001D1FAF">
        <w:rPr>
          <w:rFonts w:ascii="Arial" w:hAnsi="Arial" w:cs="Arial" w:hint="eastAsia"/>
          <w:color w:val="000000" w:themeColor="text1"/>
          <w:szCs w:val="24"/>
          <w:lang w:val="en-GB"/>
        </w:rPr>
        <w:t xml:space="preserve">Belgium, </w:t>
      </w:r>
      <w:r w:rsidRPr="0028108F">
        <w:rPr>
          <w:rFonts w:ascii="Arial" w:hAnsi="Arial" w:cs="Arial"/>
          <w:color w:val="000000" w:themeColor="text1"/>
          <w:szCs w:val="24"/>
          <w:lang w:val="en-GB"/>
        </w:rPr>
        <w:t xml:space="preserve">Denmark and Malta, legal gender recognition does not require any proof of medical intervention, </w:t>
      </w:r>
      <w:r w:rsidR="00E04777" w:rsidRPr="0028108F">
        <w:rPr>
          <w:rFonts w:ascii="Arial" w:hAnsi="Arial" w:cs="Arial"/>
          <w:color w:val="000000" w:themeColor="text1"/>
          <w:szCs w:val="24"/>
          <w:lang w:val="en-GB"/>
        </w:rPr>
        <w:t xml:space="preserve">thus </w:t>
      </w:r>
      <w:r w:rsidRPr="0028108F">
        <w:rPr>
          <w:rFonts w:ascii="Arial" w:hAnsi="Arial" w:cs="Arial"/>
          <w:color w:val="000000" w:themeColor="text1"/>
          <w:szCs w:val="24"/>
          <w:lang w:val="en-GB"/>
        </w:rPr>
        <w:t xml:space="preserve">moving away from the pathologisation of transgender identities </w:t>
      </w:r>
      <w:r w:rsidR="00E04777" w:rsidRPr="0028108F">
        <w:rPr>
          <w:rFonts w:ascii="Arial" w:hAnsi="Arial" w:cs="Arial"/>
          <w:color w:val="000000" w:themeColor="text1"/>
          <w:szCs w:val="24"/>
          <w:lang w:val="en-GB"/>
        </w:rPr>
        <w:t>(</w:t>
      </w:r>
      <w:r w:rsidR="00D6311F" w:rsidRPr="0028108F">
        <w:rPr>
          <w:rFonts w:ascii="Arial" w:hAnsi="Arial" w:cs="Arial"/>
          <w:color w:val="000000" w:themeColor="text1"/>
          <w:szCs w:val="24"/>
          <w:lang w:val="en-GB"/>
        </w:rPr>
        <w:t>ie</w:t>
      </w:r>
      <w:r w:rsidR="00E04777" w:rsidRPr="0028108F">
        <w:rPr>
          <w:rFonts w:ascii="Arial" w:hAnsi="Arial" w:cs="Arial"/>
          <w:color w:val="000000" w:themeColor="text1"/>
          <w:szCs w:val="24"/>
          <w:lang w:val="en-GB"/>
        </w:rPr>
        <w:t xml:space="preserve">, seeing them as medical conditions) </w:t>
      </w:r>
      <w:r w:rsidRPr="0028108F">
        <w:rPr>
          <w:rFonts w:ascii="Arial" w:hAnsi="Arial" w:cs="Arial"/>
          <w:color w:val="000000" w:themeColor="text1"/>
          <w:szCs w:val="24"/>
          <w:lang w:val="en-GB"/>
        </w:rPr>
        <w:t xml:space="preserve">(see Chapter </w:t>
      </w:r>
      <w:r w:rsidRPr="008813DE">
        <w:rPr>
          <w:rFonts w:ascii="Arial" w:hAnsi="Arial" w:cs="Arial"/>
          <w:color w:val="000000" w:themeColor="text1"/>
          <w:szCs w:val="24"/>
          <w:lang w:val="en-GB"/>
        </w:rPr>
        <w:t>4</w:t>
      </w:r>
      <w:r w:rsidRPr="0028108F">
        <w:rPr>
          <w:rFonts w:ascii="Arial" w:hAnsi="Arial" w:cs="Arial"/>
          <w:color w:val="000000" w:themeColor="text1"/>
          <w:szCs w:val="24"/>
          <w:lang w:val="en-GB"/>
        </w:rPr>
        <w:t xml:space="preserve"> of this paper).  It has been argued that the Argentina-type model is a good example</w:t>
      </w:r>
      <w:r w:rsidR="00E04777" w:rsidRPr="0028108F">
        <w:rPr>
          <w:rFonts w:ascii="Arial" w:hAnsi="Arial" w:cs="Arial"/>
          <w:color w:val="000000" w:themeColor="text1"/>
          <w:szCs w:val="24"/>
          <w:lang w:val="en-GB"/>
        </w:rPr>
        <w:t xml:space="preserve"> of a gender recognition scheme,</w:t>
      </w:r>
      <w:r w:rsidRPr="0028108F">
        <w:rPr>
          <w:rFonts w:ascii="Arial" w:hAnsi="Arial" w:cs="Arial"/>
          <w:color w:val="000000" w:themeColor="text1"/>
          <w:szCs w:val="24"/>
          <w:lang w:val="en-GB"/>
        </w:rPr>
        <w:t xml:space="preserve"> </w:t>
      </w:r>
      <w:r w:rsidR="00E04777" w:rsidRPr="0028108F">
        <w:rPr>
          <w:rFonts w:ascii="Arial" w:hAnsi="Arial" w:cs="Arial"/>
          <w:color w:val="000000" w:themeColor="text1"/>
          <w:szCs w:val="24"/>
          <w:lang w:val="en-GB"/>
        </w:rPr>
        <w:t xml:space="preserve">as </w:t>
      </w:r>
      <w:r w:rsidRPr="0028108F">
        <w:rPr>
          <w:rFonts w:ascii="Arial" w:hAnsi="Arial" w:cs="Arial"/>
          <w:color w:val="000000" w:themeColor="text1"/>
          <w:szCs w:val="24"/>
          <w:lang w:val="en-GB"/>
        </w:rPr>
        <w:t xml:space="preserve">showing respect for an </w:t>
      </w:r>
      <w:r w:rsidRPr="0028108F">
        <w:rPr>
          <w:rFonts w:ascii="Arial" w:eastAsiaTheme="minorEastAsia" w:hAnsi="Arial" w:cs="Arial"/>
          <w:color w:val="000000" w:themeColor="text1"/>
          <w:kern w:val="0"/>
          <w:szCs w:val="24"/>
          <w:lang w:val="en-GB"/>
        </w:rPr>
        <w:t>individual</w:t>
      </w:r>
      <w:r w:rsidR="000343C7">
        <w:rPr>
          <w:rFonts w:ascii="Arial" w:eastAsiaTheme="minorEastAsia" w:hAnsi="Arial" w:cs="Arial"/>
          <w:color w:val="000000" w:themeColor="text1"/>
          <w:kern w:val="0"/>
          <w:szCs w:val="24"/>
          <w:lang w:val="en-GB"/>
        </w:rPr>
        <w:t>’</w:t>
      </w:r>
      <w:r w:rsidRPr="0028108F">
        <w:rPr>
          <w:rFonts w:ascii="Arial" w:eastAsiaTheme="minorEastAsia" w:hAnsi="Arial" w:cs="Arial"/>
          <w:color w:val="000000" w:themeColor="text1"/>
          <w:kern w:val="0"/>
          <w:szCs w:val="24"/>
          <w:lang w:val="en-GB"/>
        </w:rPr>
        <w:t>s autonomy, self-determination and human dignity, as enshrined under Principle 3 of the Yogyakarta Principle</w:t>
      </w:r>
      <w:r w:rsidR="00CD6F64" w:rsidRPr="0028108F">
        <w:rPr>
          <w:rFonts w:ascii="Arial" w:eastAsiaTheme="minorEastAsia" w:hAnsi="Arial" w:cs="Arial"/>
          <w:color w:val="000000" w:themeColor="text1"/>
          <w:kern w:val="0"/>
          <w:szCs w:val="24"/>
          <w:lang w:val="en-GB"/>
        </w:rPr>
        <w:t>s</w:t>
      </w:r>
      <w:r w:rsidRPr="0028108F">
        <w:rPr>
          <w:rFonts w:ascii="Arial" w:eastAsiaTheme="minorEastAsia" w:hAnsi="Arial" w:cs="Arial"/>
          <w:color w:val="000000" w:themeColor="text1"/>
          <w:kern w:val="0"/>
          <w:szCs w:val="24"/>
          <w:lang w:val="en-GB"/>
        </w:rPr>
        <w:t>:</w:t>
      </w:r>
      <w:r w:rsidRPr="0028108F">
        <w:rPr>
          <w:rStyle w:val="FootnoteReference"/>
          <w:rFonts w:ascii="Arial" w:hAnsi="Arial" w:cs="Arial"/>
          <w:color w:val="000000" w:themeColor="text1"/>
          <w:szCs w:val="24"/>
          <w:lang w:val="en-GB"/>
        </w:rPr>
        <w:footnoteReference w:id="492"/>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color w:val="000000" w:themeColor="text1"/>
          <w:szCs w:val="24"/>
          <w:lang w:val="en-GB"/>
        </w:rPr>
      </w:pPr>
      <w:r w:rsidRPr="0028108F">
        <w:rPr>
          <w:rFonts w:ascii="Arial" w:eastAsiaTheme="minorEastAsia" w:hAnsi="Arial" w:cs="Arial"/>
          <w:i/>
          <w:color w:val="000000" w:themeColor="text1"/>
          <w:kern w:val="0"/>
          <w:szCs w:val="24"/>
          <w:lang w:val="en-GB"/>
        </w:rPr>
        <w:t xml:space="preserve">“Everyone has the right to recognition everywhere as a person before the law. </w:t>
      </w:r>
      <w:r w:rsidR="000F0C98" w:rsidRPr="0028108F">
        <w:rPr>
          <w:rFonts w:ascii="Arial" w:eastAsiaTheme="minorEastAsia" w:hAnsi="Arial" w:cs="Arial"/>
          <w:i/>
          <w:color w:val="000000" w:themeColor="text1"/>
          <w:kern w:val="0"/>
          <w:szCs w:val="24"/>
          <w:lang w:val="en-GB"/>
        </w:rPr>
        <w:t xml:space="preserve"> </w:t>
      </w:r>
      <w:r w:rsidRPr="0028108F">
        <w:rPr>
          <w:rFonts w:ascii="Arial" w:eastAsiaTheme="minorEastAsia" w:hAnsi="Arial" w:cs="Arial"/>
          <w:i/>
          <w:color w:val="000000" w:themeColor="text1"/>
          <w:kern w:val="0"/>
          <w:szCs w:val="24"/>
          <w:lang w:val="en-GB"/>
        </w:rPr>
        <w:t xml:space="preserve">Persons of diverse sexual orientations and gender identities shall enjoy legal capacity in all aspects of life. </w:t>
      </w:r>
      <w:r w:rsidR="000F0C98" w:rsidRPr="0028108F">
        <w:rPr>
          <w:rFonts w:ascii="Arial" w:eastAsiaTheme="minorEastAsia" w:hAnsi="Arial" w:cs="Arial"/>
          <w:i/>
          <w:color w:val="000000" w:themeColor="text1"/>
          <w:kern w:val="0"/>
          <w:szCs w:val="24"/>
          <w:lang w:val="en-GB"/>
        </w:rPr>
        <w:t xml:space="preserve"> </w:t>
      </w:r>
      <w:r w:rsidRPr="0028108F">
        <w:rPr>
          <w:rFonts w:ascii="Arial" w:eastAsiaTheme="minorEastAsia" w:hAnsi="Arial" w:cs="Arial"/>
          <w:i/>
          <w:color w:val="000000" w:themeColor="text1"/>
          <w:kern w:val="0"/>
          <w:szCs w:val="24"/>
          <w:lang w:val="en-GB"/>
        </w:rPr>
        <w:t xml:space="preserve">Each person’s self-defined sexual orientation and gender identity is integral to their personality and is one of the most basis aspects of self-determination, dignity and freedom. </w:t>
      </w:r>
      <w:r w:rsidR="000F0C98" w:rsidRPr="0028108F">
        <w:rPr>
          <w:rFonts w:ascii="Arial" w:eastAsiaTheme="minorEastAsia" w:hAnsi="Arial" w:cs="Arial"/>
          <w:i/>
          <w:color w:val="000000" w:themeColor="text1"/>
          <w:kern w:val="0"/>
          <w:szCs w:val="24"/>
          <w:lang w:val="en-GB"/>
        </w:rPr>
        <w:t xml:space="preserve"> </w:t>
      </w:r>
      <w:r w:rsidRPr="0028108F">
        <w:rPr>
          <w:rFonts w:ascii="Arial" w:eastAsiaTheme="minorEastAsia" w:hAnsi="Arial" w:cs="Arial"/>
          <w:i/>
          <w:color w:val="000000" w:themeColor="text1"/>
          <w:kern w:val="0"/>
          <w:szCs w:val="24"/>
          <w:lang w:val="en-GB"/>
        </w:rPr>
        <w:t xml:space="preserve">No one shall be forced to undergo medical procedures, including sex reassignment surgery, sterilisation or hormonal therapy, as a requirement for legal recognition of their gender identity. </w:t>
      </w:r>
      <w:r w:rsidR="000F0C98" w:rsidRPr="0028108F">
        <w:rPr>
          <w:rFonts w:ascii="Arial" w:eastAsiaTheme="minorEastAsia" w:hAnsi="Arial" w:cs="Arial"/>
          <w:i/>
          <w:color w:val="000000" w:themeColor="text1"/>
          <w:kern w:val="0"/>
          <w:szCs w:val="24"/>
          <w:lang w:val="en-GB"/>
        </w:rPr>
        <w:t xml:space="preserve"> </w:t>
      </w:r>
      <w:r w:rsidRPr="0028108F">
        <w:rPr>
          <w:rFonts w:ascii="Arial" w:eastAsiaTheme="minorEastAsia" w:hAnsi="Arial" w:cs="Arial"/>
          <w:i/>
          <w:color w:val="000000" w:themeColor="text1"/>
          <w:kern w:val="0"/>
          <w:szCs w:val="24"/>
          <w:lang w:val="en-GB"/>
        </w:rPr>
        <w:t>No status, such as marriage or parenthood, may be invoked as such to prevent the legal recognition of a person’s gender identity.”</w:t>
      </w:r>
    </w:p>
    <w:p w:rsidR="00E773F6" w:rsidRPr="0028108F" w:rsidRDefault="00E773F6" w:rsidP="00E773F6">
      <w:pPr>
        <w:tabs>
          <w:tab w:val="left" w:pos="1418"/>
          <w:tab w:val="left" w:pos="2552"/>
        </w:tabs>
        <w:adjustRightInd w:val="0"/>
        <w:snapToGrid w:val="0"/>
        <w:jc w:val="both"/>
        <w:rPr>
          <w:rFonts w:ascii="Arial" w:hAnsi="Arial" w:cs="Arial"/>
          <w:color w:val="000000" w:themeColor="text1"/>
          <w:szCs w:val="24"/>
          <w:lang w:val="en-GB"/>
        </w:rPr>
      </w:pPr>
    </w:p>
    <w:p w:rsidR="00E773F6" w:rsidRPr="00181CF2" w:rsidRDefault="00E773F6" w:rsidP="00E773F6">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In the UK, </w:t>
      </w:r>
      <w:r w:rsidR="005E6528">
        <w:rPr>
          <w:rFonts w:ascii="Arial" w:hAnsi="Arial" w:cs="Arial" w:hint="eastAsia"/>
          <w:color w:val="000000" w:themeColor="text1"/>
          <w:szCs w:val="24"/>
          <w:lang w:val="en-GB"/>
        </w:rPr>
        <w:t xml:space="preserve">some </w:t>
      </w:r>
      <w:r w:rsidRPr="0028108F">
        <w:rPr>
          <w:rFonts w:ascii="Arial" w:hAnsi="Arial" w:cs="Arial"/>
          <w:color w:val="000000" w:themeColor="text1"/>
          <w:szCs w:val="24"/>
          <w:lang w:val="en-GB"/>
        </w:rPr>
        <w:t xml:space="preserve">advocates support </w:t>
      </w:r>
      <w:r w:rsidR="000F0C98"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 xml:space="preserve">claim </w:t>
      </w:r>
      <w:r w:rsidR="00A04000" w:rsidRPr="0028108F">
        <w:rPr>
          <w:rFonts w:ascii="Arial" w:hAnsi="Arial" w:cs="Arial"/>
          <w:color w:val="000000" w:themeColor="text1"/>
          <w:szCs w:val="24"/>
          <w:lang w:val="en-GB"/>
        </w:rPr>
        <w:t>for</w:t>
      </w:r>
      <w:r w:rsidRPr="0028108F">
        <w:rPr>
          <w:rFonts w:ascii="Arial" w:hAnsi="Arial" w:cs="Arial"/>
          <w:color w:val="000000" w:themeColor="text1"/>
          <w:szCs w:val="24"/>
          <w:lang w:val="en-GB"/>
        </w:rPr>
        <w:t xml:space="preserve"> </w:t>
      </w:r>
      <w:r w:rsidR="00A04000"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self-declaration</w:t>
      </w:r>
      <w:r w:rsidR="00A04000" w:rsidRPr="0028108F">
        <w:rPr>
          <w:rFonts w:ascii="Arial" w:hAnsi="Arial" w:cs="Arial"/>
          <w:color w:val="000000" w:themeColor="text1"/>
          <w:szCs w:val="24"/>
          <w:lang w:val="en-GB"/>
        </w:rPr>
        <w:t xml:space="preserve"> scheme</w:t>
      </w:r>
      <w:r w:rsidRPr="0028108F">
        <w:rPr>
          <w:rFonts w:ascii="Arial" w:hAnsi="Arial" w:cs="Arial"/>
          <w:color w:val="000000" w:themeColor="text1"/>
          <w:szCs w:val="24"/>
          <w:lang w:val="en-GB"/>
        </w:rPr>
        <w:t xml:space="preserve"> </w:t>
      </w:r>
      <w:r w:rsidR="00A04000" w:rsidRPr="0028108F">
        <w:rPr>
          <w:rFonts w:ascii="Arial" w:hAnsi="Arial" w:cs="Arial"/>
          <w:color w:val="000000" w:themeColor="text1"/>
          <w:szCs w:val="24"/>
          <w:lang w:val="en-GB"/>
        </w:rPr>
        <w:t>(</w:t>
      </w:r>
      <w:r w:rsidRPr="0028108F">
        <w:rPr>
          <w:rFonts w:ascii="Arial" w:hAnsi="Arial" w:cs="Arial"/>
          <w:color w:val="000000" w:themeColor="text1"/>
          <w:szCs w:val="24"/>
          <w:lang w:val="en-GB"/>
        </w:rPr>
        <w:t>without any requirement of medical diagnosis and intervention</w:t>
      </w:r>
      <w:r w:rsidR="00A04000"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by reference to recent reforms in the Netherlands, Denmark and Malta.</w:t>
      </w:r>
      <w:r w:rsidRPr="00181CF2">
        <w:rPr>
          <w:rStyle w:val="FootnoteReference"/>
          <w:rFonts w:ascii="Arial" w:hAnsi="Arial" w:cs="Arial"/>
          <w:color w:val="000000" w:themeColor="text1"/>
          <w:lang w:val="en-GB"/>
        </w:rPr>
        <w:footnoteReference w:id="493"/>
      </w:r>
      <w:r w:rsidRPr="00181CF2">
        <w:rPr>
          <w:rFonts w:ascii="Arial" w:hAnsi="Arial" w:cs="Arial"/>
          <w:color w:val="000000" w:themeColor="text1"/>
          <w:szCs w:val="24"/>
          <w:lang w:val="en-GB"/>
        </w:rPr>
        <w:t xml:space="preserve">  Although these recent developments cannot yet be considered to establish a wider right to self-declaration in human rights law, </w:t>
      </w:r>
      <w:r w:rsidR="004E3316">
        <w:rPr>
          <w:rFonts w:ascii="Arial" w:hAnsi="Arial" w:cs="Arial"/>
          <w:color w:val="000000" w:themeColor="text1"/>
          <w:szCs w:val="24"/>
          <w:lang w:val="en-GB"/>
        </w:rPr>
        <w:t xml:space="preserve">it has been contended </w:t>
      </w:r>
      <w:r w:rsidRPr="0028108F">
        <w:rPr>
          <w:rFonts w:ascii="Arial" w:hAnsi="Arial" w:cs="Arial"/>
          <w:color w:val="000000" w:themeColor="text1"/>
          <w:szCs w:val="24"/>
          <w:lang w:val="en-GB"/>
        </w:rPr>
        <w:t xml:space="preserve">that de-psychopathologisation </w:t>
      </w:r>
      <w:r w:rsidR="00A04000" w:rsidRPr="0028108F">
        <w:rPr>
          <w:rFonts w:ascii="Arial" w:hAnsi="Arial" w:cs="Arial"/>
          <w:color w:val="000000" w:themeColor="text1"/>
          <w:szCs w:val="24"/>
          <w:lang w:val="en-GB"/>
        </w:rPr>
        <w:t>of</w:t>
      </w:r>
      <w:r w:rsidRPr="0028108F">
        <w:rPr>
          <w:rFonts w:ascii="Arial" w:hAnsi="Arial" w:cs="Arial"/>
          <w:color w:val="000000" w:themeColor="text1"/>
          <w:szCs w:val="24"/>
          <w:lang w:val="en-GB"/>
        </w:rPr>
        <w:t xml:space="preserve"> gender recognition envisaged in the Danish and Maltese models represent</w:t>
      </w:r>
      <w:r w:rsidR="00A04000"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emerging </w:t>
      </w:r>
      <w:r w:rsidRPr="0028108F">
        <w:rPr>
          <w:rFonts w:ascii="Arial" w:hAnsi="Arial" w:cs="Arial"/>
          <w:i/>
          <w:color w:val="000000" w:themeColor="text1"/>
          <w:szCs w:val="24"/>
          <w:lang w:val="en-GB"/>
        </w:rPr>
        <w:t>“best practice”</w:t>
      </w:r>
      <w:r w:rsidRPr="00181CF2">
        <w:rPr>
          <w:rFonts w:ascii="Arial" w:hAnsi="Arial" w:cs="Arial"/>
          <w:color w:val="000000" w:themeColor="text1"/>
          <w:szCs w:val="24"/>
          <w:lang w:val="en-GB"/>
        </w:rPr>
        <w:t xml:space="preserve"> for reform in other jurisdictions.</w:t>
      </w:r>
      <w:r w:rsidRPr="00181CF2">
        <w:rPr>
          <w:rStyle w:val="FootnoteReference"/>
          <w:rFonts w:ascii="Arial" w:hAnsi="Arial" w:cs="Arial"/>
          <w:color w:val="000000" w:themeColor="text1"/>
          <w:lang w:val="en-GB"/>
        </w:rPr>
        <w:footnoteReference w:id="494"/>
      </w:r>
    </w:p>
    <w:p w:rsidR="00E773F6" w:rsidRPr="00181CF2" w:rsidRDefault="00E773F6" w:rsidP="00E773F6">
      <w:pPr>
        <w:tabs>
          <w:tab w:val="left" w:pos="1418"/>
          <w:tab w:val="left" w:pos="2552"/>
        </w:tabs>
        <w:adjustRightInd w:val="0"/>
        <w:snapToGrid w:val="0"/>
        <w:jc w:val="both"/>
        <w:rPr>
          <w:rFonts w:ascii="Arial" w:hAnsi="Arial" w:cs="Arial"/>
          <w:color w:val="000000" w:themeColor="text1"/>
          <w:szCs w:val="24"/>
          <w:lang w:val="en-GB"/>
        </w:rPr>
      </w:pPr>
    </w:p>
    <w:p w:rsidR="00E773F6" w:rsidRPr="0028108F" w:rsidRDefault="00E773F6" w:rsidP="00E773F6">
      <w:pPr>
        <w:tabs>
          <w:tab w:val="left" w:pos="1418"/>
          <w:tab w:val="left" w:pos="2552"/>
        </w:tabs>
        <w:adjustRightInd w:val="0"/>
        <w:snapToGrid w:val="0"/>
        <w:jc w:val="both"/>
        <w:rPr>
          <w:rFonts w:ascii="Arial" w:hAnsi="Arial" w:cs="Arial"/>
          <w:i/>
          <w:color w:val="000000" w:themeColor="text1"/>
          <w:szCs w:val="24"/>
          <w:lang w:val="en-GB"/>
        </w:rPr>
      </w:pPr>
      <w:r w:rsidRPr="00C57CE1">
        <w:rPr>
          <w:rFonts w:ascii="Arial" w:hAnsi="Arial" w:cs="Arial"/>
          <w:i/>
          <w:color w:val="000000" w:themeColor="text1"/>
          <w:szCs w:val="24"/>
          <w:lang w:val="en-GB"/>
        </w:rPr>
        <w:t xml:space="preserve">Argument (3): Growing trend of de-psychopathologisation </w:t>
      </w:r>
      <w:r w:rsidRPr="0028108F">
        <w:rPr>
          <w:rFonts w:ascii="Arial" w:hAnsi="Arial" w:cs="Arial"/>
          <w:i/>
          <w:color w:val="000000" w:themeColor="text1"/>
          <w:szCs w:val="24"/>
          <w:lang w:val="en-GB"/>
        </w:rPr>
        <w:t>of transsexualism and transgenderism</w:t>
      </w:r>
    </w:p>
    <w:p w:rsidR="00E773F6" w:rsidRPr="0028108F" w:rsidRDefault="00E773F6" w:rsidP="00E773F6">
      <w:pPr>
        <w:tabs>
          <w:tab w:val="left" w:pos="851"/>
        </w:tabs>
        <w:adjustRightInd w:val="0"/>
        <w:snapToGrid w:val="0"/>
        <w:jc w:val="both"/>
        <w:rPr>
          <w:rFonts w:ascii="Arial" w:hAnsi="Arial" w:cs="Arial"/>
          <w:b/>
          <w:color w:val="000000" w:themeColor="text1"/>
          <w:szCs w:val="24"/>
          <w:lang w:val="en-GB"/>
        </w:rPr>
      </w:pPr>
    </w:p>
    <w:p w:rsidR="008F51A0" w:rsidRPr="0028108F" w:rsidRDefault="002E7373" w:rsidP="0028108F">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I</w:t>
      </w:r>
      <w:r w:rsidR="00E652E4" w:rsidRPr="0028108F">
        <w:rPr>
          <w:rFonts w:ascii="Arial" w:hAnsi="Arial" w:cs="Arial"/>
          <w:color w:val="000000" w:themeColor="text1"/>
          <w:szCs w:val="24"/>
          <w:lang w:val="en-GB"/>
        </w:rPr>
        <w:t>t</w:t>
      </w:r>
      <w:r w:rsidRPr="0028108F">
        <w:rPr>
          <w:rFonts w:ascii="Arial" w:hAnsi="Arial" w:cs="Arial"/>
          <w:color w:val="000000" w:themeColor="text1"/>
          <w:szCs w:val="24"/>
          <w:lang w:val="en-GB"/>
        </w:rPr>
        <w:t xml:space="preserve"> has been argued</w:t>
      </w:r>
      <w:r w:rsidR="00E652E4" w:rsidRPr="0028108F">
        <w:rPr>
          <w:rFonts w:ascii="Arial" w:hAnsi="Arial" w:cs="Arial"/>
          <w:color w:val="000000" w:themeColor="text1"/>
          <w:szCs w:val="24"/>
          <w:lang w:val="en-GB"/>
        </w:rPr>
        <w:t xml:space="preserve"> that medical diagnoses </w:t>
      </w:r>
      <w:r w:rsidRPr="0028108F">
        <w:rPr>
          <w:rFonts w:ascii="Arial" w:hAnsi="Arial" w:cs="Arial"/>
          <w:color w:val="000000" w:themeColor="text1"/>
          <w:szCs w:val="24"/>
          <w:lang w:val="en-GB"/>
        </w:rPr>
        <w:t xml:space="preserve">in this area, </w:t>
      </w:r>
      <w:r w:rsidR="00E652E4" w:rsidRPr="0028108F">
        <w:rPr>
          <w:rFonts w:ascii="Arial" w:hAnsi="Arial" w:cs="Arial"/>
          <w:color w:val="000000" w:themeColor="text1"/>
          <w:szCs w:val="24"/>
          <w:lang w:val="en-GB"/>
        </w:rPr>
        <w:t>and their underlying rationale</w:t>
      </w:r>
      <w:r w:rsidRPr="0028108F">
        <w:rPr>
          <w:rFonts w:ascii="Arial" w:hAnsi="Arial" w:cs="Arial"/>
          <w:color w:val="000000" w:themeColor="text1"/>
          <w:szCs w:val="24"/>
          <w:lang w:val="en-GB"/>
        </w:rPr>
        <w:t>,</w:t>
      </w:r>
      <w:r w:rsidR="00E652E4" w:rsidRPr="0028108F">
        <w:rPr>
          <w:rFonts w:ascii="Arial" w:hAnsi="Arial" w:cs="Arial"/>
          <w:color w:val="000000" w:themeColor="text1"/>
          <w:szCs w:val="24"/>
          <w:lang w:val="en-GB"/>
        </w:rPr>
        <w:t xml:space="preserve"> have be</w:t>
      </w:r>
      <w:r w:rsidRPr="0028108F">
        <w:rPr>
          <w:rFonts w:ascii="Arial" w:hAnsi="Arial" w:cs="Arial"/>
          <w:color w:val="000000" w:themeColor="text1"/>
          <w:szCs w:val="24"/>
          <w:lang w:val="en-GB"/>
        </w:rPr>
        <w:t>come increasingly controversial</w:t>
      </w:r>
      <w:r w:rsidR="00E652E4" w:rsidRPr="00181CF2">
        <w:rPr>
          <w:rStyle w:val="FootnoteReference"/>
          <w:rFonts w:ascii="Arial" w:hAnsi="Arial" w:cs="Arial"/>
          <w:color w:val="000000" w:themeColor="text1"/>
          <w:szCs w:val="24"/>
          <w:lang w:val="en-GB"/>
        </w:rPr>
        <w:footnoteReference w:id="495"/>
      </w:r>
      <w:r w:rsidRPr="00181CF2">
        <w:rPr>
          <w:rFonts w:ascii="Arial" w:hAnsi="Arial" w:cs="Arial"/>
          <w:color w:val="000000" w:themeColor="text1"/>
          <w:szCs w:val="24"/>
          <w:lang w:val="en-GB"/>
        </w:rPr>
        <w:t xml:space="preserve"> </w:t>
      </w:r>
      <w:r w:rsidRPr="00C57CE1">
        <w:rPr>
          <w:rFonts w:ascii="Arial" w:hAnsi="Arial" w:cs="Arial"/>
          <w:color w:val="000000" w:themeColor="text1"/>
          <w:szCs w:val="24"/>
          <w:lang w:val="en-GB"/>
        </w:rPr>
        <w:t>with</w:t>
      </w:r>
      <w:r w:rsidR="00DE5331" w:rsidRPr="0028108F">
        <w:rPr>
          <w:rFonts w:ascii="Arial" w:hAnsi="Arial" w:cs="Arial"/>
          <w:color w:val="000000" w:themeColor="text1"/>
          <w:szCs w:val="24"/>
          <w:lang w:val="en-GB"/>
        </w:rPr>
        <w:t>, as alluded to above,</w:t>
      </w:r>
      <w:r w:rsidR="00E773F6" w:rsidRPr="0028108F">
        <w:rPr>
          <w:rFonts w:ascii="Arial" w:hAnsi="Arial" w:cs="Arial"/>
          <w:color w:val="000000" w:themeColor="text1"/>
          <w:szCs w:val="24"/>
          <w:lang w:val="en-GB"/>
        </w:rPr>
        <w:t xml:space="preserve"> </w:t>
      </w:r>
      <w:r w:rsidR="00E652E4" w:rsidRPr="0028108F">
        <w:rPr>
          <w:rFonts w:ascii="Arial" w:hAnsi="Arial" w:cs="Arial"/>
          <w:color w:val="000000" w:themeColor="text1"/>
          <w:szCs w:val="24"/>
          <w:lang w:val="en-GB"/>
        </w:rPr>
        <w:t xml:space="preserve">a </w:t>
      </w:r>
      <w:r w:rsidR="00E773F6" w:rsidRPr="0028108F">
        <w:rPr>
          <w:rFonts w:ascii="Arial" w:hAnsi="Arial" w:cs="Arial"/>
          <w:color w:val="000000" w:themeColor="text1"/>
          <w:szCs w:val="24"/>
          <w:lang w:val="en-GB"/>
        </w:rPr>
        <w:t>growing number of people advocat</w:t>
      </w:r>
      <w:r w:rsidRPr="0028108F">
        <w:rPr>
          <w:rFonts w:ascii="Arial" w:hAnsi="Arial" w:cs="Arial"/>
          <w:color w:val="000000" w:themeColor="text1"/>
          <w:szCs w:val="24"/>
          <w:lang w:val="en-GB"/>
        </w:rPr>
        <w:t>ing</w:t>
      </w:r>
      <w:r w:rsidR="00E773F6" w:rsidRPr="0028108F">
        <w:rPr>
          <w:rFonts w:ascii="Arial" w:hAnsi="Arial" w:cs="Arial"/>
          <w:color w:val="000000" w:themeColor="text1"/>
          <w:szCs w:val="24"/>
          <w:lang w:val="en-GB"/>
        </w:rPr>
        <w:t xml:space="preserve"> for </w:t>
      </w:r>
      <w:r w:rsidR="00E773F6" w:rsidRPr="0028108F">
        <w:rPr>
          <w:rFonts w:ascii="Arial" w:hAnsi="Arial" w:cs="Arial"/>
          <w:i/>
          <w:color w:val="000000" w:themeColor="text1"/>
          <w:szCs w:val="24"/>
          <w:lang w:val="en-GB"/>
        </w:rPr>
        <w:t>“de-psychopathologisation”</w:t>
      </w:r>
      <w:r w:rsidR="00E773F6" w:rsidRPr="0028108F">
        <w:rPr>
          <w:rFonts w:ascii="Arial" w:hAnsi="Arial" w:cs="Arial"/>
          <w:color w:val="000000" w:themeColor="text1"/>
          <w:szCs w:val="24"/>
          <w:lang w:val="en-GB"/>
        </w:rPr>
        <w:t xml:space="preserve"> of transsexuality and transgenderism in order to remove the stigma attached to transgender persons being diagnosed as having a mental disorder.</w:t>
      </w:r>
    </w:p>
    <w:p w:rsidR="008F51A0" w:rsidRPr="0028108F" w:rsidRDefault="008F51A0" w:rsidP="0028108F">
      <w:pPr>
        <w:tabs>
          <w:tab w:val="left" w:pos="851"/>
        </w:tabs>
        <w:adjustRightInd w:val="0"/>
        <w:snapToGrid w:val="0"/>
        <w:jc w:val="both"/>
        <w:rPr>
          <w:rFonts w:ascii="Arial" w:hAnsi="Arial" w:cs="Arial"/>
          <w:b/>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Dr Hines of the University of Leeds </w:t>
      </w:r>
      <w:r w:rsidR="008F51A0" w:rsidRPr="0028108F">
        <w:rPr>
          <w:rFonts w:ascii="Arial" w:hAnsi="Arial" w:cs="Arial"/>
          <w:color w:val="000000" w:themeColor="text1"/>
          <w:szCs w:val="24"/>
          <w:lang w:val="en-GB"/>
        </w:rPr>
        <w:t xml:space="preserve">has </w:t>
      </w:r>
      <w:r w:rsidRPr="0028108F">
        <w:rPr>
          <w:rFonts w:ascii="Arial" w:hAnsi="Arial" w:cs="Arial"/>
          <w:color w:val="000000" w:themeColor="text1"/>
          <w:szCs w:val="24"/>
          <w:lang w:val="en-GB"/>
        </w:rPr>
        <w:t>argued that the evidence-based criteria of the UK GRA, th</w:t>
      </w:r>
      <w:r w:rsidR="00B513B4" w:rsidRPr="0028108F">
        <w:rPr>
          <w:rFonts w:ascii="Arial" w:hAnsi="Arial" w:cs="Arial"/>
          <w:color w:val="000000" w:themeColor="text1"/>
          <w:szCs w:val="24"/>
          <w:lang w:val="en-GB"/>
        </w:rPr>
        <w:t>r</w:t>
      </w:r>
      <w:r w:rsidRPr="0028108F">
        <w:rPr>
          <w:rFonts w:ascii="Arial" w:hAnsi="Arial" w:cs="Arial"/>
          <w:color w:val="000000" w:themeColor="text1"/>
          <w:szCs w:val="24"/>
          <w:lang w:val="en-GB"/>
        </w:rPr>
        <w:t>ough demanding that a person be diagnosed with gender dysphoria before being deemed eligible for a Gender Recognition Certificate, “</w:t>
      </w:r>
      <w:r w:rsidRPr="0028108F">
        <w:rPr>
          <w:rFonts w:ascii="Arial" w:hAnsi="Arial" w:cs="Arial"/>
          <w:i/>
          <w:color w:val="000000" w:themeColor="text1"/>
          <w:szCs w:val="24"/>
          <w:lang w:val="en-GB"/>
        </w:rPr>
        <w:t>instrumentally countered gender difference</w:t>
      </w:r>
      <w:r w:rsidRPr="0028108F">
        <w:rPr>
          <w:rFonts w:ascii="Arial" w:hAnsi="Arial" w:cs="Arial"/>
          <w:color w:val="000000" w:themeColor="text1"/>
          <w:szCs w:val="24"/>
          <w:lang w:val="en-GB"/>
        </w:rPr>
        <w:t>” because this “</w:t>
      </w:r>
      <w:r w:rsidRPr="0028108F">
        <w:rPr>
          <w:rFonts w:ascii="Arial" w:hAnsi="Arial" w:cs="Arial"/>
          <w:i/>
          <w:color w:val="000000" w:themeColor="text1"/>
          <w:szCs w:val="24"/>
          <w:lang w:val="en-GB"/>
        </w:rPr>
        <w:t>leaves transsexualism (rather than gender diversity per se) as the only permissible route to gender recognition and, as such, reproduces much critiqued medical understandings of transsexualism as pathological.</w:t>
      </w:r>
      <w:r w:rsidRPr="0028108F">
        <w:rPr>
          <w:rFonts w:ascii="Arial" w:hAnsi="Arial" w:cs="Arial"/>
          <w:color w:val="000000" w:themeColor="text1"/>
          <w:szCs w:val="24"/>
          <w:lang w:val="en-GB"/>
        </w:rPr>
        <w:t>”</w:t>
      </w:r>
      <w:r w:rsidRPr="0028108F">
        <w:rPr>
          <w:rStyle w:val="FootnoteReference"/>
          <w:rFonts w:ascii="Arial" w:hAnsi="Arial" w:cs="Arial"/>
          <w:color w:val="000000" w:themeColor="text1"/>
          <w:szCs w:val="24"/>
          <w:lang w:val="en-GB"/>
        </w:rPr>
        <w:footnoteReference w:id="496"/>
      </w:r>
      <w:r w:rsidRPr="0028108F">
        <w:rPr>
          <w:rFonts w:ascii="Arial" w:hAnsi="Arial" w:cs="Arial"/>
          <w:color w:val="000000" w:themeColor="text1"/>
          <w:szCs w:val="24"/>
          <w:lang w:val="en-GB"/>
        </w:rPr>
        <w:t xml:space="preserve">  She observed that this criterion </w:t>
      </w:r>
      <w:r w:rsidRPr="0028108F">
        <w:rPr>
          <w:rFonts w:ascii="Arial" w:hAnsi="Arial" w:cs="Arial"/>
          <w:i/>
          <w:color w:val="000000" w:themeColor="text1"/>
          <w:szCs w:val="24"/>
          <w:lang w:val="en-GB"/>
        </w:rPr>
        <w:t>“leads many gender diverse people to reproduce a transsexual narrative strategically, for rights and benefits.</w:t>
      </w:r>
      <w:r w:rsidRPr="0028108F">
        <w:rPr>
          <w:rFonts w:ascii="Arial" w:hAnsi="Arial" w:cs="Arial"/>
          <w:color w:val="000000" w:themeColor="text1"/>
          <w:szCs w:val="24"/>
          <w:lang w:val="en-GB"/>
        </w:rPr>
        <w:t>”</w:t>
      </w:r>
      <w:r w:rsidRPr="0028108F">
        <w:rPr>
          <w:rStyle w:val="FootnoteReference"/>
          <w:rFonts w:ascii="Arial" w:hAnsi="Arial" w:cs="Arial"/>
          <w:color w:val="000000" w:themeColor="text1"/>
          <w:szCs w:val="24"/>
          <w:lang w:val="en-GB"/>
        </w:rPr>
        <w:footnoteReference w:id="497"/>
      </w:r>
      <w:r w:rsidR="00B513B4" w:rsidRPr="0028108F">
        <w:rPr>
          <w:rFonts w:ascii="Arial" w:hAnsi="Arial" w:cs="Arial"/>
          <w:color w:val="000000" w:themeColor="text1"/>
          <w:szCs w:val="24"/>
          <w:lang w:val="en-GB"/>
        </w:rPr>
        <w:t xml:space="preserve">  It has been argued that requiring a healthy person with a transgender identity to be labelled as mentally ill </w:t>
      </w:r>
      <w:r w:rsidR="00922D18">
        <w:rPr>
          <w:rFonts w:ascii="Arial" w:hAnsi="Arial" w:cs="Arial" w:hint="eastAsia"/>
          <w:color w:val="000000" w:themeColor="text1"/>
          <w:szCs w:val="24"/>
          <w:lang w:val="en-GB"/>
        </w:rPr>
        <w:t>within legal gender recognition proceedings impacts the person</w:t>
      </w:r>
      <w:r w:rsidR="00922D18">
        <w:rPr>
          <w:rFonts w:ascii="Arial" w:hAnsi="Arial" w:cs="Arial"/>
          <w:color w:val="000000" w:themeColor="text1"/>
          <w:szCs w:val="24"/>
          <w:lang w:val="en-GB"/>
        </w:rPr>
        <w:t>’</w:t>
      </w:r>
      <w:r w:rsidR="00922D18">
        <w:rPr>
          <w:rFonts w:ascii="Arial" w:hAnsi="Arial" w:cs="Arial" w:hint="eastAsia"/>
          <w:color w:val="000000" w:themeColor="text1"/>
          <w:szCs w:val="24"/>
          <w:lang w:val="en-GB"/>
        </w:rPr>
        <w:t xml:space="preserve">s lives and violates his/her right to private life, </w:t>
      </w:r>
      <w:r w:rsidR="00BA0624">
        <w:rPr>
          <w:rFonts w:ascii="Arial" w:hAnsi="Arial" w:cs="Arial"/>
          <w:color w:val="000000" w:themeColor="text1"/>
          <w:szCs w:val="24"/>
          <w:lang w:val="en-GB"/>
        </w:rPr>
        <w:t xml:space="preserve">and </w:t>
      </w:r>
      <w:r w:rsidR="00922D18">
        <w:rPr>
          <w:rFonts w:ascii="Arial" w:hAnsi="Arial" w:cs="Arial" w:hint="eastAsia"/>
          <w:color w:val="000000" w:themeColor="text1"/>
          <w:szCs w:val="24"/>
          <w:lang w:val="en-GB"/>
        </w:rPr>
        <w:t>the right to non-discrimination</w:t>
      </w:r>
      <w:r w:rsidR="00B513B4" w:rsidRPr="0028108F">
        <w:rPr>
          <w:rFonts w:ascii="Arial" w:hAnsi="Arial" w:cs="Arial"/>
          <w:color w:val="000000" w:themeColor="text1"/>
          <w:szCs w:val="24"/>
          <w:lang w:val="en-GB"/>
        </w:rPr>
        <w:t>.</w:t>
      </w:r>
      <w:r w:rsidR="00B513B4" w:rsidRPr="0028108F">
        <w:rPr>
          <w:rStyle w:val="FootnoteReference"/>
          <w:rFonts w:ascii="Arial" w:hAnsi="Arial" w:cs="Arial"/>
          <w:color w:val="000000" w:themeColor="text1"/>
          <w:szCs w:val="24"/>
          <w:lang w:val="en-GB"/>
        </w:rPr>
        <w:footnoteReference w:id="498"/>
      </w:r>
      <w:r w:rsidR="00B513B4" w:rsidRPr="0028108F">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i/>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djustRightInd w:val="0"/>
        <w:snapToGrid w:val="0"/>
        <w:ind w:leftChars="0" w:left="0" w:firstLine="0"/>
        <w:jc w:val="both"/>
        <w:rPr>
          <w:rFonts w:ascii="Arial" w:hAnsi="Arial" w:cs="Arial"/>
          <w:i/>
          <w:color w:val="000000" w:themeColor="text1"/>
          <w:szCs w:val="24"/>
          <w:lang w:val="en-GB"/>
        </w:rPr>
      </w:pPr>
      <w:r w:rsidRPr="0028108F">
        <w:rPr>
          <w:rFonts w:ascii="Arial" w:hAnsi="Arial" w:cs="Arial"/>
          <w:color w:val="000000" w:themeColor="text1"/>
          <w:szCs w:val="24"/>
          <w:lang w:val="en-GB"/>
        </w:rPr>
        <w:t xml:space="preserve">Dr Winter </w:t>
      </w:r>
      <w:r w:rsidR="008F51A0" w:rsidRPr="0028108F">
        <w:rPr>
          <w:rFonts w:ascii="Arial" w:hAnsi="Arial" w:cs="Arial"/>
          <w:color w:val="000000" w:themeColor="text1"/>
          <w:szCs w:val="24"/>
          <w:lang w:val="en-GB"/>
        </w:rPr>
        <w:t>has commented</w:t>
      </w:r>
      <w:r w:rsidRPr="0028108F">
        <w:rPr>
          <w:rFonts w:ascii="Arial" w:hAnsi="Arial" w:cs="Arial"/>
          <w:color w:val="000000" w:themeColor="text1"/>
          <w:szCs w:val="24"/>
          <w:lang w:val="en-GB"/>
        </w:rPr>
        <w:t>:</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i/>
          <w:color w:val="000000" w:themeColor="text1"/>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color w:val="000000" w:themeColor="text1"/>
          <w:szCs w:val="24"/>
          <w:lang w:val="en-GB"/>
        </w:rPr>
      </w:pPr>
      <w:r w:rsidRPr="0028108F">
        <w:rPr>
          <w:rFonts w:ascii="Arial" w:hAnsi="Arial" w:cs="Arial"/>
          <w:i/>
          <w:color w:val="000000" w:themeColor="text1"/>
          <w:szCs w:val="24"/>
          <w:lang w:val="en-GB"/>
        </w:rPr>
        <w:t xml:space="preserve">“Criticisms have been laid on the technical aspects of the diagnostic process, including diagnostic criteria, information upon which clinicians make a diagnosis, and the absence of an ‘exit clause’ by which transpeople (once transitioned) may be free of a diagnosis.  More fundamental criticisms have focused on the nature </w:t>
      </w:r>
      <w:r w:rsidRPr="0028108F">
        <w:rPr>
          <w:rFonts w:ascii="Arial" w:eastAsiaTheme="minorEastAsia" w:hAnsi="Arial" w:cs="Arial"/>
          <w:i/>
          <w:color w:val="000000" w:themeColor="text1"/>
          <w:kern w:val="0"/>
          <w:szCs w:val="24"/>
          <w:lang w:val="en-GB"/>
        </w:rPr>
        <w:t>and</w:t>
      </w:r>
      <w:r w:rsidRPr="0028108F">
        <w:rPr>
          <w:rFonts w:ascii="Arial" w:hAnsi="Arial" w:cs="Arial"/>
          <w:i/>
          <w:color w:val="000000" w:themeColor="text1"/>
          <w:szCs w:val="24"/>
          <w:lang w:val="en-GB"/>
        </w:rPr>
        <w:t xml:space="preserve"> consequences of pathologisation, including that pathologisation is a tool of social control, stemming from restrictive ideologies of sex, gender and sexuality; encourages an essentialism that sees the transwoman as a man, and the transman as a woman, undermining a person’s gender self-identification; encourages ethically questionable ‘reparative’ treatments whilst undermining the legitimacy of effective medical procedures that enhance transpeople’s lives; and contributes to unfavourable court decisions for transpeople. It has also been argued that gender identity variance in itself involves no pathology, with any mental disturbance experienced by transpeople the result of intolerance and stigma, and that pathologisation merely exacerbates intolerance and stigma and does so more than many other psychiatric diagnoses because it involves pathologisation of one’s identity. These last criticisms suggest that, in a gender identity variant person, pathologisation may bring about pathology.</w:t>
      </w:r>
      <w:r w:rsidRPr="0028108F">
        <w:rPr>
          <w:rFonts w:ascii="Arial" w:hAnsi="Arial" w:cs="Arial"/>
          <w:color w:val="000000" w:themeColor="text1"/>
          <w:szCs w:val="24"/>
          <w:lang w:val="en-GB"/>
        </w:rPr>
        <w:t>”</w:t>
      </w:r>
      <w:r w:rsidRPr="00181CF2">
        <w:rPr>
          <w:rStyle w:val="FootnoteReference"/>
          <w:rFonts w:ascii="Arial" w:hAnsi="Arial" w:cs="Arial"/>
          <w:color w:val="000000" w:themeColor="text1"/>
          <w:szCs w:val="24"/>
          <w:lang w:val="en-GB"/>
        </w:rPr>
        <w:footnoteReference w:id="499"/>
      </w:r>
    </w:p>
    <w:p w:rsidR="00E773F6" w:rsidRPr="00C57CE1" w:rsidRDefault="00E773F6" w:rsidP="00E773F6">
      <w:pPr>
        <w:tabs>
          <w:tab w:val="left" w:pos="851"/>
        </w:tabs>
        <w:adjustRightInd w:val="0"/>
        <w:snapToGrid w:val="0"/>
        <w:jc w:val="both"/>
        <w:rPr>
          <w:rFonts w:ascii="Arial" w:hAnsi="Arial" w:cs="Arial"/>
          <w:b/>
          <w:color w:val="000000" w:themeColor="text1"/>
          <w:szCs w:val="24"/>
          <w:lang w:val="en-GB"/>
        </w:rPr>
      </w:pPr>
    </w:p>
    <w:p w:rsidR="00E773F6" w:rsidRPr="0028108F" w:rsidRDefault="00DE5331"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C57CE1">
        <w:rPr>
          <w:rFonts w:ascii="Arial" w:hAnsi="Arial" w:cs="Arial"/>
          <w:color w:val="000000" w:themeColor="text1"/>
          <w:szCs w:val="24"/>
          <w:lang w:val="en-GB"/>
        </w:rPr>
        <w:t xml:space="preserve">A German study found that </w:t>
      </w:r>
      <w:r w:rsidR="00E773F6" w:rsidRPr="0028108F">
        <w:rPr>
          <w:rFonts w:ascii="Arial" w:hAnsi="Arial" w:cs="Arial"/>
          <w:color w:val="000000" w:themeColor="text1"/>
          <w:szCs w:val="24"/>
          <w:lang w:val="en-GB"/>
        </w:rPr>
        <w:t xml:space="preserve">63% of trans respondents felt that the mental-health diagnosis </w:t>
      </w:r>
      <w:r w:rsidR="00E773F6" w:rsidRPr="0028108F">
        <w:rPr>
          <w:rFonts w:ascii="Arial" w:hAnsi="Arial" w:cs="Arial"/>
          <w:i/>
          <w:color w:val="000000" w:themeColor="text1"/>
          <w:szCs w:val="24"/>
          <w:lang w:val="en-GB"/>
        </w:rPr>
        <w:t>“Gender Identity Disorder”</w:t>
      </w:r>
      <w:r w:rsidR="00E773F6" w:rsidRPr="00181CF2">
        <w:rPr>
          <w:rFonts w:ascii="Arial" w:hAnsi="Arial" w:cs="Arial"/>
          <w:color w:val="000000" w:themeColor="text1"/>
          <w:szCs w:val="24"/>
          <w:lang w:val="en-GB"/>
        </w:rPr>
        <w:t xml:space="preserve"> required for gender recognition is a source of significant distress for them.</w:t>
      </w:r>
      <w:r w:rsidR="00D25405" w:rsidRPr="00C57CE1">
        <w:rPr>
          <w:rStyle w:val="FootnoteReference"/>
          <w:rFonts w:ascii="Arial" w:hAnsi="Arial" w:cs="Arial"/>
          <w:color w:val="000000" w:themeColor="text1"/>
          <w:szCs w:val="24"/>
          <w:lang w:val="en-GB"/>
        </w:rPr>
        <w:footnoteReference w:id="500"/>
      </w:r>
      <w:r w:rsidR="00B37004" w:rsidRPr="00C57CE1">
        <w:rPr>
          <w:rFonts w:ascii="Arial" w:hAnsi="Arial" w:cs="Arial"/>
          <w:color w:val="000000" w:themeColor="text1"/>
          <w:szCs w:val="24"/>
          <w:lang w:val="en-GB"/>
        </w:rPr>
        <w:t xml:space="preserve"> </w:t>
      </w:r>
      <w:r w:rsidR="00E773F6" w:rsidRPr="0028108F">
        <w:rPr>
          <w:rFonts w:ascii="Arial" w:hAnsi="Arial" w:cs="Arial"/>
          <w:color w:val="000000" w:themeColor="text1"/>
          <w:szCs w:val="24"/>
          <w:lang w:val="en-GB"/>
        </w:rPr>
        <w:t xml:space="preserve"> It has also been argued that diagnosis requirements have a heavily stigmatising effect on the transgender community, which has a negative impact on the social and political status of transgender persons.</w:t>
      </w:r>
      <w:r w:rsidR="00D25405" w:rsidRPr="00181CF2">
        <w:rPr>
          <w:rStyle w:val="FootnoteReference"/>
          <w:rFonts w:ascii="Arial" w:hAnsi="Arial" w:cs="Arial"/>
          <w:color w:val="000000" w:themeColor="text1"/>
          <w:szCs w:val="24"/>
          <w:lang w:val="en-GB"/>
        </w:rPr>
        <w:footnoteReference w:id="501"/>
      </w:r>
    </w:p>
    <w:p w:rsidR="00E773F6" w:rsidRPr="00181CF2"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E773F6" w:rsidRPr="0028108F" w:rsidRDefault="00DE5331"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hAnsi="Arial" w:cs="Arial"/>
          <w:color w:val="000000" w:themeColor="text1"/>
          <w:szCs w:val="24"/>
          <w:lang w:val="en-GB"/>
        </w:rPr>
        <w:t>A</w:t>
      </w:r>
      <w:r w:rsidR="00B513B4" w:rsidRPr="0028108F">
        <w:rPr>
          <w:rFonts w:ascii="Arial" w:hAnsi="Arial" w:cs="Arial"/>
          <w:color w:val="000000" w:themeColor="text1"/>
          <w:szCs w:val="24"/>
          <w:lang w:val="en-GB"/>
        </w:rPr>
        <w:t xml:space="preserve">rguments </w:t>
      </w:r>
      <w:r w:rsidRPr="0028108F">
        <w:rPr>
          <w:rFonts w:ascii="Arial" w:hAnsi="Arial" w:cs="Arial"/>
          <w:color w:val="000000" w:themeColor="text1"/>
          <w:szCs w:val="24"/>
          <w:lang w:val="en-GB"/>
        </w:rPr>
        <w:t xml:space="preserve">have also been </w:t>
      </w:r>
      <w:r w:rsidR="00B513B4" w:rsidRPr="0028108F">
        <w:rPr>
          <w:rFonts w:ascii="Arial" w:hAnsi="Arial" w:cs="Arial"/>
          <w:color w:val="000000" w:themeColor="text1"/>
          <w:szCs w:val="24"/>
          <w:lang w:val="en-GB"/>
        </w:rPr>
        <w:t>made</w:t>
      </w:r>
      <w:r w:rsidR="00E773F6" w:rsidRPr="0028108F">
        <w:rPr>
          <w:rFonts w:ascii="Arial" w:hAnsi="Arial" w:cs="Arial"/>
          <w:color w:val="000000" w:themeColor="text1"/>
          <w:szCs w:val="24"/>
          <w:lang w:val="en-GB"/>
        </w:rPr>
        <w:t xml:space="preserve"> that medical and legal transitions are conceptually distinct and need to be treated separately, and thus it </w:t>
      </w:r>
      <w:r w:rsidR="00606276" w:rsidRPr="0028108F">
        <w:rPr>
          <w:rFonts w:ascii="Arial" w:hAnsi="Arial" w:cs="Arial"/>
          <w:color w:val="000000" w:themeColor="text1"/>
          <w:szCs w:val="24"/>
          <w:lang w:val="en-GB"/>
        </w:rPr>
        <w:t>would be</w:t>
      </w:r>
      <w:r w:rsidR="00E773F6" w:rsidRPr="0028108F">
        <w:rPr>
          <w:rFonts w:ascii="Arial" w:hAnsi="Arial" w:cs="Arial"/>
          <w:color w:val="000000" w:themeColor="text1"/>
          <w:szCs w:val="24"/>
          <w:lang w:val="en-GB"/>
        </w:rPr>
        <w:t xml:space="preserve"> perfectly consistent for medical professionals to require a diagnosis for medical treatments even though legal gender recognition </w:t>
      </w:r>
      <w:r w:rsidRPr="0028108F">
        <w:rPr>
          <w:rFonts w:ascii="Arial" w:hAnsi="Arial" w:cs="Arial"/>
          <w:color w:val="000000" w:themeColor="text1"/>
          <w:szCs w:val="24"/>
          <w:lang w:val="en-GB"/>
        </w:rPr>
        <w:t>may</w:t>
      </w:r>
      <w:r w:rsidR="00043FD0" w:rsidRPr="0028108F">
        <w:rPr>
          <w:rFonts w:ascii="Arial" w:hAnsi="Arial" w:cs="Arial"/>
          <w:color w:val="000000" w:themeColor="text1"/>
          <w:szCs w:val="24"/>
          <w:lang w:val="en-GB"/>
        </w:rPr>
        <w:t xml:space="preserve"> not </w:t>
      </w:r>
      <w:r w:rsidR="00E773F6" w:rsidRPr="0028108F">
        <w:rPr>
          <w:rFonts w:ascii="Arial" w:hAnsi="Arial" w:cs="Arial"/>
          <w:color w:val="000000" w:themeColor="text1"/>
          <w:szCs w:val="24"/>
          <w:lang w:val="en-GB"/>
        </w:rPr>
        <w:t>requir</w:t>
      </w:r>
      <w:r w:rsidR="00043FD0" w:rsidRPr="0028108F">
        <w:rPr>
          <w:rFonts w:ascii="Arial" w:hAnsi="Arial" w:cs="Arial"/>
          <w:color w:val="000000" w:themeColor="text1"/>
          <w:szCs w:val="24"/>
          <w:lang w:val="en-GB"/>
        </w:rPr>
        <w:t>e</w:t>
      </w:r>
      <w:r w:rsidR="00E773F6"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a </w:t>
      </w:r>
      <w:r w:rsidR="00E773F6" w:rsidRPr="0028108F">
        <w:rPr>
          <w:rFonts w:ascii="Arial" w:hAnsi="Arial" w:cs="Arial"/>
          <w:color w:val="000000" w:themeColor="text1"/>
          <w:szCs w:val="24"/>
          <w:lang w:val="en-GB"/>
        </w:rPr>
        <w:t>medical diagnosis.</w:t>
      </w:r>
      <w:r w:rsidR="00D25405" w:rsidRPr="0028108F">
        <w:rPr>
          <w:rStyle w:val="FootnoteReference"/>
          <w:rFonts w:ascii="Arial" w:hAnsi="Arial" w:cs="Arial"/>
          <w:color w:val="000000" w:themeColor="text1"/>
          <w:szCs w:val="24"/>
          <w:lang w:val="en-GB"/>
        </w:rPr>
        <w:footnoteReference w:id="502"/>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D85333" w:rsidRPr="0028108F" w:rsidRDefault="00D85333" w:rsidP="0028108F">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043FD0" w:rsidRPr="0028108F" w:rsidRDefault="00043FD0" w:rsidP="00043FD0">
      <w:pPr>
        <w:rPr>
          <w:rFonts w:ascii="Arial" w:hAnsi="Arial" w:cs="Arial"/>
          <w:b/>
          <w:sz w:val="28"/>
          <w:szCs w:val="28"/>
          <w:lang w:val="en-GB"/>
        </w:rPr>
      </w:pPr>
      <w:r w:rsidRPr="0028108F">
        <w:rPr>
          <w:rFonts w:ascii="Arial" w:hAnsi="Arial" w:cs="Arial"/>
          <w:b/>
          <w:sz w:val="28"/>
          <w:szCs w:val="28"/>
          <w:lang w:val="en-GB"/>
        </w:rPr>
        <w:t>Issue for consultation</w:t>
      </w:r>
      <w:r w:rsidR="008A7C7E" w:rsidRPr="00181CF2">
        <w:rPr>
          <w:rFonts w:ascii="Arial" w:hAnsi="Arial" w:cs="Arial"/>
          <w:b/>
          <w:sz w:val="28"/>
          <w:szCs w:val="28"/>
          <w:lang w:val="en-GB"/>
        </w:rPr>
        <w:t xml:space="preserve"> related to medical diagnosis</w:t>
      </w:r>
    </w:p>
    <w:p w:rsidR="004F6EDD" w:rsidRPr="00C57CE1" w:rsidRDefault="004F6EDD" w:rsidP="00043FD0">
      <w:pPr>
        <w:pStyle w:val="ListParagraph"/>
        <w:tabs>
          <w:tab w:val="left" w:pos="1418"/>
          <w:tab w:val="left" w:pos="2552"/>
        </w:tabs>
        <w:adjustRightInd w:val="0"/>
        <w:snapToGrid w:val="0"/>
        <w:ind w:leftChars="0" w:left="0"/>
        <w:jc w:val="both"/>
        <w:rPr>
          <w:rFonts w:ascii="Arial" w:hAnsi="Arial" w:cs="Arial"/>
          <w:szCs w:val="24"/>
          <w:lang w:val="en-GB"/>
        </w:rPr>
      </w:pPr>
    </w:p>
    <w:p w:rsidR="00043FD0" w:rsidRPr="0028108F" w:rsidRDefault="00043FD0">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6E5A2C"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 xml:space="preserve">onsultation </w:t>
      </w:r>
      <w:r w:rsidR="006E5A2C" w:rsidRPr="008813DE">
        <w:rPr>
          <w:rFonts w:ascii="Arial" w:hAnsi="Arial" w:cs="Arial"/>
          <w:b/>
          <w:color w:val="000000" w:themeColor="text1"/>
          <w:szCs w:val="24"/>
          <w:u w:val="single"/>
          <w:lang w:val="en-GB"/>
        </w:rPr>
        <w:t>2</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6E5A2C" w:rsidRPr="0028108F">
        <w:rPr>
          <w:rFonts w:ascii="Arial" w:hAnsi="Arial" w:cs="Arial"/>
          <w:b/>
          <w:color w:val="000000" w:themeColor="text1"/>
          <w:szCs w:val="24"/>
          <w:lang w:val="en-GB"/>
        </w:rPr>
        <w:t xml:space="preserve"> the following matters.</w:t>
      </w:r>
    </w:p>
    <w:p w:rsidR="00043FD0" w:rsidRPr="0028108F" w:rsidRDefault="00043FD0" w:rsidP="00043FD0">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1752E9" w:rsidRPr="00181CF2" w:rsidRDefault="00361C2F" w:rsidP="0028108F">
      <w:pPr>
        <w:pStyle w:val="ListParagraph"/>
        <w:numPr>
          <w:ilvl w:val="0"/>
          <w:numId w:val="131"/>
        </w:numPr>
        <w:pBdr>
          <w:top w:val="single" w:sz="4" w:space="8" w:color="auto"/>
          <w:left w:val="single" w:sz="4" w:space="8" w:color="auto"/>
          <w:bottom w:val="single" w:sz="4" w:space="8" w:color="auto"/>
          <w:right w:val="single" w:sz="4" w:space="8" w:color="auto"/>
        </w:pBdr>
        <w:tabs>
          <w:tab w:val="left" w:pos="1418"/>
        </w:tabs>
        <w:snapToGrid w:val="0"/>
        <w:spacing w:after="240"/>
        <w:ind w:leftChars="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I</w:t>
      </w:r>
      <w:r w:rsidR="00043FD0"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00043FD0" w:rsidRPr="0028108F">
        <w:rPr>
          <w:rFonts w:ascii="Arial" w:hAnsi="Arial" w:cs="Arial"/>
          <w:b/>
          <w:color w:val="000000" w:themeColor="text1"/>
          <w:szCs w:val="24"/>
          <w:lang w:val="en-GB"/>
        </w:rPr>
        <w:t xml:space="preserve"> introduced in Hong Kong, whether there should be a requirement of a medical diagnosis of, for example, gender dysphoria or gender identity disorder, for gender recognition, and why.</w:t>
      </w:r>
    </w:p>
    <w:p w:rsidR="00043FD0" w:rsidRPr="0028108F" w:rsidRDefault="00361C2F" w:rsidP="0028108F">
      <w:pPr>
        <w:pStyle w:val="ListParagraph"/>
        <w:numPr>
          <w:ilvl w:val="0"/>
          <w:numId w:val="131"/>
        </w:numPr>
        <w:pBdr>
          <w:top w:val="single" w:sz="4" w:space="8" w:color="auto"/>
          <w:left w:val="single" w:sz="4" w:space="8" w:color="auto"/>
          <w:bottom w:val="single" w:sz="4" w:space="8" w:color="auto"/>
          <w:right w:val="single" w:sz="4" w:space="8" w:color="auto"/>
        </w:pBdr>
        <w:tabs>
          <w:tab w:val="left" w:pos="1418"/>
        </w:tabs>
        <w:snapToGrid w:val="0"/>
        <w:ind w:leftChars="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I</w:t>
      </w:r>
      <w:r w:rsidR="00043FD0" w:rsidRPr="0028108F">
        <w:rPr>
          <w:rFonts w:ascii="Arial" w:hAnsi="Arial" w:cs="Arial"/>
          <w:b/>
          <w:color w:val="000000" w:themeColor="text1"/>
          <w:szCs w:val="24"/>
          <w:lang w:val="en-GB"/>
        </w:rPr>
        <w:t>f the answer to sub-paragraph (1) is “yes”, what kind of evidence should be provided by an applicant for gender recognition.</w:t>
      </w:r>
    </w:p>
    <w:p w:rsidR="004F6EDD" w:rsidRPr="0028108F" w:rsidRDefault="004F6EDD" w:rsidP="00043FD0">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lang w:val="en-GB"/>
        </w:rPr>
      </w:pPr>
    </w:p>
    <w:p w:rsidR="00043FD0" w:rsidRPr="00181CF2" w:rsidRDefault="00043FD0" w:rsidP="00043FD0">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E773F6">
      <w:pPr>
        <w:widowControl/>
        <w:rPr>
          <w:rFonts w:ascii="Arial" w:hAnsi="Arial" w:cs="Arial"/>
          <w:b/>
          <w:color w:val="000000" w:themeColor="text1"/>
          <w:szCs w:val="24"/>
          <w:lang w:val="en-GB"/>
        </w:rPr>
      </w:pPr>
    </w:p>
    <w:p w:rsidR="00E773F6" w:rsidRPr="0028108F" w:rsidRDefault="00E773F6"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 xml:space="preserve">Requirement of </w:t>
      </w:r>
      <w:r w:rsidR="009B5BD0" w:rsidRPr="0028108F">
        <w:rPr>
          <w:rFonts w:ascii="Arial" w:hAnsi="Arial" w:cs="Arial"/>
          <w:b/>
          <w:color w:val="000000" w:themeColor="text1"/>
          <w:sz w:val="28"/>
          <w:szCs w:val="28"/>
          <w:lang w:val="en-GB"/>
        </w:rPr>
        <w:t>“</w:t>
      </w:r>
      <w:r w:rsidR="00043FD0" w:rsidRPr="0028108F">
        <w:rPr>
          <w:rFonts w:ascii="Arial" w:hAnsi="Arial" w:cs="Arial"/>
          <w:b/>
          <w:color w:val="000000" w:themeColor="text1"/>
          <w:sz w:val="28"/>
          <w:szCs w:val="28"/>
          <w:lang w:val="en-GB"/>
        </w:rPr>
        <w:t>real life test</w:t>
      </w:r>
      <w:r w:rsidR="009B5BD0" w:rsidRPr="0028108F">
        <w:rPr>
          <w:rFonts w:ascii="Arial" w:hAnsi="Arial" w:cs="Arial"/>
          <w:b/>
          <w:color w:val="000000" w:themeColor="text1"/>
          <w:sz w:val="28"/>
          <w:szCs w:val="28"/>
          <w:lang w:val="en-GB"/>
        </w:rPr>
        <w:t>”</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Arguments in support</w:t>
      </w:r>
      <w:r w:rsidR="00E773F6" w:rsidRPr="0028108F">
        <w:rPr>
          <w:rFonts w:ascii="Arial" w:hAnsi="Arial" w:cs="Arial"/>
          <w:b/>
          <w:i/>
          <w:color w:val="000000" w:themeColor="text1"/>
          <w:szCs w:val="24"/>
          <w:lang w:val="en-GB"/>
        </w:rPr>
        <w:t xml:space="preserve"> of having a requirement of </w:t>
      </w:r>
      <w:r w:rsidR="009B5BD0" w:rsidRPr="0028108F">
        <w:rPr>
          <w:rFonts w:ascii="Arial" w:hAnsi="Arial" w:cs="Arial"/>
          <w:b/>
          <w:i/>
          <w:color w:val="000000" w:themeColor="text1"/>
          <w:szCs w:val="24"/>
          <w:lang w:val="en-GB"/>
        </w:rPr>
        <w:t>“</w:t>
      </w:r>
      <w:r w:rsidR="00043FD0" w:rsidRPr="0028108F">
        <w:rPr>
          <w:rFonts w:ascii="Arial" w:hAnsi="Arial" w:cs="Arial"/>
          <w:b/>
          <w:i/>
          <w:color w:val="000000" w:themeColor="text1"/>
          <w:szCs w:val="24"/>
          <w:lang w:val="en-GB"/>
        </w:rPr>
        <w:t>real life test</w:t>
      </w:r>
      <w:r w:rsidR="009B5BD0" w:rsidRPr="0028108F">
        <w:rPr>
          <w:rFonts w:ascii="Arial" w:hAnsi="Arial" w:cs="Arial"/>
          <w:b/>
          <w:i/>
          <w:color w:val="000000" w:themeColor="text1"/>
          <w:szCs w:val="24"/>
          <w:lang w:val="en-GB"/>
        </w:rPr>
        <w:t>”</w:t>
      </w:r>
    </w:p>
    <w:p w:rsidR="00E773F6" w:rsidRPr="0028108F" w:rsidRDefault="00E773F6" w:rsidP="00E773F6">
      <w:pPr>
        <w:pStyle w:val="ListParagraph"/>
        <w:tabs>
          <w:tab w:val="left" w:pos="851"/>
        </w:tabs>
        <w:adjustRightInd w:val="0"/>
        <w:snapToGrid w:val="0"/>
        <w:ind w:leftChars="0" w:left="1985"/>
        <w:jc w:val="both"/>
        <w:rPr>
          <w:rFonts w:ascii="Arial" w:hAnsi="Arial" w:cs="Arial"/>
          <w:b/>
          <w:color w:val="000000" w:themeColor="text1"/>
          <w:szCs w:val="24"/>
          <w:lang w:val="en-GB"/>
        </w:rPr>
      </w:pPr>
    </w:p>
    <w:p w:rsidR="00E773F6" w:rsidRPr="0028108F" w:rsidRDefault="00CB77A7"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Arguments set out earlier have indicated that</w:t>
      </w:r>
      <w:r w:rsidR="00E773F6" w:rsidRPr="0028108F">
        <w:rPr>
          <w:rFonts w:ascii="Arial" w:hAnsi="Arial" w:cs="Arial"/>
          <w:color w:val="000000" w:themeColor="text1"/>
          <w:szCs w:val="24"/>
          <w:lang w:val="en-GB"/>
        </w:rPr>
        <w:t xml:space="preserve"> a pure</w:t>
      </w:r>
      <w:r w:rsidRPr="0028108F">
        <w:rPr>
          <w:rFonts w:ascii="Arial" w:hAnsi="Arial" w:cs="Arial"/>
          <w:color w:val="000000" w:themeColor="text1"/>
          <w:szCs w:val="24"/>
          <w:lang w:val="en-GB"/>
        </w:rPr>
        <w:t>ly</w:t>
      </w:r>
      <w:r w:rsidR="00E773F6" w:rsidRPr="0028108F">
        <w:rPr>
          <w:rFonts w:ascii="Arial" w:hAnsi="Arial" w:cs="Arial"/>
          <w:color w:val="000000" w:themeColor="text1"/>
          <w:szCs w:val="24"/>
          <w:lang w:val="en-GB"/>
        </w:rPr>
        <w:t xml:space="preserve"> psychiatric or psychological assessment might not always </w:t>
      </w:r>
      <w:r w:rsidR="00E773F6" w:rsidRPr="0028108F">
        <w:rPr>
          <w:rFonts w:ascii="Arial" w:eastAsiaTheme="minorEastAsia" w:hAnsi="Arial" w:cs="Arial"/>
          <w:color w:val="000000" w:themeColor="text1"/>
          <w:kern w:val="0"/>
          <w:szCs w:val="24"/>
          <w:lang w:val="en-GB"/>
        </w:rPr>
        <w:t>be</w:t>
      </w:r>
      <w:r w:rsidR="00E773F6" w:rsidRPr="0028108F">
        <w:rPr>
          <w:rFonts w:ascii="Arial" w:hAnsi="Arial" w:cs="Arial"/>
          <w:color w:val="000000" w:themeColor="text1"/>
          <w:szCs w:val="24"/>
          <w:lang w:val="en-GB"/>
        </w:rPr>
        <w:t xml:space="preserve"> accurate</w:t>
      </w:r>
      <w:r w:rsidRPr="0028108F">
        <w:rPr>
          <w:rFonts w:ascii="Arial" w:hAnsi="Arial" w:cs="Arial"/>
          <w:color w:val="000000" w:themeColor="text1"/>
          <w:szCs w:val="24"/>
          <w:lang w:val="en-GB"/>
        </w:rPr>
        <w:t xml:space="preserve"> (or even appropriate, some have asserted) for determining issues of gender recognition</w:t>
      </w:r>
      <w:r w:rsidR="00E773F6" w:rsidRPr="0028108F">
        <w:rPr>
          <w:rFonts w:ascii="Arial" w:hAnsi="Arial" w:cs="Arial"/>
          <w:color w:val="000000" w:themeColor="text1"/>
          <w:szCs w:val="24"/>
          <w:lang w:val="en-GB"/>
        </w:rPr>
        <w:t xml:space="preserve">.  </w:t>
      </w:r>
      <w:r w:rsidR="00AA3F3F" w:rsidRPr="0028108F">
        <w:rPr>
          <w:rFonts w:ascii="Arial" w:hAnsi="Arial" w:cs="Arial"/>
          <w:color w:val="000000" w:themeColor="text1"/>
          <w:szCs w:val="24"/>
          <w:lang w:val="en-GB"/>
        </w:rPr>
        <w:t xml:space="preserve">There is also a possibility that some patients may be unable or choose not to tell the truth about their inner feelings, or may even mislead their treating psychiatrists into diagnosing them as having gender dysphoria or gender identity disorder.  </w:t>
      </w:r>
      <w:r w:rsidRPr="0028108F">
        <w:rPr>
          <w:rFonts w:ascii="Arial" w:hAnsi="Arial" w:cs="Arial"/>
          <w:color w:val="000000" w:themeColor="text1"/>
          <w:szCs w:val="24"/>
          <w:lang w:val="en-GB"/>
        </w:rPr>
        <w:t xml:space="preserve">With regard to medical procedure requirements, </w:t>
      </w:r>
      <w:r w:rsidR="00AA3F3F" w:rsidRPr="0028108F">
        <w:rPr>
          <w:rFonts w:ascii="Arial" w:hAnsi="Arial" w:cs="Arial"/>
          <w:color w:val="000000" w:themeColor="text1"/>
          <w:szCs w:val="24"/>
          <w:lang w:val="en-GB"/>
        </w:rPr>
        <w:t>t</w:t>
      </w:r>
      <w:r w:rsidR="00E773F6" w:rsidRPr="0028108F">
        <w:rPr>
          <w:rFonts w:ascii="Arial" w:hAnsi="Arial" w:cs="Arial"/>
          <w:color w:val="000000" w:themeColor="text1"/>
          <w:szCs w:val="24"/>
          <w:lang w:val="en-GB"/>
        </w:rPr>
        <w:t xml:space="preserve">here is </w:t>
      </w:r>
      <w:r w:rsidR="00AA3F3F" w:rsidRPr="0028108F">
        <w:rPr>
          <w:rFonts w:ascii="Arial" w:hAnsi="Arial" w:cs="Arial"/>
          <w:color w:val="000000" w:themeColor="text1"/>
          <w:szCs w:val="24"/>
          <w:lang w:val="en-GB"/>
        </w:rPr>
        <w:t xml:space="preserve">a </w:t>
      </w:r>
      <w:r w:rsidR="00E773F6" w:rsidRPr="0028108F">
        <w:rPr>
          <w:rFonts w:ascii="Arial" w:hAnsi="Arial" w:cs="Arial"/>
          <w:color w:val="000000" w:themeColor="text1"/>
          <w:szCs w:val="24"/>
          <w:lang w:val="en-GB"/>
        </w:rPr>
        <w:t xml:space="preserve">possibility that transgender persons </w:t>
      </w:r>
      <w:r w:rsidR="00AA3F3F" w:rsidRPr="0028108F">
        <w:rPr>
          <w:rFonts w:ascii="Arial" w:hAnsi="Arial" w:cs="Arial"/>
          <w:color w:val="000000" w:themeColor="text1"/>
          <w:szCs w:val="24"/>
          <w:lang w:val="en-GB"/>
        </w:rPr>
        <w:t>may not wish to or may not be able to undergo these, or may</w:t>
      </w:r>
      <w:r w:rsidR="00E773F6" w:rsidRPr="0028108F">
        <w:rPr>
          <w:rFonts w:ascii="Arial" w:hAnsi="Arial" w:cs="Arial"/>
          <w:color w:val="000000" w:themeColor="text1"/>
          <w:szCs w:val="24"/>
          <w:lang w:val="en-GB"/>
        </w:rPr>
        <w:t xml:space="preserve"> change their mind and decide not to proceed with gender reassignment procedures even though they might have originally indicated a desire to </w:t>
      </w:r>
      <w:r w:rsidR="00AA3F3F" w:rsidRPr="0028108F">
        <w:rPr>
          <w:rFonts w:ascii="Arial" w:hAnsi="Arial" w:cs="Arial"/>
          <w:color w:val="000000" w:themeColor="text1"/>
          <w:szCs w:val="24"/>
          <w:lang w:val="en-GB"/>
        </w:rPr>
        <w:t>do so</w:t>
      </w:r>
      <w:r w:rsidR="00E773F6" w:rsidRPr="0028108F">
        <w:rPr>
          <w:rFonts w:ascii="Arial" w:hAnsi="Arial" w:cs="Arial"/>
          <w:color w:val="000000" w:themeColor="text1"/>
          <w:szCs w:val="24"/>
          <w:lang w:val="en-GB"/>
        </w:rPr>
        <w:t xml:space="preserve">.  A reasonable period of real life experience of living in the preferred gender (the so-called </w:t>
      </w:r>
      <w:r w:rsidR="00E773F6" w:rsidRPr="0028108F">
        <w:rPr>
          <w:rFonts w:ascii="Arial" w:hAnsi="Arial" w:cs="Arial"/>
          <w:i/>
          <w:color w:val="000000" w:themeColor="text1"/>
          <w:szCs w:val="24"/>
          <w:lang w:val="en-GB"/>
        </w:rPr>
        <w:t>“real life test”</w:t>
      </w:r>
      <w:r w:rsidR="00E773F6" w:rsidRPr="0028108F">
        <w:rPr>
          <w:rFonts w:ascii="Arial" w:hAnsi="Arial" w:cs="Arial"/>
          <w:color w:val="000000" w:themeColor="text1"/>
          <w:szCs w:val="24"/>
          <w:lang w:val="en-GB"/>
        </w:rPr>
        <w:t>) may therefore serve as strong evidence to show that an applicant for gender recognition is unlikely to change his or her decision</w:t>
      </w:r>
      <w:r w:rsidR="00AA3F3F" w:rsidRPr="0028108F">
        <w:rPr>
          <w:rFonts w:ascii="Arial" w:hAnsi="Arial" w:cs="Arial"/>
          <w:color w:val="000000" w:themeColor="text1"/>
          <w:szCs w:val="24"/>
          <w:lang w:val="en-GB"/>
        </w:rPr>
        <w:t xml:space="preserve"> to live in the preferred gender</w:t>
      </w:r>
      <w:r w:rsidR="00E773F6" w:rsidRPr="0028108F">
        <w:rPr>
          <w:rFonts w:ascii="Arial" w:hAnsi="Arial" w:cs="Arial"/>
          <w:color w:val="000000" w:themeColor="text1"/>
          <w:szCs w:val="24"/>
          <w:lang w:val="en-GB"/>
        </w:rPr>
        <w: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146F4C"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hAnsi="Arial" w:cs="Arial"/>
          <w:color w:val="000000" w:themeColor="text1"/>
          <w:szCs w:val="24"/>
          <w:lang w:val="en-GB"/>
        </w:rPr>
        <w:t xml:space="preserve">In the </w:t>
      </w:r>
      <w:r w:rsidR="00793CF7" w:rsidRPr="0028108F">
        <w:rPr>
          <w:rFonts w:ascii="Arial" w:hAnsi="Arial" w:cs="Arial"/>
          <w:color w:val="000000" w:themeColor="text1"/>
          <w:szCs w:val="24"/>
          <w:lang w:val="en-GB"/>
        </w:rPr>
        <w:t>course</w:t>
      </w:r>
      <w:r w:rsidRPr="0028108F">
        <w:rPr>
          <w:rFonts w:ascii="Arial" w:hAnsi="Arial" w:cs="Arial"/>
          <w:color w:val="000000" w:themeColor="text1"/>
          <w:szCs w:val="24"/>
          <w:lang w:val="en-GB"/>
        </w:rPr>
        <w:t xml:space="preserve"> of</w:t>
      </w:r>
      <w:r w:rsidR="00E773F6" w:rsidRPr="0028108F">
        <w:rPr>
          <w:rFonts w:ascii="Arial" w:hAnsi="Arial" w:cs="Arial"/>
          <w:color w:val="000000" w:themeColor="text1"/>
          <w:szCs w:val="24"/>
          <w:lang w:val="en-GB"/>
        </w:rPr>
        <w:t xml:space="preserve"> the </w:t>
      </w:r>
      <w:r w:rsidR="00043FD0" w:rsidRPr="0028108F">
        <w:rPr>
          <w:rFonts w:ascii="Arial" w:hAnsi="Arial" w:cs="Arial"/>
          <w:color w:val="000000" w:themeColor="text1"/>
          <w:szCs w:val="24"/>
          <w:lang w:val="en-GB"/>
        </w:rPr>
        <w:t>real life test</w:t>
      </w:r>
      <w:r w:rsidR="00E773F6" w:rsidRPr="0028108F">
        <w:rPr>
          <w:rFonts w:ascii="Arial" w:hAnsi="Arial" w:cs="Arial"/>
          <w:color w:val="000000" w:themeColor="text1"/>
          <w:szCs w:val="24"/>
          <w:lang w:val="en-GB"/>
        </w:rPr>
        <w:t xml:space="preserve">, </w:t>
      </w:r>
      <w:r w:rsidR="006C3F15" w:rsidRPr="0028108F">
        <w:rPr>
          <w:rFonts w:ascii="Arial" w:hAnsi="Arial" w:cs="Arial"/>
          <w:color w:val="000000" w:themeColor="text1"/>
          <w:szCs w:val="24"/>
          <w:lang w:val="en-GB"/>
        </w:rPr>
        <w:t>a</w:t>
      </w:r>
      <w:r w:rsidR="002738B5" w:rsidRPr="0028108F">
        <w:rPr>
          <w:rFonts w:ascii="Arial" w:hAnsi="Arial" w:cs="Arial"/>
          <w:color w:val="000000" w:themeColor="text1"/>
          <w:szCs w:val="24"/>
          <w:lang w:val="en-GB"/>
        </w:rPr>
        <w:t xml:space="preserve"> person</w:t>
      </w:r>
      <w:r w:rsidR="00E773F6" w:rsidRPr="0028108F">
        <w:rPr>
          <w:rFonts w:ascii="Arial" w:hAnsi="Arial" w:cs="Arial"/>
          <w:color w:val="000000" w:themeColor="text1"/>
          <w:szCs w:val="24"/>
          <w:lang w:val="en-GB"/>
        </w:rPr>
        <w:t xml:space="preserve"> would have to live as the opposite gender and may face many life difficulties and challenges when outwardly exposing himself or herself and expressing his or her gender identity to the</w:t>
      </w:r>
      <w:r w:rsidR="00AA3F3F" w:rsidRPr="0028108F">
        <w:rPr>
          <w:rFonts w:ascii="Arial" w:hAnsi="Arial" w:cs="Arial"/>
          <w:color w:val="000000" w:themeColor="text1"/>
          <w:szCs w:val="24"/>
          <w:lang w:val="en-GB"/>
        </w:rPr>
        <w:t>ir</w:t>
      </w:r>
      <w:r w:rsidR="00E773F6" w:rsidRPr="0028108F">
        <w:rPr>
          <w:rFonts w:ascii="Arial" w:hAnsi="Arial" w:cs="Arial"/>
          <w:color w:val="000000" w:themeColor="text1"/>
          <w:szCs w:val="24"/>
          <w:lang w:val="en-GB"/>
        </w:rPr>
        <w:t xml:space="preserve"> family, friends and colleagues.  This could create an opportunity for the</w:t>
      </w:r>
      <w:r w:rsidR="002738B5" w:rsidRPr="0028108F">
        <w:rPr>
          <w:rFonts w:ascii="Arial" w:hAnsi="Arial" w:cs="Arial"/>
          <w:color w:val="000000" w:themeColor="text1"/>
          <w:szCs w:val="24"/>
          <w:lang w:val="en-GB"/>
        </w:rPr>
        <w:t xml:space="preserve"> person </w:t>
      </w:r>
      <w:r w:rsidR="00E773F6" w:rsidRPr="0028108F">
        <w:rPr>
          <w:rFonts w:ascii="Arial" w:hAnsi="Arial" w:cs="Arial"/>
          <w:color w:val="000000" w:themeColor="text1"/>
          <w:szCs w:val="24"/>
          <w:lang w:val="en-GB"/>
        </w:rPr>
        <w:t xml:space="preserve">concerned to ‘prove’ his or her capacity and desire to live in </w:t>
      </w:r>
      <w:r w:rsidR="006C3F15" w:rsidRPr="0028108F">
        <w:rPr>
          <w:rFonts w:ascii="Arial" w:hAnsi="Arial" w:cs="Arial"/>
          <w:color w:val="000000" w:themeColor="text1"/>
          <w:szCs w:val="24"/>
          <w:lang w:val="en-GB"/>
        </w:rPr>
        <w:t>the</w:t>
      </w:r>
      <w:r w:rsidR="00E773F6" w:rsidRPr="0028108F">
        <w:rPr>
          <w:rFonts w:ascii="Arial" w:hAnsi="Arial" w:cs="Arial"/>
          <w:color w:val="000000" w:themeColor="text1"/>
          <w:szCs w:val="24"/>
          <w:lang w:val="en-GB"/>
        </w:rPr>
        <w:t xml:space="preserve"> preferred gender and </w:t>
      </w:r>
      <w:r w:rsidR="006C3F15" w:rsidRPr="0028108F">
        <w:rPr>
          <w:rFonts w:ascii="Arial" w:hAnsi="Arial" w:cs="Arial"/>
          <w:color w:val="000000" w:themeColor="text1"/>
          <w:szCs w:val="24"/>
          <w:lang w:val="en-GB"/>
        </w:rPr>
        <w:t xml:space="preserve">to </w:t>
      </w:r>
      <w:r w:rsidR="00E773F6" w:rsidRPr="0028108F">
        <w:rPr>
          <w:rFonts w:ascii="Arial" w:hAnsi="Arial" w:cs="Arial"/>
          <w:color w:val="000000" w:themeColor="text1"/>
          <w:szCs w:val="24"/>
          <w:lang w:val="en-GB"/>
        </w:rPr>
        <w:t xml:space="preserve">understand the consequences of transitioning without crossing a legal threshold.  If they </w:t>
      </w:r>
      <w:r w:rsidR="006C3F15" w:rsidRPr="0028108F">
        <w:rPr>
          <w:rFonts w:ascii="Arial" w:hAnsi="Arial" w:cs="Arial"/>
          <w:color w:val="000000" w:themeColor="text1"/>
          <w:szCs w:val="24"/>
          <w:lang w:val="en-GB"/>
        </w:rPr>
        <w:t xml:space="preserve">are unable to </w:t>
      </w:r>
      <w:r w:rsidR="00E773F6" w:rsidRPr="0028108F">
        <w:rPr>
          <w:rFonts w:ascii="Arial" w:hAnsi="Arial" w:cs="Arial"/>
          <w:color w:val="000000" w:themeColor="text1"/>
          <w:szCs w:val="24"/>
          <w:lang w:val="en-GB"/>
        </w:rPr>
        <w:t xml:space="preserve">cope with these difficulties and challenges, they may re-consider they should continue with the gender reassignment process.  </w:t>
      </w:r>
      <w:r w:rsidR="006C3F15" w:rsidRPr="0028108F">
        <w:rPr>
          <w:rFonts w:ascii="Arial" w:hAnsi="Arial" w:cs="Arial"/>
          <w:color w:val="000000" w:themeColor="text1"/>
          <w:szCs w:val="24"/>
          <w:lang w:val="en-GB"/>
        </w:rPr>
        <w:t>Whether</w:t>
      </w:r>
      <w:r w:rsidR="00E773F6" w:rsidRPr="0028108F">
        <w:rPr>
          <w:rFonts w:ascii="Arial" w:hAnsi="Arial" w:cs="Arial"/>
          <w:color w:val="000000" w:themeColor="text1"/>
          <w:szCs w:val="24"/>
          <w:lang w:val="en-GB"/>
        </w:rPr>
        <w:t xml:space="preserve"> reasonable period of </w:t>
      </w:r>
      <w:r w:rsidR="00043FD0" w:rsidRPr="0028108F">
        <w:rPr>
          <w:rFonts w:ascii="Arial" w:hAnsi="Arial" w:cs="Arial"/>
          <w:color w:val="000000" w:themeColor="text1"/>
          <w:szCs w:val="24"/>
          <w:lang w:val="en-GB"/>
        </w:rPr>
        <w:t>real life test</w:t>
      </w:r>
      <w:r w:rsidR="00E773F6" w:rsidRPr="0028108F">
        <w:rPr>
          <w:rFonts w:ascii="Arial" w:hAnsi="Arial" w:cs="Arial"/>
          <w:color w:val="000000" w:themeColor="text1"/>
          <w:szCs w:val="24"/>
          <w:lang w:val="en-GB"/>
        </w:rPr>
        <w:t xml:space="preserve"> </w:t>
      </w:r>
      <w:r w:rsidR="006C3F15" w:rsidRPr="0028108F">
        <w:rPr>
          <w:rFonts w:ascii="Arial" w:hAnsi="Arial" w:cs="Arial"/>
          <w:color w:val="000000" w:themeColor="text1"/>
          <w:szCs w:val="24"/>
          <w:lang w:val="en-GB"/>
        </w:rPr>
        <w:t xml:space="preserve">also </w:t>
      </w:r>
      <w:r w:rsidR="00E773F6" w:rsidRPr="0028108F">
        <w:rPr>
          <w:rFonts w:ascii="Arial" w:hAnsi="Arial" w:cs="Arial"/>
          <w:color w:val="000000" w:themeColor="text1"/>
          <w:szCs w:val="24"/>
          <w:lang w:val="en-GB"/>
        </w:rPr>
        <w:t xml:space="preserve">may help </w:t>
      </w:r>
      <w:r w:rsidR="009E57ED" w:rsidRPr="0028108F">
        <w:rPr>
          <w:rFonts w:ascii="Arial" w:hAnsi="Arial" w:cs="Arial"/>
          <w:color w:val="000000" w:themeColor="text1"/>
          <w:szCs w:val="24"/>
          <w:lang w:val="en-GB"/>
        </w:rPr>
        <w:t>individuals</w:t>
      </w:r>
      <w:r w:rsidR="00E773F6" w:rsidRPr="0028108F">
        <w:rPr>
          <w:rFonts w:ascii="Arial" w:hAnsi="Arial" w:cs="Arial"/>
          <w:color w:val="000000" w:themeColor="text1"/>
          <w:szCs w:val="24"/>
          <w:lang w:val="en-GB"/>
        </w:rPr>
        <w:t xml:space="preserve"> to identify whether they </w:t>
      </w:r>
      <w:r w:rsidR="009E57ED" w:rsidRPr="0028108F">
        <w:rPr>
          <w:rFonts w:ascii="Arial" w:hAnsi="Arial" w:cs="Arial"/>
          <w:color w:val="000000" w:themeColor="text1"/>
          <w:szCs w:val="24"/>
          <w:lang w:val="en-GB"/>
        </w:rPr>
        <w:t xml:space="preserve">are </w:t>
      </w:r>
      <w:r w:rsidR="00E773F6" w:rsidRPr="0028108F">
        <w:rPr>
          <w:rFonts w:ascii="Arial" w:hAnsi="Arial" w:cs="Arial"/>
          <w:color w:val="000000" w:themeColor="text1"/>
          <w:szCs w:val="24"/>
          <w:lang w:val="en-GB"/>
        </w:rPr>
        <w:t xml:space="preserve">really </w:t>
      </w:r>
      <w:r w:rsidR="009E57ED" w:rsidRPr="0028108F">
        <w:rPr>
          <w:rFonts w:ascii="Arial" w:hAnsi="Arial" w:cs="Arial"/>
          <w:color w:val="000000" w:themeColor="text1"/>
          <w:szCs w:val="24"/>
          <w:lang w:val="en-GB"/>
        </w:rPr>
        <w:t>experiencing</w:t>
      </w:r>
      <w:r w:rsidR="00E773F6" w:rsidRPr="0028108F">
        <w:rPr>
          <w:rFonts w:ascii="Arial" w:hAnsi="Arial" w:cs="Arial"/>
          <w:color w:val="000000" w:themeColor="text1"/>
          <w:szCs w:val="24"/>
          <w:lang w:val="en-GB"/>
        </w:rPr>
        <w:t xml:space="preserve"> gender dysphoria or whether they</w:t>
      </w:r>
      <w:r w:rsidR="009E57ED" w:rsidRPr="0028108F">
        <w:rPr>
          <w:rFonts w:ascii="Arial" w:hAnsi="Arial" w:cs="Arial"/>
          <w:color w:val="000000" w:themeColor="text1"/>
          <w:szCs w:val="24"/>
          <w:lang w:val="en-GB"/>
        </w:rPr>
        <w:t xml:space="preserve"> may</w:t>
      </w:r>
      <w:r w:rsidR="00E773F6" w:rsidRPr="0028108F">
        <w:rPr>
          <w:rFonts w:ascii="Arial" w:hAnsi="Arial" w:cs="Arial"/>
          <w:color w:val="000000" w:themeColor="text1"/>
          <w:szCs w:val="24"/>
          <w:lang w:val="en-GB"/>
        </w:rPr>
        <w:t xml:space="preserve"> </w:t>
      </w:r>
      <w:r w:rsidR="00513E4A">
        <w:rPr>
          <w:rFonts w:ascii="Arial" w:hAnsi="Arial" w:cs="Arial" w:hint="eastAsia"/>
          <w:color w:val="000000" w:themeColor="text1"/>
          <w:szCs w:val="24"/>
          <w:lang w:val="en-GB"/>
        </w:rPr>
        <w:t>experience</w:t>
      </w:r>
      <w:r w:rsidR="00E773F6" w:rsidRPr="0028108F">
        <w:rPr>
          <w:rFonts w:ascii="Arial" w:hAnsi="Arial" w:cs="Arial"/>
          <w:color w:val="000000" w:themeColor="text1"/>
          <w:szCs w:val="24"/>
          <w:lang w:val="en-GB"/>
        </w:rPr>
        <w:t xml:space="preserve"> other psychiatric disorders</w:t>
      </w:r>
      <w:r w:rsidR="009E57ED" w:rsidRPr="0028108F">
        <w:rPr>
          <w:rFonts w:ascii="Arial" w:hAnsi="Arial" w:cs="Arial"/>
          <w:color w:val="000000" w:themeColor="text1"/>
          <w:szCs w:val="24"/>
          <w:lang w:val="en-GB"/>
        </w:rPr>
        <w:t>, or be gay or lesbian rather than trans</w:t>
      </w:r>
      <w:r w:rsidR="00E773F6" w:rsidRPr="0028108F">
        <w:rPr>
          <w:rFonts w:ascii="Arial" w:hAnsi="Arial" w:cs="Arial"/>
          <w:color w:val="000000" w:themeColor="text1"/>
          <w:szCs w:val="24"/>
          <w:lang w:val="en-GB"/>
        </w:rPr>
        <w:t xml:space="preserve">.  </w:t>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 two-year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xml:space="preserve"> is currently one of the pre-conditions to assess whether </w:t>
      </w:r>
      <w:r w:rsidR="002738B5" w:rsidRPr="0028108F">
        <w:rPr>
          <w:rFonts w:ascii="Arial" w:hAnsi="Arial" w:cs="Arial"/>
          <w:color w:val="000000" w:themeColor="text1"/>
          <w:szCs w:val="24"/>
          <w:lang w:val="en-GB"/>
        </w:rPr>
        <w:t>an individual</w:t>
      </w:r>
      <w:r w:rsidRPr="00181CF2">
        <w:rPr>
          <w:rFonts w:ascii="Arial" w:hAnsi="Arial" w:cs="Arial"/>
          <w:color w:val="000000" w:themeColor="text1"/>
          <w:szCs w:val="24"/>
          <w:lang w:val="en-GB"/>
        </w:rPr>
        <w:t xml:space="preserve"> </w:t>
      </w:r>
      <w:r w:rsidR="006C3F15" w:rsidRPr="00C57CE1">
        <w:rPr>
          <w:rFonts w:ascii="Arial" w:hAnsi="Arial" w:cs="Arial"/>
          <w:color w:val="000000" w:themeColor="text1"/>
          <w:szCs w:val="24"/>
          <w:lang w:val="en-GB"/>
        </w:rPr>
        <w:t xml:space="preserve">is able to </w:t>
      </w:r>
      <w:r w:rsidRPr="0028108F">
        <w:rPr>
          <w:rFonts w:ascii="Arial" w:hAnsi="Arial" w:cs="Arial"/>
          <w:color w:val="000000" w:themeColor="text1"/>
          <w:szCs w:val="24"/>
          <w:lang w:val="en-GB"/>
        </w:rPr>
        <w:t>undergo SRS in Hong Kong.  It is also a pre-condition for gender recognition in the UK under section 2(1) of the GRA.  Some ha</w:t>
      </w:r>
      <w:r w:rsidR="009E57ED" w:rsidRPr="0028108F">
        <w:rPr>
          <w:rFonts w:ascii="Arial" w:hAnsi="Arial" w:cs="Arial"/>
          <w:color w:val="000000" w:themeColor="text1"/>
          <w:szCs w:val="24"/>
          <w:lang w:val="en-GB"/>
        </w:rPr>
        <w:t>ve</w:t>
      </w:r>
      <w:r w:rsidRPr="0028108F">
        <w:rPr>
          <w:rFonts w:ascii="Arial" w:hAnsi="Arial" w:cs="Arial"/>
          <w:color w:val="000000" w:themeColor="text1"/>
          <w:szCs w:val="24"/>
          <w:lang w:val="en-GB"/>
        </w:rPr>
        <w:t xml:space="preserve"> commented that the two years’ duration for a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xml:space="preserve"> should be the minimum threshold from both the medical and legal perspectives</w:t>
      </w:r>
      <w:r w:rsidR="006C3F15"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as some transgender persons may not be ready for SRS without having lived in the opposite gender for a </w:t>
      </w:r>
      <w:r w:rsidR="006C3F15" w:rsidRPr="0028108F">
        <w:rPr>
          <w:rFonts w:ascii="Arial" w:hAnsi="Arial" w:cs="Arial"/>
          <w:color w:val="000000" w:themeColor="text1"/>
          <w:szCs w:val="24"/>
          <w:lang w:val="en-GB"/>
        </w:rPr>
        <w:t>significant</w:t>
      </w:r>
      <w:r w:rsidRPr="0028108F">
        <w:rPr>
          <w:rFonts w:ascii="Arial" w:hAnsi="Arial" w:cs="Arial"/>
          <w:color w:val="000000" w:themeColor="text1"/>
          <w:szCs w:val="24"/>
          <w:lang w:val="en-GB"/>
        </w:rPr>
        <w:t xml:space="preserve"> period of time.  </w:t>
      </w:r>
      <w:r w:rsidR="006C3F15" w:rsidRPr="0028108F">
        <w:rPr>
          <w:rFonts w:ascii="Arial" w:hAnsi="Arial" w:cs="Arial"/>
          <w:color w:val="000000" w:themeColor="text1"/>
          <w:szCs w:val="24"/>
          <w:lang w:val="en-GB"/>
        </w:rPr>
        <w:t>On the other hand, i</w:t>
      </w:r>
      <w:r w:rsidRPr="0028108F">
        <w:rPr>
          <w:rFonts w:ascii="Arial" w:hAnsi="Arial" w:cs="Arial"/>
          <w:color w:val="000000" w:themeColor="text1"/>
          <w:szCs w:val="24"/>
          <w:lang w:val="en-GB"/>
        </w:rPr>
        <w:t xml:space="preserve">n some cases, the </w:t>
      </w:r>
      <w:r w:rsidR="006C3F15" w:rsidRPr="0028108F">
        <w:rPr>
          <w:rFonts w:ascii="Arial" w:hAnsi="Arial" w:cs="Arial"/>
          <w:color w:val="000000" w:themeColor="text1"/>
          <w:szCs w:val="24"/>
          <w:lang w:val="en-GB"/>
        </w:rPr>
        <w:t>person</w:t>
      </w:r>
      <w:r w:rsidR="000C1E70">
        <w:rPr>
          <w:rFonts w:ascii="Arial" w:hAnsi="Arial" w:cs="Arial"/>
          <w:color w:val="000000" w:themeColor="text1"/>
          <w:szCs w:val="24"/>
          <w:lang w:val="en-GB"/>
        </w:rPr>
        <w:t xml:space="preserve"> </w:t>
      </w:r>
      <w:r w:rsidRPr="00C57CE1">
        <w:rPr>
          <w:rFonts w:ascii="Arial" w:hAnsi="Arial" w:cs="Arial"/>
          <w:color w:val="000000" w:themeColor="text1"/>
          <w:szCs w:val="24"/>
          <w:lang w:val="en-GB"/>
        </w:rPr>
        <w:t>may, for various reasons, choose not to maintain the</w:t>
      </w:r>
      <w:r w:rsidR="00F303A3" w:rsidRPr="0028108F">
        <w:rPr>
          <w:rFonts w:ascii="Arial" w:hAnsi="Arial" w:cs="Arial"/>
          <w:color w:val="000000" w:themeColor="text1"/>
          <w:szCs w:val="24"/>
          <w:lang w:val="en-GB"/>
        </w:rPr>
        <w:t>ir</w:t>
      </w:r>
      <w:r w:rsidRPr="0028108F">
        <w:rPr>
          <w:rFonts w:ascii="Arial" w:hAnsi="Arial" w:cs="Arial"/>
          <w:color w:val="000000" w:themeColor="text1"/>
          <w:szCs w:val="24"/>
          <w:lang w:val="en-GB"/>
        </w:rPr>
        <w:t xml:space="preserve"> life mode in another gender all the time</w:t>
      </w:r>
      <w:r w:rsidR="00F303A3"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and may only live that way during holidays</w:t>
      </w:r>
      <w:r w:rsidR="00F303A3" w:rsidRPr="0028108F">
        <w:rPr>
          <w:rFonts w:ascii="Arial" w:hAnsi="Arial" w:cs="Arial"/>
          <w:color w:val="000000" w:themeColor="text1"/>
          <w:szCs w:val="24"/>
          <w:lang w:val="en-GB"/>
        </w:rPr>
        <w:t>, for example</w:t>
      </w:r>
      <w:r w:rsidRPr="0028108F">
        <w:rPr>
          <w:rFonts w:ascii="Arial" w:hAnsi="Arial" w:cs="Arial"/>
          <w:color w:val="000000" w:themeColor="text1"/>
          <w:szCs w:val="24"/>
          <w:lang w:val="en-GB"/>
        </w:rPr>
        <w:t xml:space="preserve">.  </w:t>
      </w:r>
      <w:r w:rsidR="006C3F15"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ome people consider that a reasonable period of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xml:space="preserve"> is necessary for gender recognition</w:t>
      </w:r>
      <w:r w:rsidR="00D40257"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D40257" w:rsidRPr="0028108F">
        <w:rPr>
          <w:rFonts w:ascii="Arial" w:hAnsi="Arial" w:cs="Arial"/>
          <w:color w:val="000000" w:themeColor="text1"/>
          <w:szCs w:val="24"/>
          <w:lang w:val="en-GB"/>
        </w:rPr>
        <w:t>so as to</w:t>
      </w:r>
      <w:r w:rsidRPr="0028108F">
        <w:rPr>
          <w:rFonts w:ascii="Arial" w:hAnsi="Arial" w:cs="Arial"/>
          <w:color w:val="000000" w:themeColor="text1"/>
          <w:szCs w:val="24"/>
          <w:lang w:val="en-GB"/>
        </w:rPr>
        <w:t xml:space="preserve"> avoid legally recognising someone who is </w:t>
      </w:r>
      <w:r w:rsidR="00D40257" w:rsidRPr="0028108F">
        <w:rPr>
          <w:rFonts w:ascii="Arial" w:hAnsi="Arial" w:cs="Arial"/>
          <w:color w:val="000000" w:themeColor="text1"/>
          <w:szCs w:val="24"/>
          <w:lang w:val="en-GB"/>
        </w:rPr>
        <w:t xml:space="preserve">actually </w:t>
      </w:r>
      <w:r w:rsidRPr="0028108F">
        <w:rPr>
          <w:rFonts w:ascii="Arial" w:hAnsi="Arial" w:cs="Arial"/>
          <w:color w:val="000000" w:themeColor="text1"/>
          <w:szCs w:val="24"/>
          <w:lang w:val="en-GB"/>
        </w:rPr>
        <w:t xml:space="preserve">uncertain about his or her determination to live in the opposite gender for the rest of </w:t>
      </w:r>
      <w:r w:rsidR="006C3F15" w:rsidRPr="0028108F">
        <w:rPr>
          <w:rFonts w:ascii="Arial" w:hAnsi="Arial" w:cs="Arial"/>
          <w:color w:val="000000" w:themeColor="text1"/>
          <w:szCs w:val="24"/>
          <w:lang w:val="en-GB"/>
        </w:rPr>
        <w:t xml:space="preserve">their </w:t>
      </w:r>
      <w:r w:rsidRPr="0028108F">
        <w:rPr>
          <w:rFonts w:ascii="Arial" w:hAnsi="Arial" w:cs="Arial"/>
          <w:color w:val="000000" w:themeColor="text1"/>
          <w:szCs w:val="24"/>
          <w:lang w:val="en-GB"/>
        </w:rPr>
        <w:t>life.</w:t>
      </w:r>
    </w:p>
    <w:p w:rsidR="00E773F6" w:rsidRPr="0028108F"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 xml:space="preserve">Arguments against </w:t>
      </w:r>
      <w:r w:rsidR="00E773F6" w:rsidRPr="0028108F">
        <w:rPr>
          <w:rFonts w:ascii="Arial" w:hAnsi="Arial" w:cs="Arial"/>
          <w:b/>
          <w:i/>
          <w:color w:val="000000" w:themeColor="text1"/>
          <w:szCs w:val="24"/>
          <w:lang w:val="en-GB"/>
        </w:rPr>
        <w:t xml:space="preserve">having a requirement of </w:t>
      </w:r>
      <w:r w:rsidR="004D0040" w:rsidRPr="0028108F">
        <w:rPr>
          <w:rFonts w:ascii="Arial" w:hAnsi="Arial" w:cs="Arial"/>
          <w:b/>
          <w:i/>
          <w:color w:val="000000" w:themeColor="text1"/>
          <w:szCs w:val="24"/>
          <w:lang w:val="en-GB"/>
        </w:rPr>
        <w:t>“</w:t>
      </w:r>
      <w:r w:rsidR="00043FD0" w:rsidRPr="0028108F">
        <w:rPr>
          <w:rFonts w:ascii="Arial" w:hAnsi="Arial" w:cs="Arial"/>
          <w:b/>
          <w:i/>
          <w:color w:val="000000" w:themeColor="text1"/>
          <w:szCs w:val="24"/>
          <w:lang w:val="en-GB"/>
        </w:rPr>
        <w:t>real life test</w:t>
      </w:r>
      <w:r w:rsidR="00E773F6" w:rsidRPr="0028108F">
        <w:rPr>
          <w:rFonts w:ascii="Arial" w:hAnsi="Arial" w:cs="Arial"/>
          <w:b/>
          <w:i/>
          <w:color w:val="000000" w:themeColor="text1"/>
          <w:szCs w:val="24"/>
          <w:lang w:val="en-GB"/>
        </w:rPr>
        <w:t>”</w:t>
      </w:r>
    </w:p>
    <w:p w:rsidR="00E773F6" w:rsidRPr="0028108F" w:rsidRDefault="00E773F6" w:rsidP="00E773F6">
      <w:pPr>
        <w:pStyle w:val="ListParagraph"/>
        <w:tabs>
          <w:tab w:val="left" w:pos="851"/>
        </w:tabs>
        <w:adjustRightInd w:val="0"/>
        <w:snapToGrid w:val="0"/>
        <w:ind w:leftChars="0" w:left="1985"/>
        <w:jc w:val="both"/>
        <w:rPr>
          <w:rFonts w:ascii="Arial" w:hAnsi="Arial" w:cs="Arial"/>
          <w:b/>
          <w:color w:val="000000" w:themeColor="text1"/>
          <w:szCs w:val="24"/>
          <w:lang w:val="en-GB"/>
        </w:rPr>
      </w:pPr>
    </w:p>
    <w:p w:rsidR="00E773F6" w:rsidRPr="00181CF2" w:rsidRDefault="00E773F6" w:rsidP="005C54DC">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The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xml:space="preserve"> </w:t>
      </w:r>
      <w:r w:rsidR="00D40257" w:rsidRPr="0028108F">
        <w:rPr>
          <w:rFonts w:ascii="Arial" w:hAnsi="Arial" w:cs="Arial"/>
          <w:color w:val="000000" w:themeColor="text1"/>
          <w:szCs w:val="24"/>
          <w:lang w:val="en-GB"/>
        </w:rPr>
        <w:t xml:space="preserve">may </w:t>
      </w:r>
      <w:r w:rsidRPr="0028108F">
        <w:rPr>
          <w:rFonts w:ascii="Arial" w:hAnsi="Arial" w:cs="Arial"/>
          <w:color w:val="000000" w:themeColor="text1"/>
          <w:szCs w:val="24"/>
          <w:lang w:val="en-GB"/>
        </w:rPr>
        <w:t>ha</w:t>
      </w:r>
      <w:r w:rsidR="00D40257" w:rsidRPr="0028108F">
        <w:rPr>
          <w:rFonts w:ascii="Arial" w:hAnsi="Arial" w:cs="Arial"/>
          <w:color w:val="000000" w:themeColor="text1"/>
          <w:szCs w:val="24"/>
          <w:lang w:val="en-GB"/>
        </w:rPr>
        <w:t>ve</w:t>
      </w:r>
      <w:r w:rsidRPr="0028108F">
        <w:rPr>
          <w:rFonts w:ascii="Arial" w:hAnsi="Arial" w:cs="Arial"/>
          <w:color w:val="000000" w:themeColor="text1"/>
          <w:szCs w:val="24"/>
          <w:lang w:val="en-GB"/>
        </w:rPr>
        <w:t xml:space="preserve"> its limitation</w:t>
      </w:r>
      <w:r w:rsidR="00D40257"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w:t>
      </w:r>
      <w:r w:rsidR="00A715E7" w:rsidRPr="0028108F">
        <w:rPr>
          <w:rFonts w:ascii="Arial" w:hAnsi="Arial" w:cs="Arial"/>
          <w:color w:val="000000" w:themeColor="text1"/>
          <w:szCs w:val="24"/>
          <w:lang w:val="en-GB"/>
        </w:rPr>
        <w:t>as a means of</w:t>
      </w:r>
      <w:r w:rsidRPr="0028108F">
        <w:rPr>
          <w:rFonts w:ascii="Arial" w:hAnsi="Arial" w:cs="Arial"/>
          <w:color w:val="000000" w:themeColor="text1"/>
          <w:szCs w:val="24"/>
          <w:lang w:val="en-GB"/>
        </w:rPr>
        <w:t xml:space="preserve"> assessment</w:t>
      </w:r>
      <w:r w:rsidR="00A715E7"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15008F" w:rsidRPr="0028108F">
        <w:rPr>
          <w:rFonts w:ascii="Arial" w:hAnsi="Arial" w:cs="Arial"/>
          <w:color w:val="000000" w:themeColor="text1"/>
          <w:szCs w:val="24"/>
          <w:lang w:val="en-GB"/>
        </w:rPr>
        <w:t xml:space="preserve">as </w:t>
      </w:r>
      <w:r w:rsidRPr="0028108F">
        <w:rPr>
          <w:rFonts w:ascii="Arial" w:hAnsi="Arial" w:cs="Arial"/>
          <w:color w:val="000000" w:themeColor="text1"/>
          <w:szCs w:val="24"/>
          <w:lang w:val="en-GB"/>
        </w:rPr>
        <w:t xml:space="preserve">psychiatrists would have difficulties </w:t>
      </w:r>
      <w:r w:rsidR="00A715E7" w:rsidRPr="0028108F">
        <w:rPr>
          <w:rFonts w:ascii="Arial" w:hAnsi="Arial" w:cs="Arial"/>
          <w:color w:val="000000" w:themeColor="text1"/>
          <w:szCs w:val="24"/>
          <w:lang w:val="en-GB"/>
        </w:rPr>
        <w:t>in observing</w:t>
      </w:r>
      <w:r w:rsidRPr="0028108F">
        <w:rPr>
          <w:rFonts w:ascii="Arial" w:hAnsi="Arial" w:cs="Arial"/>
          <w:color w:val="000000" w:themeColor="text1"/>
          <w:szCs w:val="24"/>
          <w:lang w:val="en-GB"/>
        </w:rPr>
        <w:t xml:space="preserve"> the </w:t>
      </w:r>
      <w:r w:rsidRPr="00C57CE1">
        <w:rPr>
          <w:rFonts w:ascii="Arial" w:hAnsi="Arial" w:cs="Arial"/>
          <w:color w:val="000000" w:themeColor="text1"/>
          <w:szCs w:val="24"/>
          <w:lang w:val="en-GB"/>
        </w:rPr>
        <w:t>behaviour</w:t>
      </w:r>
      <w:r w:rsidRPr="0028108F">
        <w:rPr>
          <w:rFonts w:ascii="Arial" w:hAnsi="Arial" w:cs="Arial"/>
          <w:color w:val="000000" w:themeColor="text1"/>
          <w:szCs w:val="24"/>
          <w:lang w:val="en-GB"/>
        </w:rPr>
        <w:t xml:space="preserve"> </w:t>
      </w:r>
      <w:r w:rsidR="00191959" w:rsidRPr="0028108F">
        <w:rPr>
          <w:rFonts w:ascii="Arial" w:hAnsi="Arial" w:cs="Arial"/>
          <w:color w:val="000000" w:themeColor="text1"/>
          <w:szCs w:val="24"/>
          <w:lang w:val="en-GB"/>
        </w:rPr>
        <w:t xml:space="preserve">of the concerned individual </w:t>
      </w:r>
      <w:r w:rsidRPr="00181CF2">
        <w:rPr>
          <w:rFonts w:ascii="Arial" w:hAnsi="Arial" w:cs="Arial"/>
          <w:color w:val="000000" w:themeColor="text1"/>
          <w:szCs w:val="24"/>
          <w:lang w:val="en-GB"/>
        </w:rPr>
        <w:t xml:space="preserve">outside the clinic.  Preferably, the </w:t>
      </w:r>
      <w:r w:rsidR="003E5D6D" w:rsidRPr="0028108F">
        <w:rPr>
          <w:rFonts w:ascii="Arial" w:hAnsi="Arial" w:cs="Arial"/>
          <w:color w:val="000000" w:themeColor="text1"/>
          <w:szCs w:val="24"/>
          <w:lang w:val="en-GB"/>
        </w:rPr>
        <w:t xml:space="preserve">individual </w:t>
      </w:r>
      <w:r w:rsidRPr="00181CF2">
        <w:rPr>
          <w:rFonts w:ascii="Arial" w:hAnsi="Arial" w:cs="Arial"/>
          <w:color w:val="000000" w:themeColor="text1"/>
          <w:szCs w:val="24"/>
          <w:lang w:val="en-GB"/>
        </w:rPr>
        <w:t>may be monitored by</w:t>
      </w:r>
      <w:r w:rsidRPr="00C57CE1">
        <w:rPr>
          <w:rFonts w:ascii="Arial" w:hAnsi="Arial" w:cs="Arial"/>
          <w:color w:val="000000" w:themeColor="text1"/>
          <w:szCs w:val="24"/>
          <w:lang w:val="en-GB"/>
        </w:rPr>
        <w:t xml:space="preserve"> an occupational therapist during the period of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but hospitals may not have sufficient resources for this purpose.  Further, it has been contended that the test could be inaccurate and/or biased</w:t>
      </w:r>
      <w:r w:rsidR="00A715E7"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A715E7" w:rsidRPr="0028108F">
        <w:rPr>
          <w:rFonts w:ascii="Arial" w:hAnsi="Arial" w:cs="Arial"/>
          <w:color w:val="000000" w:themeColor="text1"/>
          <w:szCs w:val="24"/>
          <w:lang w:val="en-GB"/>
        </w:rPr>
        <w:t>as</w:t>
      </w:r>
      <w:r w:rsidRPr="0028108F">
        <w:rPr>
          <w:rFonts w:ascii="Arial" w:hAnsi="Arial" w:cs="Arial"/>
          <w:color w:val="000000" w:themeColor="text1"/>
          <w:szCs w:val="24"/>
          <w:lang w:val="en-GB"/>
        </w:rPr>
        <w:t xml:space="preserve"> it might suggest that there is only one identifiable way of living in a particular gender.  </w:t>
      </w:r>
      <w:r w:rsidR="009467A9" w:rsidRPr="0028108F">
        <w:rPr>
          <w:rFonts w:ascii="Arial" w:hAnsi="Arial" w:cs="Arial"/>
          <w:color w:val="000000" w:themeColor="text1"/>
          <w:szCs w:val="24"/>
          <w:lang w:val="en-GB"/>
        </w:rPr>
        <w:t xml:space="preserve">Dr </w:t>
      </w:r>
      <w:r w:rsidRPr="0028108F">
        <w:rPr>
          <w:rFonts w:ascii="Arial" w:hAnsi="Arial" w:cs="Arial"/>
          <w:color w:val="000000" w:themeColor="text1"/>
          <w:szCs w:val="24"/>
          <w:lang w:val="en-GB"/>
        </w:rPr>
        <w:t xml:space="preserve">Scherpe argues that there is nothing to </w:t>
      </w:r>
      <w:r w:rsidR="00A715E7" w:rsidRPr="0028108F">
        <w:rPr>
          <w:rFonts w:ascii="Arial" w:hAnsi="Arial" w:cs="Arial"/>
          <w:color w:val="000000" w:themeColor="text1"/>
          <w:szCs w:val="24"/>
          <w:lang w:val="en-GB"/>
        </w:rPr>
        <w:t>precisely indicate</w:t>
      </w:r>
      <w:r w:rsidRPr="0028108F">
        <w:rPr>
          <w:rFonts w:ascii="Arial" w:hAnsi="Arial" w:cs="Arial"/>
          <w:color w:val="000000" w:themeColor="text1"/>
          <w:szCs w:val="24"/>
          <w:lang w:val="en-GB"/>
        </w:rPr>
        <w:t xml:space="preserve"> how</w:t>
      </w:r>
      <w:r w:rsidR="00AC214E" w:rsidRPr="0028108F">
        <w:rPr>
          <w:rFonts w:ascii="Arial" w:hAnsi="Arial" w:cs="Arial"/>
          <w:color w:val="000000" w:themeColor="text1"/>
          <w:szCs w:val="24"/>
          <w:lang w:val="en-GB"/>
        </w:rPr>
        <w:t xml:space="preserve">, for example, </w:t>
      </w:r>
      <w:r w:rsidRPr="0028108F">
        <w:rPr>
          <w:rFonts w:ascii="Arial" w:hAnsi="Arial" w:cs="Arial"/>
          <w:color w:val="000000" w:themeColor="text1"/>
          <w:szCs w:val="24"/>
          <w:lang w:val="en-GB"/>
        </w:rPr>
        <w:t>a transgender woman could prove that she can function socially and professionally as a female, or how</w:t>
      </w:r>
      <w:r w:rsidR="00AC214E" w:rsidRPr="0028108F">
        <w:rPr>
          <w:rFonts w:ascii="Arial" w:hAnsi="Arial" w:cs="Arial"/>
          <w:color w:val="000000" w:themeColor="text1"/>
          <w:szCs w:val="24"/>
          <w:lang w:val="en-GB"/>
        </w:rPr>
        <w:t>, for example,</w:t>
      </w:r>
      <w:r w:rsidRPr="0028108F">
        <w:rPr>
          <w:rFonts w:ascii="Arial" w:hAnsi="Arial" w:cs="Arial"/>
          <w:color w:val="000000" w:themeColor="text1"/>
          <w:szCs w:val="24"/>
          <w:lang w:val="en-GB"/>
        </w:rPr>
        <w:t xml:space="preserve"> a ‘normal man’ lives his li</w:t>
      </w:r>
      <w:r w:rsidR="00A715E7" w:rsidRPr="0028108F">
        <w:rPr>
          <w:rFonts w:ascii="Arial" w:hAnsi="Arial" w:cs="Arial"/>
          <w:color w:val="000000" w:themeColor="text1"/>
          <w:szCs w:val="24"/>
          <w:lang w:val="en-GB"/>
        </w:rPr>
        <w:t>fe</w:t>
      </w:r>
      <w:r w:rsidRPr="0028108F">
        <w:rPr>
          <w:rFonts w:ascii="Arial" w:hAnsi="Arial" w:cs="Arial"/>
          <w:color w:val="000000" w:themeColor="text1"/>
          <w:szCs w:val="24"/>
          <w:lang w:val="en-GB"/>
        </w:rPr>
        <w:t xml:space="preserve">.  </w:t>
      </w:r>
      <w:r w:rsidR="00AC214E" w:rsidRPr="0028108F">
        <w:rPr>
          <w:rFonts w:ascii="Arial" w:hAnsi="Arial" w:cs="Arial"/>
          <w:color w:val="000000" w:themeColor="text1"/>
          <w:szCs w:val="24"/>
          <w:lang w:val="en-GB"/>
        </w:rPr>
        <w:t>Dr Scherpe</w:t>
      </w:r>
      <w:r w:rsidRPr="0028108F">
        <w:rPr>
          <w:rFonts w:ascii="Arial" w:hAnsi="Arial" w:cs="Arial"/>
          <w:color w:val="000000" w:themeColor="text1"/>
          <w:szCs w:val="24"/>
          <w:lang w:val="en-GB"/>
        </w:rPr>
        <w:t xml:space="preserve"> notes that</w:t>
      </w:r>
      <w:r w:rsidR="0015008F"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Pr="0028108F">
        <w:rPr>
          <w:rFonts w:ascii="Arial" w:hAnsi="Arial" w:cs="Arial"/>
          <w:i/>
          <w:color w:val="000000" w:themeColor="text1"/>
          <w:szCs w:val="24"/>
          <w:lang w:val="en-GB"/>
        </w:rPr>
        <w:t>[t]here is a real fear that, in requiring applicants for recognition to prove their capacity to live a ‘real life’, policy makers will merely reinforce biased and stereotyped presumptions about male and female conduct which do not conform with the lived reality of the vast majority of the population,</w:t>
      </w:r>
      <w:r w:rsidRPr="0028108F">
        <w:rPr>
          <w:rFonts w:ascii="Arial" w:hAnsi="Arial" w:cs="Arial"/>
          <w:color w:val="000000" w:themeColor="text1"/>
          <w:szCs w:val="24"/>
          <w:lang w:val="en-GB"/>
        </w:rPr>
        <w:t xml:space="preserve">” and </w:t>
      </w:r>
      <w:r w:rsidR="0015008F" w:rsidRPr="0028108F">
        <w:rPr>
          <w:rFonts w:ascii="Arial" w:hAnsi="Arial" w:cs="Arial"/>
          <w:color w:val="000000" w:themeColor="text1"/>
          <w:szCs w:val="24"/>
          <w:lang w:val="en-GB"/>
        </w:rPr>
        <w:t xml:space="preserve">that </w:t>
      </w:r>
      <w:r w:rsidRPr="0028108F">
        <w:rPr>
          <w:rFonts w:ascii="Arial" w:hAnsi="Arial" w:cs="Arial"/>
          <w:color w:val="000000" w:themeColor="text1"/>
          <w:szCs w:val="24"/>
          <w:lang w:val="en-GB"/>
        </w:rPr>
        <w:t>such requirements</w:t>
      </w:r>
      <w:r w:rsidR="00AC214E" w:rsidRPr="0028108F">
        <w:rPr>
          <w:rFonts w:ascii="Arial" w:hAnsi="Arial" w:cs="Arial"/>
          <w:color w:val="000000" w:themeColor="text1"/>
          <w:szCs w:val="24"/>
          <w:lang w:val="en-GB"/>
        </w:rPr>
        <w:t xml:space="preserve"> may</w:t>
      </w:r>
      <w:r w:rsidR="0015008F"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Pr="0028108F">
        <w:rPr>
          <w:rFonts w:ascii="Arial" w:hAnsi="Arial" w:cs="Arial"/>
          <w:i/>
          <w:color w:val="000000" w:themeColor="text1"/>
          <w:szCs w:val="24"/>
          <w:lang w:val="en-GB"/>
        </w:rPr>
        <w:t>“hold transgender persons to a false standard of maleness and femaleness which is not expected of any other person</w:t>
      </w:r>
      <w:r w:rsidRPr="0028108F">
        <w:rPr>
          <w:rFonts w:ascii="Arial" w:hAnsi="Arial" w:cs="Arial"/>
          <w:color w:val="000000" w:themeColor="text1"/>
          <w:szCs w:val="24"/>
          <w:lang w:val="en-GB"/>
        </w:rPr>
        <w:t>”</w:t>
      </w:r>
      <w:r w:rsidR="0015008F"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since they will, prior to obtaining official recognition, </w:t>
      </w:r>
      <w:r w:rsidRPr="0028108F">
        <w:rPr>
          <w:rFonts w:ascii="Arial" w:hAnsi="Arial" w:cs="Arial"/>
          <w:i/>
          <w:color w:val="000000" w:themeColor="text1"/>
          <w:szCs w:val="24"/>
          <w:lang w:val="en-GB"/>
        </w:rPr>
        <w:t>“feel obliged to express an accentuated version of their preferred gender which they have no intention of subsequently maintaining.</w:t>
      </w:r>
      <w:r w:rsidRPr="0028108F">
        <w:rPr>
          <w:rFonts w:ascii="Arial" w:hAnsi="Arial" w:cs="Arial"/>
          <w:color w:val="000000" w:themeColor="text1"/>
          <w:szCs w:val="24"/>
          <w:lang w:val="en-GB"/>
        </w:rPr>
        <w:t>”</w:t>
      </w:r>
      <w:r w:rsidRPr="00181CF2">
        <w:rPr>
          <w:rStyle w:val="FootnoteReference"/>
          <w:rFonts w:ascii="Arial" w:hAnsi="Arial" w:cs="Arial"/>
          <w:color w:val="000000" w:themeColor="text1"/>
          <w:lang w:val="en-GB"/>
        </w:rPr>
        <w:footnoteReference w:id="503"/>
      </w:r>
    </w:p>
    <w:p w:rsidR="00E773F6" w:rsidRPr="00C57CE1" w:rsidRDefault="00E773F6" w:rsidP="00E773F6">
      <w:pPr>
        <w:pStyle w:val="ListParagraph"/>
        <w:tabs>
          <w:tab w:val="left" w:pos="1418"/>
          <w:tab w:val="left" w:pos="2552"/>
        </w:tabs>
        <w:autoSpaceDE w:val="0"/>
        <w:autoSpaceDN w:val="0"/>
        <w:adjustRightInd w:val="0"/>
        <w:snapToGrid w:val="0"/>
        <w:ind w:leftChars="0" w:left="840"/>
        <w:jc w:val="both"/>
        <w:rPr>
          <w:rFonts w:ascii="Arial" w:hAnsi="Arial" w:cs="Arial"/>
          <w:color w:val="000000" w:themeColor="text1"/>
          <w:szCs w:val="24"/>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Some people may also argue that the duration of two years for </w:t>
      </w:r>
      <w:r w:rsidR="00A715E7" w:rsidRPr="0028108F">
        <w:rPr>
          <w:rFonts w:ascii="Arial" w:hAnsi="Arial" w:cs="Arial"/>
          <w:color w:val="000000" w:themeColor="text1"/>
          <w:szCs w:val="24"/>
          <w:lang w:val="en-GB"/>
        </w:rPr>
        <w:t xml:space="preserve">the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xml:space="preserve"> prescribed under the UK GRA is too long, especially for teenage applicants who lack support from their parents and their schools.  </w:t>
      </w:r>
      <w:r w:rsidR="0015008F" w:rsidRPr="0028108F">
        <w:rPr>
          <w:rFonts w:ascii="Arial" w:hAnsi="Arial" w:cs="Arial"/>
          <w:color w:val="000000" w:themeColor="text1"/>
          <w:szCs w:val="24"/>
          <w:lang w:val="en-GB"/>
        </w:rPr>
        <w:t xml:space="preserve">If the period set is too long, this might discourage </w:t>
      </w:r>
      <w:r w:rsidR="00DC322D" w:rsidRPr="0028108F">
        <w:rPr>
          <w:rFonts w:ascii="Arial" w:hAnsi="Arial" w:cs="Arial"/>
          <w:color w:val="000000" w:themeColor="text1"/>
          <w:szCs w:val="24"/>
          <w:lang w:val="en-GB"/>
        </w:rPr>
        <w:t>individuals concerned</w:t>
      </w:r>
      <w:r w:rsidR="0015008F" w:rsidRPr="00181CF2">
        <w:rPr>
          <w:rFonts w:ascii="Arial" w:hAnsi="Arial" w:cs="Arial"/>
          <w:color w:val="000000" w:themeColor="text1"/>
          <w:szCs w:val="24"/>
          <w:lang w:val="en-GB"/>
        </w:rPr>
        <w:t xml:space="preserve"> from constantly adopting the life style of the opposite gender during that period.  </w:t>
      </w:r>
      <w:r w:rsidRPr="00C57CE1">
        <w:rPr>
          <w:rFonts w:ascii="Arial" w:hAnsi="Arial" w:cs="Arial"/>
          <w:color w:val="000000" w:themeColor="text1"/>
          <w:szCs w:val="24"/>
          <w:lang w:val="en-GB"/>
        </w:rPr>
        <w:t>Some jurisdictions</w:t>
      </w:r>
      <w:r w:rsidR="00A715E7" w:rsidRPr="0028108F">
        <w:rPr>
          <w:rFonts w:ascii="Arial" w:hAnsi="Arial" w:cs="Arial"/>
          <w:color w:val="000000" w:themeColor="text1"/>
          <w:szCs w:val="24"/>
          <w:lang w:val="en-GB"/>
        </w:rPr>
        <w:t xml:space="preserve"> (</w:t>
      </w:r>
      <w:r w:rsidR="00D6311F" w:rsidRPr="0028108F">
        <w:rPr>
          <w:rFonts w:ascii="Arial" w:hAnsi="Arial" w:cs="Arial"/>
          <w:color w:val="000000" w:themeColor="text1"/>
          <w:szCs w:val="24"/>
          <w:lang w:val="en-GB"/>
        </w:rPr>
        <w:t>eg</w:t>
      </w:r>
      <w:r w:rsidR="00A715E7" w:rsidRPr="0028108F">
        <w:rPr>
          <w:rFonts w:ascii="Arial" w:hAnsi="Arial" w:cs="Arial"/>
          <w:color w:val="000000" w:themeColor="text1"/>
          <w:szCs w:val="24"/>
          <w:lang w:val="en-GB"/>
        </w:rPr>
        <w:t>, Ireland</w:t>
      </w:r>
      <w:r w:rsidR="00A715E7" w:rsidRPr="00181CF2">
        <w:rPr>
          <w:rStyle w:val="FootnoteReference"/>
          <w:rFonts w:ascii="Arial" w:hAnsi="Arial" w:cs="Arial"/>
          <w:color w:val="000000" w:themeColor="text1"/>
          <w:lang w:val="en-GB"/>
        </w:rPr>
        <w:footnoteReference w:id="504"/>
      </w:r>
      <w:r w:rsidR="00A715E7" w:rsidRPr="00181CF2">
        <w:rPr>
          <w:rFonts w:ascii="Arial" w:hAnsi="Arial" w:cs="Arial"/>
          <w:color w:val="000000" w:themeColor="text1"/>
          <w:szCs w:val="24"/>
          <w:lang w:val="en-GB"/>
        </w:rPr>
        <w:t xml:space="preserve"> and Denmark</w:t>
      </w:r>
      <w:r w:rsidR="00A715E7" w:rsidRPr="00181CF2">
        <w:rPr>
          <w:rStyle w:val="FootnoteReference"/>
          <w:rFonts w:ascii="Arial" w:hAnsi="Arial" w:cs="Arial"/>
          <w:color w:val="000000" w:themeColor="text1"/>
          <w:lang w:val="en-GB"/>
        </w:rPr>
        <w:footnoteReference w:id="505"/>
      </w:r>
      <w:r w:rsidR="00A715E7" w:rsidRPr="00181CF2">
        <w:rPr>
          <w:rFonts w:ascii="Arial" w:hAnsi="Arial" w:cs="Arial"/>
          <w:color w:val="000000" w:themeColor="text1"/>
          <w:szCs w:val="24"/>
          <w:lang w:val="en-GB"/>
        </w:rPr>
        <w:t>)</w:t>
      </w:r>
      <w:r w:rsidRPr="00C57CE1">
        <w:rPr>
          <w:rFonts w:ascii="Arial" w:hAnsi="Arial" w:cs="Arial"/>
          <w:color w:val="000000" w:themeColor="text1"/>
          <w:szCs w:val="24"/>
          <w:lang w:val="en-GB"/>
        </w:rPr>
        <w:t xml:space="preserve"> have recently reformed or implemented their gender recognition laws to, </w:t>
      </w:r>
      <w:r w:rsidRPr="0028108F">
        <w:rPr>
          <w:rFonts w:ascii="Arial" w:hAnsi="Arial" w:cs="Arial"/>
          <w:i/>
          <w:color w:val="000000" w:themeColor="text1"/>
          <w:szCs w:val="24"/>
          <w:lang w:val="en-GB"/>
        </w:rPr>
        <w:t>inter alia</w:t>
      </w:r>
      <w:r w:rsidRPr="0028108F">
        <w:rPr>
          <w:rFonts w:ascii="Arial" w:hAnsi="Arial" w:cs="Arial"/>
          <w:color w:val="000000" w:themeColor="text1"/>
          <w:szCs w:val="24"/>
          <w:lang w:val="en-GB"/>
        </w:rPr>
        <w:t>, omit the “</w:t>
      </w:r>
      <w:r w:rsidR="00043FD0" w:rsidRPr="0028108F">
        <w:rPr>
          <w:rFonts w:ascii="Arial" w:hAnsi="Arial" w:cs="Arial"/>
          <w:i/>
          <w:color w:val="000000" w:themeColor="text1"/>
          <w:szCs w:val="24"/>
          <w:lang w:val="en-GB"/>
        </w:rPr>
        <w:t>real life test</w:t>
      </w:r>
      <w:r w:rsidRPr="00181CF2">
        <w:rPr>
          <w:rFonts w:ascii="Arial" w:hAnsi="Arial" w:cs="Arial"/>
          <w:color w:val="000000" w:themeColor="text1"/>
          <w:szCs w:val="24"/>
          <w:lang w:val="en-GB"/>
        </w:rPr>
        <w:t>” as a precondition for gender recognition</w:t>
      </w:r>
      <w:r w:rsidRPr="00C57CE1">
        <w:rPr>
          <w:rFonts w:ascii="Arial" w:hAnsi="Arial" w:cs="Arial"/>
          <w:color w:val="000000" w:themeColor="text1"/>
          <w:szCs w:val="24"/>
          <w:lang w:val="en-GB"/>
        </w:rPr>
        <w: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181CF2" w:rsidRDefault="00A715E7"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Further, s</w:t>
      </w:r>
      <w:r w:rsidR="00E773F6" w:rsidRPr="0028108F">
        <w:rPr>
          <w:rFonts w:ascii="Arial" w:hAnsi="Arial" w:cs="Arial"/>
          <w:color w:val="000000" w:themeColor="text1"/>
          <w:szCs w:val="24"/>
          <w:lang w:val="en-GB"/>
        </w:rPr>
        <w:t xml:space="preserve">ome </w:t>
      </w:r>
      <w:r w:rsidR="00F125E5" w:rsidRPr="0028108F">
        <w:rPr>
          <w:rFonts w:ascii="Arial" w:hAnsi="Arial" w:cs="Arial"/>
          <w:color w:val="000000" w:themeColor="text1"/>
          <w:szCs w:val="24"/>
          <w:lang w:val="en-GB"/>
        </w:rPr>
        <w:t xml:space="preserve">transgender persons </w:t>
      </w:r>
      <w:r w:rsidR="00E773F6" w:rsidRPr="0028108F">
        <w:rPr>
          <w:rFonts w:ascii="Arial" w:hAnsi="Arial" w:cs="Arial"/>
          <w:color w:val="000000" w:themeColor="text1"/>
          <w:szCs w:val="24"/>
          <w:lang w:val="en-GB"/>
        </w:rPr>
        <w:t xml:space="preserve">may not wish to readily change their appearance into the opposite gender at the beginning of their transition as this may affect their employment and other aspects of </w:t>
      </w:r>
      <w:r w:rsidRPr="0028108F">
        <w:rPr>
          <w:rFonts w:ascii="Arial" w:hAnsi="Arial" w:cs="Arial"/>
          <w:color w:val="000000" w:themeColor="text1"/>
          <w:szCs w:val="24"/>
          <w:lang w:val="en-GB"/>
        </w:rPr>
        <w:t xml:space="preserve">their </w:t>
      </w:r>
      <w:r w:rsidR="00E773F6" w:rsidRPr="0028108F">
        <w:rPr>
          <w:rFonts w:ascii="Arial" w:hAnsi="Arial" w:cs="Arial"/>
          <w:color w:val="000000" w:themeColor="text1"/>
          <w:szCs w:val="24"/>
          <w:lang w:val="en-GB"/>
        </w:rPr>
        <w:t xml:space="preserve">daily lives.  As illustrated in the case of </w:t>
      </w:r>
      <w:r w:rsidR="00E773F6" w:rsidRPr="0028108F">
        <w:rPr>
          <w:rFonts w:ascii="Arial" w:hAnsi="Arial" w:cs="Arial"/>
          <w:i/>
          <w:color w:val="000000" w:themeColor="text1"/>
          <w:szCs w:val="24"/>
          <w:lang w:val="en-GB"/>
        </w:rPr>
        <w:t>YY v Turkey</w:t>
      </w:r>
      <w:r w:rsidRPr="0028108F">
        <w:rPr>
          <w:rFonts w:ascii="Arial" w:hAnsi="Arial" w:cs="Arial"/>
          <w:color w:val="000000" w:themeColor="text1"/>
          <w:szCs w:val="24"/>
          <w:lang w:val="en-GB"/>
        </w:rPr>
        <w:t>,</w:t>
      </w:r>
      <w:r w:rsidR="00F125E5" w:rsidRPr="00181CF2">
        <w:rPr>
          <w:rStyle w:val="FootnoteReference"/>
          <w:rFonts w:ascii="Arial" w:hAnsi="Arial" w:cs="Arial"/>
          <w:color w:val="000000" w:themeColor="text1"/>
          <w:lang w:val="en-GB"/>
        </w:rPr>
        <w:footnoteReference w:id="506"/>
      </w:r>
      <w:r w:rsidR="00E773F6" w:rsidRPr="00C57CE1">
        <w:rPr>
          <w:rFonts w:ascii="Arial" w:hAnsi="Arial" w:cs="Arial"/>
          <w:color w:val="000000" w:themeColor="text1"/>
          <w:szCs w:val="24"/>
          <w:lang w:val="en-GB"/>
        </w:rPr>
        <w:t xml:space="preserve"> personal reflection on gender identity is often a lifelong process.</w:t>
      </w:r>
      <w:r w:rsidR="00E773F6" w:rsidRPr="00181CF2">
        <w:rPr>
          <w:rFonts w:ascii="Arial" w:hAnsi="Arial" w:cs="Arial"/>
          <w:color w:val="000000" w:themeColor="text1"/>
          <w:szCs w:val="24"/>
          <w:lang w:val="en-GB"/>
        </w:rPr>
        <w:t xml:space="preserve">  A gender recognition law requiring applicants to go through the “</w:t>
      </w:r>
      <w:r w:rsidR="00043FD0" w:rsidRPr="0028108F">
        <w:rPr>
          <w:rFonts w:ascii="Arial" w:hAnsi="Arial" w:cs="Arial"/>
          <w:i/>
          <w:color w:val="000000" w:themeColor="text1"/>
          <w:szCs w:val="24"/>
          <w:lang w:val="en-GB"/>
        </w:rPr>
        <w:t>real life test</w:t>
      </w:r>
      <w:r w:rsidR="00E773F6" w:rsidRPr="00181CF2">
        <w:rPr>
          <w:rFonts w:ascii="Arial" w:hAnsi="Arial" w:cs="Arial"/>
          <w:color w:val="000000" w:themeColor="text1"/>
          <w:szCs w:val="24"/>
          <w:lang w:val="en-GB"/>
        </w:rPr>
        <w:t xml:space="preserve">” might put some of them into a dilemma of choosing gender recognition or maintaining the status quo at work and/or daily connection with </w:t>
      </w:r>
      <w:r w:rsidR="0015008F" w:rsidRPr="00C57CE1">
        <w:rPr>
          <w:rFonts w:ascii="Arial" w:hAnsi="Arial" w:cs="Arial"/>
          <w:color w:val="000000" w:themeColor="text1"/>
          <w:szCs w:val="24"/>
          <w:lang w:val="en-GB"/>
        </w:rPr>
        <w:t xml:space="preserve">the </w:t>
      </w:r>
      <w:r w:rsidR="00E773F6" w:rsidRPr="0028108F">
        <w:rPr>
          <w:rFonts w:ascii="Arial" w:hAnsi="Arial" w:cs="Arial"/>
          <w:color w:val="000000" w:themeColor="text1"/>
          <w:szCs w:val="24"/>
          <w:lang w:val="en-GB"/>
        </w:rPr>
        <w:t xml:space="preserve">people around them.  </w:t>
      </w:r>
      <w:r w:rsidRPr="0028108F">
        <w:rPr>
          <w:rFonts w:ascii="Arial" w:hAnsi="Arial" w:cs="Arial"/>
          <w:color w:val="000000" w:themeColor="text1"/>
          <w:szCs w:val="24"/>
          <w:lang w:val="en-GB"/>
        </w:rPr>
        <w:t>It would appear that</w:t>
      </w:r>
      <w:r w:rsidR="00E773F6" w:rsidRPr="0028108F">
        <w:rPr>
          <w:rFonts w:ascii="Arial" w:hAnsi="Arial" w:cs="Arial"/>
          <w:color w:val="000000" w:themeColor="text1"/>
          <w:szCs w:val="24"/>
          <w:lang w:val="en-GB"/>
        </w:rPr>
        <w:t xml:space="preserve"> the </w:t>
      </w:r>
      <w:r w:rsidR="00043FD0" w:rsidRPr="0028108F">
        <w:rPr>
          <w:rFonts w:ascii="Arial" w:hAnsi="Arial" w:cs="Arial"/>
          <w:color w:val="000000" w:themeColor="text1"/>
          <w:szCs w:val="24"/>
          <w:lang w:val="en-GB"/>
        </w:rPr>
        <w:t>real life test</w:t>
      </w:r>
      <w:r w:rsidR="00E773F6" w:rsidRPr="0028108F">
        <w:rPr>
          <w:rFonts w:ascii="Arial" w:hAnsi="Arial" w:cs="Arial"/>
          <w:color w:val="000000" w:themeColor="text1"/>
          <w:szCs w:val="24"/>
          <w:lang w:val="en-GB"/>
        </w:rPr>
        <w:t xml:space="preserve"> requirement under the UK GRA</w:t>
      </w:r>
      <w:r w:rsidRPr="0028108F">
        <w:rPr>
          <w:rFonts w:ascii="Arial" w:hAnsi="Arial" w:cs="Arial"/>
          <w:color w:val="000000" w:themeColor="text1"/>
          <w:szCs w:val="24"/>
          <w:lang w:val="en-GB"/>
        </w:rPr>
        <w:t>, for example,</w:t>
      </w:r>
      <w:r w:rsidR="00E773F6" w:rsidRPr="0028108F">
        <w:rPr>
          <w:rFonts w:ascii="Arial" w:hAnsi="Arial" w:cs="Arial"/>
          <w:color w:val="000000" w:themeColor="text1"/>
          <w:szCs w:val="24"/>
          <w:lang w:val="en-GB"/>
        </w:rPr>
        <w:t xml:space="preserve"> was often accused </w:t>
      </w:r>
      <w:r w:rsidRPr="0028108F">
        <w:rPr>
          <w:rFonts w:ascii="Arial" w:hAnsi="Arial" w:cs="Arial"/>
          <w:color w:val="000000" w:themeColor="text1"/>
          <w:szCs w:val="24"/>
          <w:lang w:val="en-GB"/>
        </w:rPr>
        <w:t>of</w:t>
      </w:r>
      <w:r w:rsidR="00E773F6" w:rsidRPr="0028108F">
        <w:rPr>
          <w:rFonts w:ascii="Arial" w:hAnsi="Arial" w:cs="Arial"/>
          <w:color w:val="000000" w:themeColor="text1"/>
          <w:szCs w:val="24"/>
          <w:lang w:val="en-GB"/>
        </w:rPr>
        <w:t xml:space="preserve"> undermining one’s freedom of choice.</w:t>
      </w:r>
      <w:r w:rsidR="00E773F6" w:rsidRPr="00181CF2">
        <w:rPr>
          <w:rStyle w:val="FootnoteReference"/>
          <w:rFonts w:ascii="Arial" w:eastAsia="Times New Roman" w:hAnsi="Arial" w:cs="Arial"/>
          <w:color w:val="000000" w:themeColor="text1"/>
          <w:kern w:val="0"/>
          <w:szCs w:val="24"/>
          <w:lang w:val="en-GB"/>
        </w:rPr>
        <w:footnoteReference w:id="507"/>
      </w:r>
      <w:r w:rsidR="00E773F6" w:rsidRPr="00181CF2">
        <w:rPr>
          <w:rFonts w:ascii="Arial" w:hAnsi="Arial" w:cs="Arial"/>
          <w:color w:val="000000" w:themeColor="text1"/>
          <w:szCs w:val="24"/>
          <w:lang w:val="en-GB"/>
        </w:rPr>
        <w:t xml:space="preserve">  Further, as illustrated in paragraph </w:t>
      </w:r>
      <w:r w:rsidR="003F1011">
        <w:rPr>
          <w:rFonts w:ascii="Arial" w:hAnsi="Arial" w:cs="Arial"/>
          <w:color w:val="000000" w:themeColor="text1"/>
          <w:szCs w:val="24"/>
          <w:lang w:val="en-GB"/>
        </w:rPr>
        <w:t>3.93</w:t>
      </w:r>
      <w:r w:rsidR="003F1011" w:rsidRPr="0028108F">
        <w:rPr>
          <w:rFonts w:ascii="Arial" w:hAnsi="Arial" w:cs="Arial"/>
          <w:color w:val="000000" w:themeColor="text1"/>
          <w:szCs w:val="24"/>
          <w:lang w:val="en-GB"/>
        </w:rPr>
        <w:t xml:space="preserve"> </w:t>
      </w:r>
      <w:r w:rsidR="00E773F6" w:rsidRPr="0028108F">
        <w:rPr>
          <w:rFonts w:ascii="Arial" w:hAnsi="Arial" w:cs="Arial"/>
          <w:color w:val="000000" w:themeColor="text1"/>
          <w:szCs w:val="24"/>
          <w:lang w:val="en-GB"/>
        </w:rPr>
        <w:t xml:space="preserve">in Chapter </w:t>
      </w:r>
      <w:r w:rsidR="00E773F6" w:rsidRPr="008813DE">
        <w:rPr>
          <w:rFonts w:ascii="Arial" w:hAnsi="Arial" w:cs="Arial"/>
          <w:color w:val="000000" w:themeColor="text1"/>
          <w:szCs w:val="24"/>
          <w:lang w:val="en-GB"/>
        </w:rPr>
        <w:t>3</w:t>
      </w:r>
      <w:r w:rsidR="00E773F6" w:rsidRPr="0028108F">
        <w:rPr>
          <w:rFonts w:ascii="Arial" w:hAnsi="Arial" w:cs="Arial"/>
          <w:color w:val="000000" w:themeColor="text1"/>
          <w:szCs w:val="24"/>
          <w:lang w:val="en-GB"/>
        </w:rPr>
        <w:t xml:space="preserve"> of this Consultation Paper, it </w:t>
      </w:r>
      <w:r w:rsidR="00FD6DE0" w:rsidRPr="0028108F">
        <w:rPr>
          <w:rFonts w:ascii="Arial" w:hAnsi="Arial" w:cs="Arial"/>
          <w:color w:val="000000" w:themeColor="text1"/>
          <w:szCs w:val="24"/>
          <w:lang w:val="en-GB"/>
        </w:rPr>
        <w:t>may</w:t>
      </w:r>
      <w:r w:rsidR="00E773F6" w:rsidRPr="0028108F">
        <w:rPr>
          <w:rFonts w:ascii="Arial" w:hAnsi="Arial" w:cs="Arial"/>
          <w:color w:val="000000" w:themeColor="text1"/>
          <w:szCs w:val="24"/>
          <w:lang w:val="en-GB"/>
        </w:rPr>
        <w:t xml:space="preserve"> be difficult for a transgender person to get his or her name or gender changed on the</w:t>
      </w:r>
      <w:r w:rsidRPr="0028108F">
        <w:rPr>
          <w:rFonts w:ascii="Arial" w:hAnsi="Arial" w:cs="Arial"/>
          <w:color w:val="000000" w:themeColor="text1"/>
          <w:szCs w:val="24"/>
          <w:lang w:val="en-GB"/>
        </w:rPr>
        <w:t>ir</w:t>
      </w:r>
      <w:r w:rsidR="00E773F6" w:rsidRPr="0028108F">
        <w:rPr>
          <w:rFonts w:ascii="Arial" w:hAnsi="Arial" w:cs="Arial"/>
          <w:color w:val="000000" w:themeColor="text1"/>
          <w:szCs w:val="24"/>
          <w:lang w:val="en-GB"/>
        </w:rPr>
        <w:t xml:space="preserve"> day</w:t>
      </w:r>
      <w:r w:rsidR="00FD6DE0"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to</w:t>
      </w:r>
      <w:r w:rsidR="00FD6DE0"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day documentation (eg</w:t>
      </w:r>
      <w:r w:rsidR="00940215" w:rsidRPr="0028108F">
        <w:rPr>
          <w:rFonts w:ascii="Arial" w:hAnsi="Arial" w:cs="Arial"/>
          <w:color w:val="000000" w:themeColor="text1"/>
          <w:szCs w:val="24"/>
          <w:lang w:val="en-GB"/>
        </w:rPr>
        <w:t>,</w:t>
      </w:r>
      <w:r w:rsidR="00E773F6" w:rsidRPr="00181CF2">
        <w:rPr>
          <w:rFonts w:ascii="Arial" w:hAnsi="Arial" w:cs="Arial"/>
          <w:color w:val="000000" w:themeColor="text1"/>
          <w:szCs w:val="24"/>
          <w:lang w:val="en-GB"/>
        </w:rPr>
        <w:t xml:space="preserve"> workplace record or student card) during the period of </w:t>
      </w:r>
      <w:r w:rsidR="00043FD0" w:rsidRPr="0028108F">
        <w:rPr>
          <w:rFonts w:ascii="Arial" w:hAnsi="Arial" w:cs="Arial"/>
          <w:color w:val="000000" w:themeColor="text1"/>
          <w:szCs w:val="24"/>
          <w:lang w:val="en-GB"/>
        </w:rPr>
        <w:t>real life test</w:t>
      </w:r>
      <w:r w:rsidR="00E773F6" w:rsidRPr="0028108F">
        <w:rPr>
          <w:rFonts w:ascii="Arial" w:hAnsi="Arial" w:cs="Arial"/>
          <w:color w:val="000000" w:themeColor="text1"/>
          <w:szCs w:val="24"/>
          <w:lang w:val="en-GB"/>
        </w:rPr>
        <w:t xml:space="preserve"> and this would place barriers for living the </w:t>
      </w:r>
      <w:r w:rsidR="00F227BF" w:rsidRPr="0028108F">
        <w:rPr>
          <w:rFonts w:ascii="Arial" w:hAnsi="Arial" w:cs="Arial"/>
          <w:i/>
          <w:color w:val="000000" w:themeColor="text1"/>
          <w:szCs w:val="24"/>
          <w:lang w:val="en-GB"/>
        </w:rPr>
        <w:t xml:space="preserve">“real </w:t>
      </w:r>
      <w:r w:rsidR="00E773F6" w:rsidRPr="0028108F">
        <w:rPr>
          <w:rFonts w:ascii="Arial" w:hAnsi="Arial" w:cs="Arial"/>
          <w:i/>
          <w:color w:val="000000" w:themeColor="text1"/>
          <w:szCs w:val="24"/>
          <w:lang w:val="en-GB"/>
        </w:rPr>
        <w:t>life</w:t>
      </w:r>
      <w:r w:rsidR="00F227BF" w:rsidRPr="0028108F">
        <w:rPr>
          <w:rFonts w:ascii="Arial" w:hAnsi="Arial" w:cs="Arial"/>
          <w:i/>
          <w:color w:val="000000" w:themeColor="text1"/>
          <w:szCs w:val="24"/>
          <w:lang w:val="en-GB"/>
        </w:rPr>
        <w:t>”</w:t>
      </w:r>
      <w:r w:rsidR="00E773F6" w:rsidRPr="00181CF2">
        <w:rPr>
          <w:rFonts w:ascii="Arial" w:hAnsi="Arial" w:cs="Arial"/>
          <w:color w:val="000000" w:themeColor="text1"/>
          <w:szCs w:val="24"/>
          <w:lang w:val="en-GB"/>
        </w:rPr>
        <w:t xml:space="preserve"> in his or her acquired gender.</w:t>
      </w:r>
    </w:p>
    <w:p w:rsidR="00E773F6" w:rsidRPr="00C57CE1"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In addition, some might contend that </w:t>
      </w:r>
      <w:r w:rsidR="009A5A1C" w:rsidRPr="0028108F">
        <w:rPr>
          <w:rFonts w:ascii="Arial" w:hAnsi="Arial" w:cs="Arial"/>
          <w:color w:val="000000" w:themeColor="text1"/>
          <w:szCs w:val="24"/>
          <w:lang w:val="en-GB"/>
        </w:rPr>
        <w:t xml:space="preserve">imposing </w:t>
      </w:r>
      <w:r w:rsidRPr="0028108F">
        <w:rPr>
          <w:rFonts w:ascii="Arial" w:hAnsi="Arial" w:cs="Arial"/>
          <w:color w:val="000000" w:themeColor="text1"/>
          <w:szCs w:val="24"/>
          <w:lang w:val="en-GB"/>
        </w:rPr>
        <w:t xml:space="preserve">a </w:t>
      </w:r>
      <w:r w:rsidR="00F227BF" w:rsidRPr="0028108F">
        <w:rPr>
          <w:rFonts w:ascii="Arial" w:hAnsi="Arial" w:cs="Arial"/>
          <w:color w:val="000000" w:themeColor="text1"/>
          <w:szCs w:val="24"/>
          <w:lang w:val="en-GB"/>
        </w:rPr>
        <w:t xml:space="preserve">real life test </w:t>
      </w:r>
      <w:r w:rsidRPr="0028108F">
        <w:rPr>
          <w:rFonts w:ascii="Arial" w:hAnsi="Arial" w:cs="Arial"/>
          <w:color w:val="000000" w:themeColor="text1"/>
          <w:szCs w:val="24"/>
          <w:lang w:val="en-GB"/>
        </w:rPr>
        <w:t>requirement</w:t>
      </w:r>
      <w:r w:rsidR="00F227BF" w:rsidRPr="0028108F">
        <w:rPr>
          <w:rFonts w:ascii="Arial" w:hAnsi="Arial" w:cs="Arial"/>
          <w:color w:val="000000" w:themeColor="text1"/>
          <w:szCs w:val="24"/>
          <w:lang w:val="en-GB"/>
        </w:rPr>
        <w:t xml:space="preserve"> </w:t>
      </w:r>
      <w:r w:rsidR="00AE6D31" w:rsidRPr="0028108F">
        <w:rPr>
          <w:rFonts w:ascii="Arial" w:hAnsi="Arial" w:cs="Arial"/>
          <w:color w:val="000000" w:themeColor="text1"/>
          <w:szCs w:val="24"/>
          <w:lang w:val="en-GB"/>
        </w:rPr>
        <w:t>(</w:t>
      </w:r>
      <w:r w:rsidR="009A5A1C" w:rsidRPr="0028108F">
        <w:rPr>
          <w:rFonts w:ascii="Arial" w:hAnsi="Arial" w:cs="Arial"/>
          <w:color w:val="000000" w:themeColor="text1"/>
          <w:szCs w:val="24"/>
          <w:lang w:val="en-GB"/>
        </w:rPr>
        <w:t>which is</w:t>
      </w:r>
      <w:r w:rsidR="00F227BF" w:rsidRPr="0028108F">
        <w:rPr>
          <w:rFonts w:ascii="Arial" w:hAnsi="Arial" w:cs="Arial"/>
          <w:color w:val="000000" w:themeColor="text1"/>
          <w:szCs w:val="24"/>
          <w:lang w:val="en-GB"/>
        </w:rPr>
        <w:t xml:space="preserve"> sometimes used</w:t>
      </w:r>
      <w:r w:rsidR="00FD6DE0" w:rsidRPr="0028108F">
        <w:rPr>
          <w:rFonts w:ascii="Arial" w:hAnsi="Arial" w:cs="Arial"/>
          <w:color w:val="000000" w:themeColor="text1"/>
          <w:szCs w:val="24"/>
          <w:lang w:val="en-GB"/>
        </w:rPr>
        <w:t>, as we have seen,</w:t>
      </w:r>
      <w:r w:rsidR="00F227BF" w:rsidRPr="0028108F">
        <w:rPr>
          <w:rFonts w:ascii="Arial" w:hAnsi="Arial" w:cs="Arial"/>
          <w:color w:val="000000" w:themeColor="text1"/>
          <w:szCs w:val="24"/>
          <w:lang w:val="en-GB"/>
        </w:rPr>
        <w:t xml:space="preserve"> as one of the pre</w:t>
      </w:r>
      <w:r w:rsidR="00AE6D31" w:rsidRPr="0028108F">
        <w:rPr>
          <w:rFonts w:ascii="Arial" w:hAnsi="Arial" w:cs="Arial"/>
          <w:color w:val="000000" w:themeColor="text1"/>
          <w:szCs w:val="24"/>
          <w:lang w:val="en-GB"/>
        </w:rPr>
        <w:t>-</w:t>
      </w:r>
      <w:r w:rsidR="00F227BF" w:rsidRPr="0028108F">
        <w:rPr>
          <w:rFonts w:ascii="Arial" w:hAnsi="Arial" w:cs="Arial"/>
          <w:color w:val="000000" w:themeColor="text1"/>
          <w:szCs w:val="24"/>
          <w:lang w:val="en-GB"/>
        </w:rPr>
        <w:t>conditions for surgery and other medical treatment decisions</w:t>
      </w:r>
      <w:r w:rsidR="009A5A1C" w:rsidRPr="0028108F">
        <w:rPr>
          <w:rFonts w:ascii="Arial" w:hAnsi="Arial" w:cs="Arial"/>
          <w:color w:val="000000" w:themeColor="text1"/>
          <w:szCs w:val="24"/>
          <w:lang w:val="en-GB"/>
        </w:rPr>
        <w:t xml:space="preserve"> in this context</w:t>
      </w:r>
      <w:r w:rsidR="00AE6D31"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presupposes the validity and necessity of medical intervention requirements whe</w:t>
      </w:r>
      <w:r w:rsidR="00F227BF" w:rsidRPr="0028108F">
        <w:rPr>
          <w:rFonts w:ascii="Arial" w:hAnsi="Arial" w:cs="Arial"/>
          <w:color w:val="000000" w:themeColor="text1"/>
          <w:szCs w:val="24"/>
          <w:lang w:val="en-GB"/>
        </w:rPr>
        <w:t>n it has been argued by some that</w:t>
      </w:r>
      <w:r w:rsidRPr="0028108F">
        <w:rPr>
          <w:rFonts w:ascii="Arial" w:hAnsi="Arial" w:cs="Arial"/>
          <w:color w:val="000000" w:themeColor="text1"/>
          <w:szCs w:val="24"/>
          <w:lang w:val="en-GB"/>
        </w:rPr>
        <w:t xml:space="preserve"> medical preconditions for legal transition </w:t>
      </w:r>
      <w:r w:rsidR="00F227BF" w:rsidRPr="0028108F">
        <w:rPr>
          <w:rFonts w:ascii="Arial" w:hAnsi="Arial" w:cs="Arial"/>
          <w:color w:val="000000" w:themeColor="text1"/>
          <w:szCs w:val="24"/>
          <w:lang w:val="en-GB"/>
        </w:rPr>
        <w:t>should</w:t>
      </w:r>
      <w:r w:rsidRPr="0028108F">
        <w:rPr>
          <w:rFonts w:ascii="Arial" w:hAnsi="Arial" w:cs="Arial"/>
          <w:color w:val="000000" w:themeColor="text1"/>
          <w:szCs w:val="24"/>
          <w:lang w:val="en-GB"/>
        </w:rPr>
        <w:t xml:space="preserve"> be rejected as a violation of the fundamental rights of the persons concerned</w:t>
      </w:r>
      <w:r w:rsidR="00F227BF" w:rsidRPr="0028108F">
        <w:rPr>
          <w:rFonts w:ascii="Arial" w:hAnsi="Arial" w:cs="Arial"/>
          <w:color w:val="000000" w:themeColor="text1"/>
          <w:szCs w:val="24"/>
          <w:lang w:val="en-GB"/>
        </w:rPr>
        <w:t xml:space="preserve">.  </w:t>
      </w:r>
      <w:r w:rsidR="009A5A1C" w:rsidRPr="0028108F">
        <w:rPr>
          <w:rFonts w:ascii="Arial" w:hAnsi="Arial" w:cs="Arial"/>
          <w:color w:val="000000" w:themeColor="text1"/>
          <w:szCs w:val="24"/>
          <w:lang w:val="en-GB"/>
        </w:rPr>
        <w:t>T</w:t>
      </w:r>
      <w:r w:rsidRPr="0028108F">
        <w:rPr>
          <w:rFonts w:ascii="Arial" w:hAnsi="Arial" w:cs="Arial"/>
          <w:color w:val="000000" w:themeColor="text1"/>
          <w:szCs w:val="24"/>
          <w:lang w:val="en-GB"/>
        </w:rPr>
        <w:t>hus</w:t>
      </w:r>
      <w:r w:rsidR="009A5A1C" w:rsidRPr="0028108F">
        <w:rPr>
          <w:rFonts w:ascii="Arial" w:hAnsi="Arial" w:cs="Arial"/>
          <w:color w:val="000000" w:themeColor="text1"/>
          <w:szCs w:val="24"/>
          <w:lang w:val="en-GB"/>
        </w:rPr>
        <w:t>, some argue,</w:t>
      </w:r>
      <w:r w:rsidRPr="0028108F">
        <w:rPr>
          <w:rFonts w:ascii="Arial" w:hAnsi="Arial" w:cs="Arial"/>
          <w:color w:val="000000" w:themeColor="text1"/>
          <w:szCs w:val="24"/>
          <w:lang w:val="en-GB"/>
        </w:rPr>
        <w:t xml:space="preserve"> the </w:t>
      </w:r>
      <w:r w:rsidR="009A5A1C" w:rsidRPr="0028108F">
        <w:rPr>
          <w:rFonts w:ascii="Arial" w:hAnsi="Arial" w:cs="Arial"/>
          <w:color w:val="000000" w:themeColor="text1"/>
          <w:szCs w:val="24"/>
          <w:lang w:val="en-GB"/>
        </w:rPr>
        <w:t>issue</w:t>
      </w:r>
      <w:r w:rsidRPr="0028108F">
        <w:rPr>
          <w:rFonts w:ascii="Arial" w:hAnsi="Arial" w:cs="Arial"/>
          <w:color w:val="000000" w:themeColor="text1"/>
          <w:szCs w:val="24"/>
          <w:lang w:val="en-GB"/>
        </w:rPr>
        <w:t xml:space="preserve"> </w:t>
      </w:r>
      <w:r w:rsidR="009A5A1C" w:rsidRPr="0028108F">
        <w:rPr>
          <w:rFonts w:ascii="Arial" w:hAnsi="Arial" w:cs="Arial"/>
          <w:color w:val="000000" w:themeColor="text1"/>
          <w:szCs w:val="24"/>
          <w:lang w:val="en-GB"/>
        </w:rPr>
        <w:t xml:space="preserve">of </w:t>
      </w:r>
      <w:r w:rsidRPr="0028108F">
        <w:rPr>
          <w:rFonts w:ascii="Arial" w:hAnsi="Arial" w:cs="Arial"/>
          <w:color w:val="000000" w:themeColor="text1"/>
          <w:szCs w:val="24"/>
          <w:lang w:val="en-GB"/>
        </w:rPr>
        <w:t xml:space="preserve">whether </w:t>
      </w:r>
      <w:r w:rsidR="009A5A1C" w:rsidRPr="0028108F">
        <w:rPr>
          <w:rFonts w:ascii="Arial" w:hAnsi="Arial" w:cs="Arial"/>
          <w:color w:val="000000" w:themeColor="text1"/>
          <w:szCs w:val="24"/>
          <w:lang w:val="en-GB"/>
        </w:rPr>
        <w:t xml:space="preserve">a </w:t>
      </w:r>
      <w:r w:rsidR="00043FD0" w:rsidRPr="0028108F">
        <w:rPr>
          <w:rFonts w:ascii="Arial" w:hAnsi="Arial" w:cs="Arial"/>
          <w:color w:val="000000" w:themeColor="text1"/>
          <w:szCs w:val="24"/>
          <w:lang w:val="en-GB"/>
        </w:rPr>
        <w:t>real life test</w:t>
      </w:r>
      <w:r w:rsidRPr="0028108F">
        <w:rPr>
          <w:rFonts w:ascii="Arial" w:hAnsi="Arial" w:cs="Arial"/>
          <w:color w:val="000000" w:themeColor="text1"/>
          <w:szCs w:val="24"/>
          <w:lang w:val="en-GB"/>
        </w:rPr>
        <w:t xml:space="preserve"> can be justified </w:t>
      </w:r>
      <w:r w:rsidR="009A5A1C" w:rsidRPr="0028108F">
        <w:rPr>
          <w:rFonts w:ascii="Arial" w:hAnsi="Arial" w:cs="Arial"/>
          <w:color w:val="000000" w:themeColor="text1"/>
          <w:szCs w:val="24"/>
          <w:lang w:val="en-GB"/>
        </w:rPr>
        <w:t xml:space="preserve">on a medical basis </w:t>
      </w:r>
      <w:r w:rsidRPr="0028108F">
        <w:rPr>
          <w:rFonts w:ascii="Arial" w:hAnsi="Arial" w:cs="Arial"/>
          <w:color w:val="000000" w:themeColor="text1"/>
          <w:szCs w:val="24"/>
          <w:lang w:val="en-GB"/>
        </w:rPr>
        <w:t>cannot form a legitimate precondition for legal gender recognition.</w:t>
      </w:r>
      <w:r w:rsidRPr="00181CF2">
        <w:rPr>
          <w:rStyle w:val="FootnoteReference"/>
          <w:rFonts w:ascii="Arial" w:hAnsi="Arial" w:cs="Arial"/>
          <w:color w:val="000000" w:themeColor="text1"/>
          <w:lang w:val="en-GB"/>
        </w:rPr>
        <w:footnoteReference w:id="508"/>
      </w:r>
      <w:r w:rsidRPr="00181CF2">
        <w:rPr>
          <w:rFonts w:ascii="Arial" w:hAnsi="Arial" w:cs="Arial"/>
          <w:color w:val="000000" w:themeColor="text1"/>
          <w:szCs w:val="24"/>
          <w:lang w:val="en-GB"/>
        </w:rPr>
        <w:t xml:space="preserve">  </w:t>
      </w:r>
    </w:p>
    <w:p w:rsidR="00E773F6" w:rsidRPr="00C57CE1"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8C625A" w:rsidRDefault="008C625A"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95452E" w:rsidRPr="0028108F" w:rsidRDefault="0095452E"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832F92" w:rsidRPr="0028108F" w:rsidRDefault="00832F92" w:rsidP="00832F92">
      <w:pPr>
        <w:rPr>
          <w:rFonts w:ascii="Arial" w:hAnsi="Arial" w:cs="Arial"/>
          <w:b/>
          <w:sz w:val="28"/>
          <w:szCs w:val="28"/>
          <w:lang w:val="en-GB"/>
        </w:rPr>
      </w:pPr>
      <w:r w:rsidRPr="0028108F">
        <w:rPr>
          <w:rFonts w:ascii="Arial" w:hAnsi="Arial" w:cs="Arial"/>
          <w:b/>
          <w:sz w:val="28"/>
          <w:szCs w:val="28"/>
          <w:lang w:val="en-GB"/>
        </w:rPr>
        <w:t>Issue for consultation</w:t>
      </w:r>
      <w:r w:rsidR="006E5A2C" w:rsidRPr="00181CF2">
        <w:rPr>
          <w:rFonts w:ascii="Arial" w:hAnsi="Arial" w:cs="Arial"/>
          <w:b/>
          <w:sz w:val="28"/>
          <w:szCs w:val="28"/>
          <w:lang w:val="en-GB"/>
        </w:rPr>
        <w:t xml:space="preserve"> related to “</w:t>
      </w:r>
      <w:r w:rsidR="006E5A2C" w:rsidRPr="0028108F">
        <w:rPr>
          <w:rFonts w:ascii="Arial" w:hAnsi="Arial" w:cs="Arial"/>
          <w:b/>
          <w:i/>
          <w:sz w:val="28"/>
          <w:szCs w:val="28"/>
          <w:lang w:val="en-GB"/>
        </w:rPr>
        <w:t>real life test</w:t>
      </w:r>
      <w:r w:rsidR="006E5A2C" w:rsidRPr="00181CF2">
        <w:rPr>
          <w:rFonts w:ascii="Arial" w:hAnsi="Arial" w:cs="Arial"/>
          <w:b/>
          <w:sz w:val="28"/>
          <w:szCs w:val="28"/>
          <w:lang w:val="en-GB"/>
        </w:rPr>
        <w:t>”</w:t>
      </w:r>
    </w:p>
    <w:p w:rsidR="00832F92" w:rsidRPr="00181CF2" w:rsidRDefault="00832F92"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832F92" w:rsidRPr="0028108F" w:rsidRDefault="00832F92" w:rsidP="00832F92">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8C625A"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 xml:space="preserve">onsultation </w:t>
      </w:r>
      <w:r w:rsidR="008C625A" w:rsidRPr="008813DE">
        <w:rPr>
          <w:rFonts w:ascii="Arial" w:hAnsi="Arial" w:cs="Arial"/>
          <w:b/>
          <w:color w:val="000000" w:themeColor="text1"/>
          <w:szCs w:val="24"/>
          <w:u w:val="single"/>
          <w:lang w:val="en-GB"/>
        </w:rPr>
        <w:t>3</w:t>
      </w:r>
      <w:r w:rsidRPr="00181CF2">
        <w:rPr>
          <w:rFonts w:ascii="Arial" w:hAnsi="Arial" w:cs="Arial"/>
          <w:b/>
          <w:color w:val="000000" w:themeColor="text1"/>
          <w:szCs w:val="24"/>
          <w:lang w:val="en-GB"/>
        </w:rPr>
        <w:t>:</w:t>
      </w:r>
      <w:r w:rsidR="001D0C3A" w:rsidRPr="00C57CE1">
        <w:rPr>
          <w:rFonts w:ascii="Arial" w:hAnsi="Arial" w:cs="Arial"/>
          <w:b/>
          <w:color w:val="000000" w:themeColor="text1"/>
          <w:szCs w:val="24"/>
          <w:lang w:val="en-GB"/>
        </w:rPr>
        <w:t xml:space="preserve"> </w:t>
      </w:r>
      <w:r w:rsidRPr="0028108F">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28108F">
        <w:rPr>
          <w:rFonts w:ascii="Arial" w:hAnsi="Arial" w:cs="Arial"/>
          <w:b/>
          <w:color w:val="000000" w:themeColor="text1"/>
          <w:szCs w:val="24"/>
          <w:lang w:val="en-GB"/>
        </w:rPr>
        <w:t xml:space="preserve"> views from the public on</w:t>
      </w:r>
      <w:r w:rsidR="006E5A2C" w:rsidRPr="0028108F">
        <w:rPr>
          <w:rFonts w:ascii="Arial" w:hAnsi="Arial" w:cs="Arial"/>
          <w:b/>
          <w:color w:val="000000" w:themeColor="text1"/>
          <w:szCs w:val="24"/>
          <w:lang w:val="en-GB"/>
        </w:rPr>
        <w:t xml:space="preserve"> the following matters.</w:t>
      </w:r>
    </w:p>
    <w:p w:rsidR="00832F92" w:rsidRPr="0028108F" w:rsidRDefault="00832F92" w:rsidP="00832F92">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1752E9" w:rsidRPr="0028108F" w:rsidRDefault="006E5A2C" w:rsidP="0028108F">
      <w:pPr>
        <w:pStyle w:val="ListParagraph"/>
        <w:numPr>
          <w:ilvl w:val="0"/>
          <w:numId w:val="132"/>
        </w:numPr>
        <w:pBdr>
          <w:top w:val="single" w:sz="4" w:space="8" w:color="auto"/>
          <w:left w:val="single" w:sz="4" w:space="8" w:color="auto"/>
          <w:bottom w:val="single" w:sz="4" w:space="8" w:color="auto"/>
          <w:right w:val="single" w:sz="4" w:space="8" w:color="auto"/>
        </w:pBdr>
        <w:snapToGrid w:val="0"/>
        <w:ind w:leftChars="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I</w:t>
      </w:r>
      <w:r w:rsidR="00832F92"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00832F92" w:rsidRPr="0028108F">
        <w:rPr>
          <w:rFonts w:ascii="Arial" w:hAnsi="Arial" w:cs="Arial"/>
          <w:b/>
          <w:color w:val="000000" w:themeColor="text1"/>
          <w:szCs w:val="24"/>
          <w:lang w:val="en-GB"/>
        </w:rPr>
        <w:t xml:space="preserve"> introduced in Hong Kong, whether there should be a requirement of “</w:t>
      </w:r>
      <w:r w:rsidR="00832F92" w:rsidRPr="0028108F">
        <w:rPr>
          <w:rFonts w:ascii="Arial" w:hAnsi="Arial" w:cs="Arial"/>
          <w:b/>
          <w:i/>
          <w:color w:val="000000" w:themeColor="text1"/>
          <w:szCs w:val="24"/>
          <w:lang w:val="en-GB"/>
        </w:rPr>
        <w:t>real life test</w:t>
      </w:r>
      <w:r w:rsidR="00832F92" w:rsidRPr="0028108F">
        <w:rPr>
          <w:rFonts w:ascii="Arial" w:hAnsi="Arial" w:cs="Arial"/>
          <w:b/>
          <w:color w:val="000000" w:themeColor="text1"/>
          <w:szCs w:val="24"/>
          <w:lang w:val="en-GB"/>
        </w:rPr>
        <w:t>” for gender recognition, and why.</w:t>
      </w:r>
    </w:p>
    <w:p w:rsidR="00832F92" w:rsidRPr="00181CF2" w:rsidRDefault="00832F92" w:rsidP="00832F92">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1752E9" w:rsidRPr="0028108F" w:rsidRDefault="006E5A2C" w:rsidP="00B30CA3">
      <w:pPr>
        <w:pStyle w:val="ListParagraph"/>
        <w:numPr>
          <w:ilvl w:val="0"/>
          <w:numId w:val="132"/>
        </w:numPr>
        <w:pBdr>
          <w:top w:val="single" w:sz="4" w:space="8" w:color="auto"/>
          <w:left w:val="single" w:sz="4" w:space="8" w:color="auto"/>
          <w:bottom w:val="single" w:sz="4" w:space="8" w:color="auto"/>
          <w:right w:val="single" w:sz="4" w:space="8" w:color="auto"/>
        </w:pBdr>
        <w:snapToGrid w:val="0"/>
        <w:ind w:leftChars="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I</w:t>
      </w:r>
      <w:r w:rsidR="00832F92" w:rsidRPr="0028108F">
        <w:rPr>
          <w:rFonts w:ascii="Arial" w:hAnsi="Arial" w:cs="Arial"/>
          <w:b/>
          <w:color w:val="000000" w:themeColor="text1"/>
          <w:szCs w:val="24"/>
          <w:lang w:val="en-GB"/>
        </w:rPr>
        <w:t>f the answer to sub-paragraph (1) is “yes”,</w:t>
      </w:r>
    </w:p>
    <w:p w:rsidR="00F25D5A" w:rsidRPr="00181CF2" w:rsidRDefault="00F25D5A">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1752E9" w:rsidRPr="00181CF2" w:rsidRDefault="005C685F" w:rsidP="00C03887">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eastAsia="新細明體" w:hAnsi="Arial" w:cs="Arial"/>
          <w:b/>
          <w:color w:val="000000" w:themeColor="text1"/>
          <w:szCs w:val="24"/>
          <w:lang w:val="en-GB"/>
        </w:rPr>
      </w:pPr>
      <w:r w:rsidRPr="0028108F">
        <w:rPr>
          <w:rFonts w:ascii="Arial" w:hAnsi="Arial" w:cs="Arial"/>
          <w:b/>
          <w:color w:val="000000" w:themeColor="text1"/>
          <w:szCs w:val="24"/>
          <w:lang w:val="en-GB"/>
        </w:rPr>
        <w:tab/>
        <w:t>(a)</w:t>
      </w:r>
      <w:r w:rsidRPr="00181CF2">
        <w:rPr>
          <w:rFonts w:ascii="Arial" w:hAnsi="Arial" w:cs="Arial"/>
          <w:b/>
          <w:color w:val="000000" w:themeColor="text1"/>
          <w:szCs w:val="24"/>
          <w:lang w:val="en-GB"/>
        </w:rPr>
        <w:tab/>
      </w:r>
      <w:r w:rsidRPr="0028108F">
        <w:rPr>
          <w:rFonts w:ascii="Arial" w:eastAsia="新細明體" w:hAnsi="Arial" w:cs="Arial"/>
          <w:b/>
          <w:color w:val="000000" w:themeColor="text1"/>
          <w:szCs w:val="24"/>
          <w:lang w:val="en-GB"/>
        </w:rPr>
        <w:t>what should an applicant for gender recognition have undertaken in order to satisfy a requirement that he or she has undergone a “real life test”;</w:t>
      </w:r>
    </w:p>
    <w:p w:rsidR="00C03887" w:rsidRPr="00C57CE1" w:rsidRDefault="00C03887" w:rsidP="00C03887">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eastAsia="新細明體" w:hAnsi="Arial" w:cs="Arial"/>
          <w:b/>
          <w:color w:val="000000" w:themeColor="text1"/>
          <w:szCs w:val="24"/>
          <w:lang w:val="en-GB"/>
        </w:rPr>
      </w:pPr>
    </w:p>
    <w:p w:rsidR="00C03887" w:rsidRPr="0028108F" w:rsidRDefault="00C03887" w:rsidP="00C03887">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t>(b)</w:t>
      </w:r>
      <w:r w:rsidRPr="00181CF2">
        <w:rPr>
          <w:rFonts w:ascii="Arial" w:hAnsi="Arial" w:cs="Arial"/>
          <w:b/>
          <w:color w:val="000000" w:themeColor="text1"/>
          <w:szCs w:val="24"/>
          <w:lang w:val="en-GB"/>
        </w:rPr>
        <w:tab/>
      </w:r>
      <w:r w:rsidRPr="00C57CE1">
        <w:rPr>
          <w:rFonts w:ascii="Arial" w:hAnsi="Arial" w:cs="Arial"/>
          <w:b/>
          <w:color w:val="000000" w:themeColor="text1"/>
          <w:szCs w:val="24"/>
          <w:lang w:val="en-GB"/>
        </w:rPr>
        <w:t>what should be the duration of a “real life test”</w:t>
      </w:r>
      <w:r w:rsidRPr="0028108F">
        <w:rPr>
          <w:rFonts w:ascii="Arial" w:hAnsi="Arial" w:cs="Arial"/>
          <w:b/>
          <w:color w:val="000000" w:themeColor="text1"/>
          <w:szCs w:val="24"/>
          <w:lang w:val="en-GB"/>
        </w:rPr>
        <w:t>; and</w:t>
      </w:r>
    </w:p>
    <w:p w:rsidR="00C03887" w:rsidRPr="0028108F" w:rsidRDefault="00C03887" w:rsidP="00C03887">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p>
    <w:p w:rsidR="00C03887" w:rsidRPr="00181CF2" w:rsidRDefault="00C03887" w:rsidP="00C03887">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t>(c)</w:t>
      </w:r>
      <w:r w:rsidRPr="00181CF2">
        <w:rPr>
          <w:rFonts w:ascii="Arial" w:hAnsi="Arial" w:cs="Arial"/>
          <w:b/>
          <w:color w:val="000000" w:themeColor="text1"/>
          <w:szCs w:val="24"/>
          <w:lang w:val="en-GB"/>
        </w:rPr>
        <w:tab/>
      </w:r>
      <w:r w:rsidRPr="0028108F">
        <w:rPr>
          <w:rFonts w:ascii="Arial" w:hAnsi="Arial" w:cs="Arial"/>
          <w:b/>
          <w:color w:val="000000" w:themeColor="text1"/>
          <w:szCs w:val="24"/>
          <w:lang w:val="en-GB"/>
        </w:rPr>
        <w:t>what kind of evidence should be provided by an applicant for gender recognition to show that he or she has undergone a “real life test” for the specified duration.</w:t>
      </w:r>
    </w:p>
    <w:p w:rsidR="001752E9" w:rsidRPr="00C57CE1" w:rsidRDefault="001752E9">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F25D5A" w:rsidRPr="0028108F" w:rsidRDefault="006E5A2C" w:rsidP="0028108F">
      <w:pPr>
        <w:pStyle w:val="ListParagraph"/>
        <w:numPr>
          <w:ilvl w:val="0"/>
          <w:numId w:val="132"/>
        </w:numPr>
        <w:pBdr>
          <w:top w:val="single" w:sz="4" w:space="8" w:color="auto"/>
          <w:left w:val="single" w:sz="4" w:space="8" w:color="auto"/>
          <w:bottom w:val="single" w:sz="4" w:space="8" w:color="auto"/>
          <w:right w:val="single" w:sz="4" w:space="8" w:color="auto"/>
        </w:pBdr>
        <w:snapToGrid w:val="0"/>
        <w:ind w:leftChars="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I</w:t>
      </w:r>
      <w:r w:rsidR="00F25D5A" w:rsidRPr="0028108F">
        <w:rPr>
          <w:rFonts w:ascii="Arial" w:hAnsi="Arial" w:cs="Arial"/>
          <w:b/>
          <w:color w:val="000000" w:themeColor="text1"/>
          <w:szCs w:val="24"/>
          <w:lang w:val="en-GB"/>
        </w:rPr>
        <w:t xml:space="preserve">n the event that a gender recognition scheme is </w:t>
      </w:r>
      <w:r w:rsidR="005E6528">
        <w:rPr>
          <w:rFonts w:ascii="Arial" w:hAnsi="Arial" w:cs="Arial" w:hint="eastAsia"/>
          <w:b/>
          <w:color w:val="000000" w:themeColor="text1"/>
          <w:szCs w:val="24"/>
          <w:lang w:val="en-GB"/>
        </w:rPr>
        <w:t xml:space="preserve">to be </w:t>
      </w:r>
      <w:r w:rsidR="00F25D5A" w:rsidRPr="0028108F">
        <w:rPr>
          <w:rFonts w:ascii="Arial" w:hAnsi="Arial" w:cs="Arial"/>
          <w:b/>
          <w:color w:val="000000" w:themeColor="text1"/>
          <w:szCs w:val="24"/>
          <w:lang w:val="en-GB"/>
        </w:rPr>
        <w:t xml:space="preserve">introduced in Hong Kong, whether there should be a requirement of intention on the part of the applicant to live permanently </w:t>
      </w:r>
      <w:r w:rsidR="00FD6DE0" w:rsidRPr="0028108F">
        <w:rPr>
          <w:rFonts w:ascii="Arial" w:hAnsi="Arial" w:cs="Arial"/>
          <w:b/>
          <w:color w:val="000000" w:themeColor="text1"/>
          <w:szCs w:val="24"/>
          <w:lang w:val="en-GB"/>
        </w:rPr>
        <w:t xml:space="preserve">in </w:t>
      </w:r>
      <w:r w:rsidR="00F25D5A" w:rsidRPr="0028108F">
        <w:rPr>
          <w:rFonts w:ascii="Arial" w:hAnsi="Arial" w:cs="Arial"/>
          <w:b/>
          <w:color w:val="000000" w:themeColor="text1"/>
          <w:szCs w:val="24"/>
          <w:lang w:val="en-GB"/>
        </w:rPr>
        <w:t xml:space="preserve">the acquired gender, and why.  </w:t>
      </w:r>
    </w:p>
    <w:p w:rsidR="00F25D5A" w:rsidRPr="0028108F" w:rsidRDefault="00F25D5A" w:rsidP="00F25D5A">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1752E9" w:rsidRPr="0028108F" w:rsidRDefault="006E5A2C">
      <w:pPr>
        <w:pStyle w:val="ListParagraph"/>
        <w:numPr>
          <w:ilvl w:val="0"/>
          <w:numId w:val="132"/>
        </w:numPr>
        <w:pBdr>
          <w:top w:val="single" w:sz="4" w:space="8" w:color="auto"/>
          <w:left w:val="single" w:sz="4" w:space="8" w:color="auto"/>
          <w:bottom w:val="single" w:sz="4" w:space="8" w:color="auto"/>
          <w:right w:val="single" w:sz="4" w:space="8" w:color="auto"/>
        </w:pBdr>
        <w:snapToGrid w:val="0"/>
        <w:ind w:leftChars="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I</w:t>
      </w:r>
      <w:r w:rsidR="00F25D5A" w:rsidRPr="0028108F">
        <w:rPr>
          <w:rFonts w:ascii="Arial" w:hAnsi="Arial" w:cs="Arial"/>
          <w:b/>
          <w:color w:val="000000" w:themeColor="text1"/>
          <w:szCs w:val="24"/>
          <w:lang w:val="en-GB"/>
        </w:rPr>
        <w:t>f the answer to sub-paragraph (3) is “yes”, what kind of evidence should be required.</w:t>
      </w:r>
    </w:p>
    <w:p w:rsidR="00832F92" w:rsidRPr="0028108F" w:rsidRDefault="00832F92" w:rsidP="0028108F">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color w:val="000000" w:themeColor="text1"/>
          <w:szCs w:val="24"/>
        </w:rPr>
      </w:pPr>
    </w:p>
    <w:p w:rsidR="00E773F6" w:rsidRPr="00181CF2"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E773F6" w:rsidRPr="0028108F" w:rsidRDefault="00E773F6" w:rsidP="00E773F6">
      <w:pPr>
        <w:tabs>
          <w:tab w:val="left" w:pos="851"/>
        </w:tabs>
        <w:adjustRightInd w:val="0"/>
        <w:snapToGrid w:val="0"/>
        <w:jc w:val="both"/>
        <w:rPr>
          <w:rFonts w:ascii="Arial" w:hAnsi="Arial" w:cs="Arial"/>
          <w:b/>
          <w:color w:val="000000" w:themeColor="text1"/>
          <w:sz w:val="28"/>
          <w:szCs w:val="28"/>
          <w:lang w:val="en-GB"/>
        </w:rPr>
      </w:pPr>
      <w:r w:rsidRPr="00C57CE1">
        <w:rPr>
          <w:rFonts w:ascii="Arial" w:hAnsi="Arial" w:cs="Arial"/>
          <w:b/>
          <w:color w:val="000000" w:themeColor="text1"/>
          <w:sz w:val="28"/>
          <w:szCs w:val="28"/>
          <w:lang w:val="en-GB"/>
        </w:rPr>
        <w:t xml:space="preserve">Requirement </w:t>
      </w:r>
      <w:r w:rsidR="00E712D3" w:rsidRPr="0028108F">
        <w:rPr>
          <w:rFonts w:ascii="Arial" w:hAnsi="Arial" w:cs="Arial"/>
          <w:b/>
          <w:color w:val="000000" w:themeColor="text1"/>
          <w:sz w:val="28"/>
          <w:szCs w:val="28"/>
          <w:lang w:val="en-GB"/>
        </w:rPr>
        <w:t>for</w:t>
      </w:r>
      <w:r w:rsidRPr="0028108F">
        <w:rPr>
          <w:rFonts w:ascii="Arial" w:hAnsi="Arial" w:cs="Arial"/>
          <w:b/>
          <w:color w:val="000000" w:themeColor="text1"/>
          <w:sz w:val="28"/>
          <w:szCs w:val="28"/>
          <w:lang w:val="en-GB"/>
        </w:rPr>
        <w:t xml:space="preserve"> hormonal treatment </w:t>
      </w:r>
      <w:r w:rsidRPr="0028108F">
        <w:rPr>
          <w:rFonts w:ascii="Arial" w:hAnsi="Arial" w:cs="Arial"/>
          <w:color w:val="000000" w:themeColor="text1"/>
          <w:sz w:val="28"/>
          <w:szCs w:val="28"/>
          <w:lang w:val="en-GB"/>
        </w:rPr>
        <w:t xml:space="preserve"> </w:t>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12D3" w:rsidRPr="0028108F" w:rsidRDefault="0006282B">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Arguments in support</w:t>
      </w:r>
      <w:r w:rsidR="00E773F6" w:rsidRPr="0028108F">
        <w:rPr>
          <w:rFonts w:ascii="Arial" w:hAnsi="Arial" w:cs="Arial"/>
          <w:b/>
          <w:i/>
          <w:color w:val="000000" w:themeColor="text1"/>
          <w:szCs w:val="24"/>
          <w:lang w:val="en-GB"/>
        </w:rPr>
        <w:t xml:space="preserve"> of having a requirement for hormonal treatment</w:t>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E773F6" w:rsidRPr="0028108F" w:rsidRDefault="00891807"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color w:val="000000" w:themeColor="text1"/>
          <w:kern w:val="0"/>
          <w:szCs w:val="24"/>
          <w:lang w:val="en-GB"/>
        </w:rPr>
      </w:pPr>
      <w:r w:rsidRPr="0028108F">
        <w:rPr>
          <w:rFonts w:ascii="Arial" w:hAnsi="Arial" w:cs="Arial"/>
          <w:color w:val="000000" w:themeColor="text1"/>
          <w:szCs w:val="24"/>
          <w:lang w:val="en-GB"/>
        </w:rPr>
        <w:t>Arguably</w:t>
      </w:r>
      <w:r w:rsidR="00E773F6" w:rsidRPr="0028108F">
        <w:rPr>
          <w:rFonts w:ascii="Arial" w:hAnsi="Arial" w:cs="Arial"/>
          <w:color w:val="000000" w:themeColor="text1"/>
          <w:szCs w:val="24"/>
          <w:lang w:val="en-GB"/>
        </w:rPr>
        <w:t xml:space="preserve">, transgender persons may wish to receive hormonal treatment with a view to making their bodies as congruent as possible with their preferred gender.  </w:t>
      </w:r>
      <w:r w:rsidR="00E773F6" w:rsidRPr="0028108F">
        <w:rPr>
          <w:rFonts w:ascii="Arial" w:eastAsiaTheme="minorEastAsia" w:hAnsi="Arial" w:cs="Arial"/>
          <w:color w:val="000000" w:themeColor="text1"/>
          <w:kern w:val="0"/>
          <w:szCs w:val="24"/>
          <w:lang w:val="en-GB"/>
        </w:rPr>
        <w:t xml:space="preserve">In Hong Kong, a recent study at a local gender clinic showed that around seven </w:t>
      </w:r>
      <w:r w:rsidR="00E712D3" w:rsidRPr="0028108F">
        <w:rPr>
          <w:rFonts w:ascii="Arial" w:eastAsiaTheme="minorEastAsia" w:hAnsi="Arial" w:cs="Arial"/>
          <w:color w:val="000000" w:themeColor="text1"/>
          <w:kern w:val="0"/>
          <w:szCs w:val="24"/>
          <w:lang w:val="en-GB"/>
        </w:rPr>
        <w:t>out of</w:t>
      </w:r>
      <w:r w:rsidR="00E773F6" w:rsidRPr="0028108F">
        <w:rPr>
          <w:rFonts w:ascii="Arial" w:eastAsiaTheme="minorEastAsia" w:hAnsi="Arial" w:cs="Arial"/>
          <w:color w:val="000000" w:themeColor="text1"/>
          <w:kern w:val="0"/>
          <w:szCs w:val="24"/>
          <w:lang w:val="en-GB"/>
        </w:rPr>
        <w:t xml:space="preserve"> eight individuals who were diagnosed with gender dysphoria or </w:t>
      </w:r>
      <w:r w:rsidR="00334997" w:rsidRPr="0028108F">
        <w:rPr>
          <w:rFonts w:ascii="Arial" w:eastAsiaTheme="minorEastAsia" w:hAnsi="Arial" w:cs="Arial"/>
          <w:color w:val="000000" w:themeColor="text1"/>
          <w:kern w:val="0"/>
          <w:szCs w:val="24"/>
          <w:lang w:val="en-GB"/>
        </w:rPr>
        <w:t>gender identity disorder</w:t>
      </w:r>
      <w:r w:rsidR="00E773F6" w:rsidRPr="0028108F">
        <w:rPr>
          <w:rFonts w:ascii="Arial" w:eastAsiaTheme="minorEastAsia" w:hAnsi="Arial" w:cs="Arial"/>
          <w:color w:val="000000" w:themeColor="text1"/>
          <w:kern w:val="0"/>
          <w:szCs w:val="24"/>
          <w:lang w:val="en-GB"/>
        </w:rPr>
        <w:t xml:space="preserve"> express</w:t>
      </w:r>
      <w:r w:rsidR="00E712D3" w:rsidRPr="0028108F">
        <w:rPr>
          <w:rFonts w:ascii="Arial" w:eastAsiaTheme="minorEastAsia" w:hAnsi="Arial" w:cs="Arial"/>
          <w:color w:val="000000" w:themeColor="text1"/>
          <w:kern w:val="0"/>
          <w:szCs w:val="24"/>
          <w:lang w:val="en-GB"/>
        </w:rPr>
        <w:t>ed</w:t>
      </w:r>
      <w:r w:rsidR="00E773F6" w:rsidRPr="0028108F">
        <w:rPr>
          <w:rFonts w:ascii="Arial" w:eastAsiaTheme="minorEastAsia" w:hAnsi="Arial" w:cs="Arial"/>
          <w:color w:val="000000" w:themeColor="text1"/>
          <w:kern w:val="0"/>
          <w:szCs w:val="24"/>
          <w:lang w:val="en-GB"/>
        </w:rPr>
        <w:t xml:space="preserve"> a need for hormonal treatment.</w:t>
      </w:r>
      <w:r w:rsidR="00E773F6" w:rsidRPr="00181CF2">
        <w:rPr>
          <w:rStyle w:val="FootnoteReference"/>
          <w:rFonts w:ascii="Arial" w:hAnsi="Arial" w:cs="Arial"/>
          <w:color w:val="000000" w:themeColor="text1"/>
          <w:kern w:val="0"/>
          <w:szCs w:val="24"/>
          <w:lang w:val="en-GB"/>
        </w:rPr>
        <w:footnoteReference w:id="509"/>
      </w:r>
      <w:r w:rsidR="00E773F6" w:rsidRPr="00181CF2">
        <w:rPr>
          <w:rFonts w:ascii="Arial" w:eastAsiaTheme="minorEastAsia" w:hAnsi="Arial" w:cs="Arial"/>
          <w:color w:val="000000" w:themeColor="text1"/>
          <w:kern w:val="0"/>
          <w:szCs w:val="24"/>
          <w:lang w:val="en-GB"/>
        </w:rPr>
        <w:t xml:space="preserve">  It is stated in the WPATH’s </w:t>
      </w:r>
      <w:r w:rsidR="00E773F6" w:rsidRPr="0028108F">
        <w:rPr>
          <w:rFonts w:ascii="Arial" w:eastAsiaTheme="minorEastAsia" w:hAnsi="Arial" w:cs="Arial"/>
          <w:i/>
          <w:color w:val="000000" w:themeColor="text1"/>
          <w:kern w:val="0"/>
          <w:szCs w:val="24"/>
          <w:lang w:val="en-GB"/>
        </w:rPr>
        <w:t>Standards of Care</w:t>
      </w:r>
      <w:r w:rsidR="00E773F6" w:rsidRPr="00C57CE1">
        <w:rPr>
          <w:rFonts w:ascii="Arial" w:eastAsiaTheme="minorEastAsia" w:hAnsi="Arial" w:cs="Arial"/>
          <w:color w:val="000000" w:themeColor="text1"/>
          <w:kern w:val="0"/>
          <w:szCs w:val="24"/>
          <w:lang w:val="en-GB"/>
        </w:rPr>
        <w:t xml:space="preserve"> that medical treatment options for many transsexual and transgender individuals with gender dysphoria include, for example, feminisation or masculinisation of the body through hormone therapy, which is effective, and even necessa</w:t>
      </w:r>
      <w:r w:rsidR="00E773F6" w:rsidRPr="0028108F">
        <w:rPr>
          <w:rFonts w:ascii="Arial" w:eastAsiaTheme="minorEastAsia" w:hAnsi="Arial" w:cs="Arial"/>
          <w:color w:val="000000" w:themeColor="text1"/>
          <w:kern w:val="0"/>
          <w:szCs w:val="24"/>
          <w:lang w:val="en-GB"/>
        </w:rPr>
        <w:t>ry, in alleviating gender dysphoria and is medically necessary for many people as it c</w:t>
      </w:r>
      <w:r w:rsidR="00FD6DE0" w:rsidRPr="0028108F">
        <w:rPr>
          <w:rFonts w:ascii="Arial" w:eastAsiaTheme="minorEastAsia" w:hAnsi="Arial" w:cs="Arial"/>
          <w:color w:val="000000" w:themeColor="text1"/>
          <w:kern w:val="0"/>
          <w:szCs w:val="24"/>
          <w:lang w:val="en-GB"/>
        </w:rPr>
        <w:t>an</w:t>
      </w:r>
      <w:r w:rsidR="00E773F6" w:rsidRPr="0028108F">
        <w:rPr>
          <w:rFonts w:ascii="Arial" w:eastAsiaTheme="minorEastAsia" w:hAnsi="Arial" w:cs="Arial"/>
          <w:color w:val="000000" w:themeColor="text1"/>
          <w:kern w:val="0"/>
          <w:szCs w:val="24"/>
          <w:lang w:val="en-GB"/>
        </w:rPr>
        <w:t xml:space="preserve"> assist </w:t>
      </w:r>
      <w:r w:rsidR="00FD6DE0" w:rsidRPr="0028108F">
        <w:rPr>
          <w:rFonts w:ascii="Arial" w:eastAsiaTheme="minorEastAsia" w:hAnsi="Arial" w:cs="Arial"/>
          <w:color w:val="000000" w:themeColor="text1"/>
          <w:kern w:val="0"/>
          <w:szCs w:val="24"/>
          <w:lang w:val="en-GB"/>
        </w:rPr>
        <w:t xml:space="preserve">them </w:t>
      </w:r>
      <w:r w:rsidR="00E773F6" w:rsidRPr="0028108F">
        <w:rPr>
          <w:rFonts w:ascii="Arial" w:eastAsiaTheme="minorEastAsia" w:hAnsi="Arial" w:cs="Arial"/>
          <w:color w:val="000000" w:themeColor="text1"/>
          <w:kern w:val="0"/>
          <w:szCs w:val="24"/>
          <w:lang w:val="en-GB"/>
        </w:rPr>
        <w:t>with achieving comfort with self and identity.</w:t>
      </w:r>
      <w:r w:rsidR="00E773F6" w:rsidRPr="00181CF2">
        <w:rPr>
          <w:rStyle w:val="FootnoteReference"/>
          <w:rFonts w:ascii="Arial" w:hAnsi="Arial" w:cs="Arial"/>
          <w:color w:val="000000" w:themeColor="text1"/>
          <w:kern w:val="0"/>
          <w:szCs w:val="24"/>
          <w:lang w:val="en-GB"/>
        </w:rPr>
        <w:footnoteReference w:id="510"/>
      </w:r>
      <w:r w:rsidR="00E773F6" w:rsidRPr="00181CF2">
        <w:rPr>
          <w:rFonts w:ascii="Arial" w:eastAsiaTheme="minorEastAsia" w:hAnsi="Arial" w:cs="Arial"/>
          <w:color w:val="000000" w:themeColor="text1"/>
          <w:kern w:val="0"/>
          <w:szCs w:val="24"/>
          <w:lang w:val="en-GB"/>
        </w:rPr>
        <w:t xml:space="preserve">  Hormonal therapy is </w:t>
      </w:r>
      <w:r w:rsidR="007B0F80" w:rsidRPr="00C57CE1">
        <w:rPr>
          <w:rFonts w:ascii="Arial" w:eastAsiaTheme="minorEastAsia" w:hAnsi="Arial" w:cs="Arial"/>
          <w:color w:val="000000" w:themeColor="text1"/>
          <w:kern w:val="0"/>
          <w:szCs w:val="24"/>
          <w:lang w:val="en-GB"/>
        </w:rPr>
        <w:t xml:space="preserve">an </w:t>
      </w:r>
      <w:r w:rsidR="00E773F6" w:rsidRPr="0028108F">
        <w:rPr>
          <w:rFonts w:ascii="Arial" w:eastAsiaTheme="minorEastAsia" w:hAnsi="Arial" w:cs="Arial"/>
          <w:color w:val="000000" w:themeColor="text1"/>
          <w:kern w:val="0"/>
          <w:szCs w:val="24"/>
          <w:lang w:val="en-GB"/>
        </w:rPr>
        <w:t xml:space="preserve">especially recommended option </w:t>
      </w:r>
      <w:r w:rsidR="007B0F80" w:rsidRPr="0028108F">
        <w:rPr>
          <w:rFonts w:ascii="Arial" w:eastAsiaTheme="minorEastAsia" w:hAnsi="Arial" w:cs="Arial"/>
          <w:color w:val="000000" w:themeColor="text1"/>
          <w:kern w:val="0"/>
          <w:szCs w:val="24"/>
          <w:lang w:val="en-GB"/>
        </w:rPr>
        <w:t>for</w:t>
      </w:r>
      <w:r w:rsidR="00E773F6" w:rsidRPr="0028108F">
        <w:rPr>
          <w:rFonts w:ascii="Arial" w:eastAsiaTheme="minorEastAsia" w:hAnsi="Arial" w:cs="Arial"/>
          <w:color w:val="000000" w:themeColor="text1"/>
          <w:kern w:val="0"/>
          <w:szCs w:val="24"/>
          <w:lang w:val="en-GB"/>
        </w:rPr>
        <w:t xml:space="preserve"> those who do not wish to make a social gender role transition or undergo surgery, or who are unable to do so.</w:t>
      </w:r>
      <w:r w:rsidR="00E773F6" w:rsidRPr="00181CF2">
        <w:rPr>
          <w:rStyle w:val="FootnoteReference"/>
          <w:rFonts w:ascii="Arial" w:hAnsi="Arial" w:cs="Arial"/>
          <w:color w:val="000000" w:themeColor="text1"/>
          <w:kern w:val="0"/>
          <w:szCs w:val="24"/>
          <w:lang w:val="en-GB"/>
        </w:rPr>
        <w:footnoteReference w:id="511"/>
      </w:r>
      <w:r w:rsidR="00E773F6" w:rsidRPr="00181CF2">
        <w:rPr>
          <w:rFonts w:ascii="Arial" w:eastAsiaTheme="minorEastAsia" w:hAnsi="Arial" w:cs="Arial"/>
          <w:color w:val="000000" w:themeColor="text1"/>
          <w:kern w:val="0"/>
          <w:szCs w:val="24"/>
          <w:lang w:val="en-GB"/>
        </w:rPr>
        <w:t xml:space="preserve">  As hormonal treatment is usually part of the normal procedures for treating persons with </w:t>
      </w:r>
      <w:r w:rsidR="00334997" w:rsidRPr="0028108F">
        <w:rPr>
          <w:rFonts w:ascii="Arial" w:eastAsiaTheme="minorEastAsia" w:hAnsi="Arial" w:cs="Arial"/>
          <w:color w:val="000000" w:themeColor="text1"/>
          <w:kern w:val="0"/>
          <w:szCs w:val="24"/>
          <w:lang w:val="en-GB"/>
        </w:rPr>
        <w:t>gender identity disorder</w:t>
      </w:r>
      <w:r w:rsidR="00E773F6" w:rsidRPr="0028108F">
        <w:rPr>
          <w:rFonts w:ascii="Arial" w:eastAsiaTheme="minorEastAsia" w:hAnsi="Arial" w:cs="Arial"/>
          <w:color w:val="000000" w:themeColor="text1"/>
          <w:kern w:val="0"/>
          <w:szCs w:val="24"/>
          <w:lang w:val="en-GB"/>
        </w:rPr>
        <w:t xml:space="preserve"> or gender dysphoria, to include this as a requirement for gender recognition might </w:t>
      </w:r>
      <w:r w:rsidRPr="0028108F">
        <w:rPr>
          <w:rFonts w:ascii="Arial" w:eastAsiaTheme="minorEastAsia" w:hAnsi="Arial" w:cs="Arial"/>
          <w:color w:val="000000" w:themeColor="text1"/>
          <w:kern w:val="0"/>
          <w:szCs w:val="24"/>
          <w:lang w:val="en-GB"/>
        </w:rPr>
        <w:t xml:space="preserve">be </w:t>
      </w:r>
      <w:r w:rsidR="007B0F80" w:rsidRPr="0028108F">
        <w:rPr>
          <w:rFonts w:ascii="Arial" w:eastAsiaTheme="minorEastAsia" w:hAnsi="Arial" w:cs="Arial"/>
          <w:color w:val="000000" w:themeColor="text1"/>
          <w:kern w:val="0"/>
          <w:szCs w:val="24"/>
          <w:lang w:val="en-GB"/>
        </w:rPr>
        <w:t xml:space="preserve">considered </w:t>
      </w:r>
      <w:r w:rsidRPr="0028108F">
        <w:rPr>
          <w:rFonts w:ascii="Arial" w:eastAsiaTheme="minorEastAsia" w:hAnsi="Arial" w:cs="Arial"/>
          <w:color w:val="000000" w:themeColor="text1"/>
          <w:kern w:val="0"/>
          <w:szCs w:val="24"/>
          <w:lang w:val="en-GB"/>
        </w:rPr>
        <w:t>natural and reasonable</w:t>
      </w:r>
      <w:r w:rsidR="00E773F6" w:rsidRPr="0028108F">
        <w:rPr>
          <w:rFonts w:ascii="Arial" w:eastAsiaTheme="minorEastAsia" w:hAnsi="Arial" w:cs="Arial"/>
          <w:color w:val="000000" w:themeColor="text1"/>
          <w:kern w:val="0"/>
          <w:szCs w:val="24"/>
          <w:lang w:val="en-GB"/>
        </w:rPr>
        <w:t>.</w:t>
      </w:r>
    </w:p>
    <w:p w:rsidR="00E773F6" w:rsidRPr="0028108F" w:rsidRDefault="00E773F6" w:rsidP="00E773F6">
      <w:pPr>
        <w:pStyle w:val="ListParagraph"/>
        <w:tabs>
          <w:tab w:val="left" w:pos="1418"/>
          <w:tab w:val="left" w:pos="2552"/>
        </w:tabs>
        <w:adjustRightInd w:val="0"/>
        <w:snapToGrid w:val="0"/>
        <w:jc w:val="both"/>
        <w:rPr>
          <w:rFonts w:ascii="Arial" w:eastAsiaTheme="minorEastAsia" w:hAnsi="Arial" w:cs="Arial"/>
          <w:color w:val="000000" w:themeColor="text1"/>
          <w:kern w:val="0"/>
          <w:szCs w:val="24"/>
          <w:lang w:val="en-GB"/>
        </w:rPr>
      </w:pPr>
    </w:p>
    <w:p w:rsidR="00E773F6" w:rsidRPr="0028108F" w:rsidRDefault="00E773F6" w:rsidP="00793CF7">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eastAsiaTheme="minorEastAsia" w:hAnsi="Arial" w:cs="Arial"/>
          <w:color w:val="000000" w:themeColor="text1"/>
          <w:kern w:val="0"/>
          <w:szCs w:val="24"/>
          <w:lang w:val="en-GB"/>
        </w:rPr>
        <w:t xml:space="preserve">In cases where SRS is required under a gender recognition scheme, it </w:t>
      </w:r>
      <w:r w:rsidR="007B0F80" w:rsidRPr="0028108F">
        <w:rPr>
          <w:rFonts w:ascii="Arial" w:eastAsiaTheme="minorEastAsia" w:hAnsi="Arial" w:cs="Arial"/>
          <w:color w:val="000000" w:themeColor="text1"/>
          <w:kern w:val="0"/>
          <w:szCs w:val="24"/>
          <w:lang w:val="en-GB"/>
        </w:rPr>
        <w:t>may</w:t>
      </w:r>
      <w:r w:rsidRPr="0028108F">
        <w:rPr>
          <w:rFonts w:ascii="Arial" w:eastAsiaTheme="minorEastAsia" w:hAnsi="Arial" w:cs="Arial"/>
          <w:color w:val="000000" w:themeColor="text1"/>
          <w:kern w:val="0"/>
          <w:szCs w:val="24"/>
          <w:lang w:val="en-GB"/>
        </w:rPr>
        <w:t xml:space="preserve"> be less contentious as to whether hormonal treatment or some other medical procedures </w:t>
      </w:r>
      <w:r w:rsidR="007B0F80" w:rsidRPr="0028108F">
        <w:rPr>
          <w:rFonts w:ascii="Arial" w:eastAsiaTheme="minorEastAsia" w:hAnsi="Arial" w:cs="Arial"/>
          <w:color w:val="000000" w:themeColor="text1"/>
          <w:kern w:val="0"/>
          <w:szCs w:val="24"/>
          <w:lang w:val="en-GB"/>
        </w:rPr>
        <w:t>should be</w:t>
      </w:r>
      <w:r w:rsidRPr="0028108F">
        <w:rPr>
          <w:rFonts w:ascii="Arial" w:eastAsiaTheme="minorEastAsia" w:hAnsi="Arial" w:cs="Arial"/>
          <w:color w:val="000000" w:themeColor="text1"/>
          <w:kern w:val="0"/>
          <w:szCs w:val="24"/>
          <w:lang w:val="en-GB"/>
        </w:rPr>
        <w:t xml:space="preserve"> </w:t>
      </w:r>
      <w:r w:rsidR="00027C9C" w:rsidRPr="0028108F">
        <w:rPr>
          <w:rFonts w:ascii="Arial" w:eastAsiaTheme="minorEastAsia" w:hAnsi="Arial" w:cs="Arial"/>
          <w:color w:val="000000" w:themeColor="text1"/>
          <w:kern w:val="0"/>
          <w:szCs w:val="24"/>
          <w:lang w:val="en-GB"/>
        </w:rPr>
        <w:t>required also</w:t>
      </w:r>
      <w:r w:rsidRPr="0028108F">
        <w:rPr>
          <w:rFonts w:ascii="Arial" w:eastAsiaTheme="minorEastAsia" w:hAnsi="Arial" w:cs="Arial"/>
          <w:color w:val="000000" w:themeColor="text1"/>
          <w:kern w:val="0"/>
          <w:szCs w:val="24"/>
          <w:lang w:val="en-GB"/>
        </w:rPr>
        <w:t>.  Many jurisdictions that impose SRS for recognition do not specify in the law whether hormonal treatment is a compulsory criterion (typical example</w:t>
      </w:r>
      <w:r w:rsidRPr="000B4F6C">
        <w:rPr>
          <w:rFonts w:ascii="Arial" w:eastAsiaTheme="minorEastAsia" w:hAnsi="Arial" w:cs="Arial"/>
          <w:color w:val="000000" w:themeColor="text1"/>
          <w:kern w:val="0"/>
          <w:szCs w:val="24"/>
          <w:lang w:val="en-GB"/>
        </w:rPr>
        <w:t xml:space="preserve">s are </w:t>
      </w:r>
      <w:r w:rsidRPr="008813DE">
        <w:rPr>
          <w:rFonts w:ascii="Arial" w:eastAsiaTheme="minorEastAsia" w:hAnsi="Arial" w:cs="Arial"/>
          <w:color w:val="000000" w:themeColor="text1"/>
          <w:kern w:val="0"/>
          <w:szCs w:val="24"/>
          <w:lang w:val="en-GB"/>
        </w:rPr>
        <w:t>Latvia, Turkey, Vietnam, New Jersey (</w:t>
      </w:r>
      <w:r w:rsidR="00512AC0" w:rsidRPr="008813DE">
        <w:rPr>
          <w:rFonts w:ascii="Arial" w:eastAsiaTheme="minorEastAsia" w:hAnsi="Arial" w:cs="Arial"/>
          <w:color w:val="000000" w:themeColor="text1"/>
          <w:kern w:val="0"/>
          <w:szCs w:val="24"/>
          <w:lang w:val="en-GB"/>
        </w:rPr>
        <w:t>US</w:t>
      </w:r>
      <w:r w:rsidRPr="008813DE">
        <w:rPr>
          <w:rFonts w:ascii="Arial" w:eastAsiaTheme="minorEastAsia" w:hAnsi="Arial" w:cs="Arial"/>
          <w:color w:val="000000" w:themeColor="text1"/>
          <w:kern w:val="0"/>
          <w:szCs w:val="24"/>
          <w:lang w:val="en-GB"/>
        </w:rPr>
        <w:t xml:space="preserve">), </w:t>
      </w:r>
      <w:r w:rsidR="00170A66" w:rsidRPr="008813DE">
        <w:rPr>
          <w:rFonts w:ascii="Arial" w:eastAsiaTheme="minorEastAsia" w:hAnsi="Arial" w:cs="Arial"/>
          <w:color w:val="000000" w:themeColor="text1"/>
          <w:kern w:val="0"/>
          <w:szCs w:val="24"/>
          <w:lang w:val="en-GB"/>
        </w:rPr>
        <w:t xml:space="preserve">New </w:t>
      </w:r>
      <w:r w:rsidRPr="008813DE">
        <w:rPr>
          <w:rFonts w:ascii="Arial" w:eastAsiaTheme="minorEastAsia" w:hAnsi="Arial" w:cs="Arial"/>
          <w:color w:val="000000" w:themeColor="text1"/>
          <w:kern w:val="0"/>
          <w:szCs w:val="24"/>
          <w:lang w:val="en-GB"/>
        </w:rPr>
        <w:t>Brunswick (Canada)</w:t>
      </w:r>
      <w:r w:rsidRPr="000B4F6C">
        <w:rPr>
          <w:rFonts w:ascii="Arial" w:eastAsiaTheme="minorEastAsia" w:hAnsi="Arial" w:cs="Arial"/>
          <w:color w:val="000000" w:themeColor="text1"/>
          <w:kern w:val="0"/>
          <w:szCs w:val="24"/>
          <w:lang w:val="en-GB"/>
        </w:rPr>
        <w:t>).</w:t>
      </w:r>
      <w:r w:rsidRPr="00C57CE1">
        <w:rPr>
          <w:rFonts w:ascii="Arial" w:eastAsiaTheme="minorEastAsia" w:hAnsi="Arial" w:cs="Arial"/>
          <w:color w:val="000000" w:themeColor="text1"/>
          <w:kern w:val="0"/>
          <w:szCs w:val="24"/>
          <w:lang w:val="en-GB"/>
        </w:rPr>
        <w:t xml:space="preserve">  </w:t>
      </w:r>
      <w:r w:rsidR="00027C9C" w:rsidRPr="0028108F">
        <w:rPr>
          <w:rFonts w:ascii="Arial" w:eastAsiaTheme="minorEastAsia" w:hAnsi="Arial" w:cs="Arial"/>
          <w:color w:val="000000" w:themeColor="text1"/>
          <w:kern w:val="0"/>
          <w:szCs w:val="24"/>
          <w:lang w:val="en-GB"/>
        </w:rPr>
        <w:t>On the other hand</w:t>
      </w:r>
      <w:r w:rsidRPr="0028108F">
        <w:rPr>
          <w:rFonts w:ascii="Arial" w:eastAsiaTheme="minorEastAsia" w:hAnsi="Arial" w:cs="Arial"/>
          <w:color w:val="000000" w:themeColor="text1"/>
          <w:kern w:val="0"/>
          <w:szCs w:val="24"/>
          <w:lang w:val="en-GB"/>
        </w:rPr>
        <w:t xml:space="preserve">, some people might argue that to have hormonal treatment as one of the requirements for gender recognition could provide an additional </w:t>
      </w:r>
      <w:r w:rsidR="002058DC" w:rsidRPr="0028108F">
        <w:rPr>
          <w:rFonts w:ascii="Arial" w:eastAsiaTheme="minorEastAsia" w:hAnsi="Arial" w:cs="Arial"/>
          <w:color w:val="000000" w:themeColor="text1"/>
          <w:kern w:val="0"/>
          <w:szCs w:val="24"/>
          <w:lang w:val="en-GB"/>
        </w:rPr>
        <w:t>‘</w:t>
      </w:r>
      <w:r w:rsidRPr="0028108F">
        <w:rPr>
          <w:rFonts w:ascii="Arial" w:eastAsiaTheme="minorEastAsia" w:hAnsi="Arial" w:cs="Arial"/>
          <w:color w:val="000000" w:themeColor="text1"/>
          <w:kern w:val="0"/>
          <w:szCs w:val="24"/>
          <w:lang w:val="en-GB"/>
        </w:rPr>
        <w:t>safeguard</w:t>
      </w:r>
      <w:r w:rsidR="007B0F80" w:rsidRPr="0028108F">
        <w:rPr>
          <w:rFonts w:ascii="Arial" w:eastAsiaTheme="minorEastAsia" w:hAnsi="Arial" w:cs="Arial"/>
          <w:color w:val="000000" w:themeColor="text1"/>
          <w:kern w:val="0"/>
          <w:szCs w:val="24"/>
          <w:lang w:val="en-GB"/>
        </w:rPr>
        <w:t>’</w:t>
      </w:r>
      <w:r w:rsidRPr="0028108F">
        <w:rPr>
          <w:rFonts w:ascii="Arial" w:eastAsiaTheme="minorEastAsia" w:hAnsi="Arial" w:cs="Arial"/>
          <w:color w:val="000000" w:themeColor="text1"/>
          <w:kern w:val="0"/>
          <w:szCs w:val="24"/>
          <w:lang w:val="en-GB"/>
        </w:rPr>
        <w:t xml:space="preserve"> </w:t>
      </w:r>
      <w:r w:rsidR="007B0F80" w:rsidRPr="0028108F">
        <w:rPr>
          <w:rFonts w:ascii="Arial" w:eastAsiaTheme="minorEastAsia" w:hAnsi="Arial" w:cs="Arial"/>
          <w:color w:val="000000" w:themeColor="text1"/>
          <w:kern w:val="0"/>
          <w:szCs w:val="24"/>
          <w:lang w:val="en-GB"/>
        </w:rPr>
        <w:t>to</w:t>
      </w:r>
      <w:r w:rsidRPr="0028108F">
        <w:rPr>
          <w:rFonts w:ascii="Arial" w:eastAsiaTheme="minorEastAsia" w:hAnsi="Arial" w:cs="Arial"/>
          <w:color w:val="000000" w:themeColor="text1"/>
          <w:kern w:val="0"/>
          <w:szCs w:val="24"/>
          <w:lang w:val="en-GB"/>
        </w:rPr>
        <w:t xml:space="preserve"> prevent an applicant from reverting back from the gender identity</w:t>
      </w:r>
      <w:r w:rsidR="002058DC" w:rsidRPr="0028108F">
        <w:rPr>
          <w:rFonts w:ascii="Arial" w:eastAsiaTheme="minorEastAsia" w:hAnsi="Arial" w:cs="Arial"/>
          <w:color w:val="000000" w:themeColor="text1"/>
          <w:kern w:val="0"/>
          <w:szCs w:val="24"/>
          <w:lang w:val="en-GB"/>
        </w:rPr>
        <w:t xml:space="preserve"> </w:t>
      </w:r>
      <w:r w:rsidR="00027C9C" w:rsidRPr="0028108F">
        <w:rPr>
          <w:rFonts w:ascii="Arial" w:eastAsiaTheme="minorEastAsia" w:hAnsi="Arial" w:cs="Arial"/>
          <w:color w:val="000000" w:themeColor="text1"/>
          <w:kern w:val="0"/>
          <w:szCs w:val="24"/>
          <w:lang w:val="en-GB"/>
        </w:rPr>
        <w:t>once</w:t>
      </w:r>
      <w:r w:rsidRPr="0028108F">
        <w:rPr>
          <w:rFonts w:ascii="Arial" w:eastAsiaTheme="minorEastAsia" w:hAnsi="Arial" w:cs="Arial"/>
          <w:color w:val="000000" w:themeColor="text1"/>
          <w:kern w:val="0"/>
          <w:szCs w:val="24"/>
          <w:lang w:val="en-GB"/>
        </w:rPr>
        <w:t xml:space="preserve"> changed.</w:t>
      </w:r>
      <w:r w:rsidR="00793CF7" w:rsidRPr="0028108F">
        <w:rPr>
          <w:rFonts w:ascii="Arial" w:eastAsiaTheme="minorEastAsia" w:hAnsi="Arial" w:cs="Arial"/>
          <w:color w:val="000000" w:themeColor="text1"/>
          <w:kern w:val="0"/>
          <w:szCs w:val="24"/>
          <w:lang w:val="en-GB"/>
        </w:rPr>
        <w:t xml:space="preserve">  </w:t>
      </w:r>
      <w:r w:rsidR="00793CF7" w:rsidRPr="0028108F">
        <w:rPr>
          <w:rFonts w:ascii="Arial" w:hAnsi="Arial" w:cs="Arial"/>
          <w:color w:val="000000" w:themeColor="text1"/>
          <w:szCs w:val="24"/>
          <w:lang w:val="en-GB"/>
        </w:rPr>
        <w:t xml:space="preserve">In its </w:t>
      </w:r>
      <w:r w:rsidR="00BF0226" w:rsidRPr="0028108F">
        <w:rPr>
          <w:rFonts w:ascii="Arial" w:hAnsi="Arial" w:cs="Arial"/>
          <w:color w:val="000000" w:themeColor="text1"/>
          <w:szCs w:val="24"/>
          <w:lang w:val="en-GB"/>
        </w:rPr>
        <w:t xml:space="preserve">new </w:t>
      </w:r>
      <w:r w:rsidR="00793CF7" w:rsidRPr="0028108F">
        <w:rPr>
          <w:rFonts w:ascii="Arial" w:hAnsi="Arial" w:cs="Arial"/>
          <w:i/>
          <w:color w:val="000000" w:themeColor="text1"/>
          <w:szCs w:val="24"/>
          <w:lang w:val="en-GB"/>
        </w:rPr>
        <w:t>Standards of Care</w:t>
      </w:r>
      <w:r w:rsidR="00793CF7" w:rsidRPr="00181CF2">
        <w:rPr>
          <w:rFonts w:ascii="Arial" w:hAnsi="Arial" w:cs="Arial"/>
          <w:color w:val="000000" w:themeColor="text1"/>
          <w:szCs w:val="24"/>
          <w:lang w:val="en-GB"/>
        </w:rPr>
        <w:t>, the WPATH recommends that persons seeking access to specific surgical procedures for sex re-assignment, including a hysterectomy or orchiec</w:t>
      </w:r>
      <w:r w:rsidR="00793CF7" w:rsidRPr="00C57CE1">
        <w:rPr>
          <w:rFonts w:ascii="Arial" w:hAnsi="Arial" w:cs="Arial"/>
          <w:color w:val="000000" w:themeColor="text1"/>
          <w:szCs w:val="24"/>
          <w:lang w:val="en-GB"/>
        </w:rPr>
        <w:t>tomy, should complete at least “</w:t>
      </w:r>
      <w:r w:rsidR="00793CF7" w:rsidRPr="0028108F">
        <w:rPr>
          <w:rFonts w:ascii="Arial" w:hAnsi="Arial" w:cs="Arial"/>
          <w:i/>
          <w:color w:val="000000" w:themeColor="text1"/>
          <w:szCs w:val="24"/>
          <w:lang w:val="en-GB"/>
        </w:rPr>
        <w:t>12 continuous months of hormone therapy as appropriate to the patient’s gender goals</w:t>
      </w:r>
      <w:r w:rsidR="00793CF7" w:rsidRPr="0028108F">
        <w:rPr>
          <w:rFonts w:ascii="Arial" w:hAnsi="Arial" w:cs="Arial"/>
          <w:color w:val="000000" w:themeColor="text1"/>
          <w:szCs w:val="24"/>
          <w:lang w:val="en-GB"/>
        </w:rPr>
        <w:t>.”</w:t>
      </w:r>
      <w:r w:rsidR="00051D6D" w:rsidRPr="00181CF2">
        <w:rPr>
          <w:rStyle w:val="FootnoteReference"/>
          <w:rFonts w:ascii="Arial" w:hAnsi="Arial" w:cs="Arial"/>
          <w:color w:val="000000" w:themeColor="text1"/>
          <w:kern w:val="0"/>
          <w:szCs w:val="24"/>
          <w:lang w:val="en-GB"/>
        </w:rPr>
        <w:footnoteReference w:id="512"/>
      </w:r>
      <w:r w:rsidR="00793CF7" w:rsidRPr="00181CF2">
        <w:rPr>
          <w:rFonts w:ascii="Arial" w:hAnsi="Arial" w:cs="Arial"/>
          <w:color w:val="000000" w:themeColor="text1"/>
          <w:szCs w:val="24"/>
          <w:lang w:val="en-GB"/>
        </w:rPr>
        <w:t xml:space="preserve">  It is argued by some commentators that where legal gender recognition is contingent upon medical treatment, it is correct that applican</w:t>
      </w:r>
      <w:r w:rsidR="00793CF7" w:rsidRPr="00C57CE1">
        <w:rPr>
          <w:rFonts w:ascii="Arial" w:hAnsi="Arial" w:cs="Arial"/>
          <w:color w:val="000000" w:themeColor="text1"/>
          <w:szCs w:val="24"/>
          <w:lang w:val="en-GB"/>
        </w:rPr>
        <w:t>ts should access healthcare procedures in accordance with international practice such as the WPATH’s recommendations.</w:t>
      </w:r>
    </w:p>
    <w:p w:rsidR="00E773F6" w:rsidRPr="0028108F" w:rsidRDefault="00E773F6" w:rsidP="00E773F6">
      <w:pPr>
        <w:pStyle w:val="ListParagraph"/>
        <w:rPr>
          <w:rFonts w:ascii="Arial" w:eastAsiaTheme="minorEastAsia" w:hAnsi="Arial" w:cs="Arial"/>
          <w:color w:val="000000" w:themeColor="text1"/>
          <w:kern w:val="0"/>
          <w:szCs w:val="24"/>
          <w:lang w:val="en-GB"/>
        </w:rPr>
      </w:pPr>
    </w:p>
    <w:p w:rsidR="00E773F6" w:rsidRPr="0028108F" w:rsidRDefault="00E773F6" w:rsidP="0017189E">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color w:val="000000" w:themeColor="text1"/>
          <w:kern w:val="0"/>
          <w:szCs w:val="24"/>
          <w:lang w:val="en-GB"/>
        </w:rPr>
      </w:pPr>
      <w:r w:rsidRPr="0028108F">
        <w:rPr>
          <w:rFonts w:ascii="Arial" w:eastAsiaTheme="minorEastAsia" w:hAnsi="Arial" w:cs="Arial"/>
          <w:color w:val="000000" w:themeColor="text1"/>
          <w:kern w:val="0"/>
          <w:szCs w:val="24"/>
          <w:lang w:val="en-GB"/>
        </w:rPr>
        <w:t xml:space="preserve">If </w:t>
      </w:r>
      <w:r w:rsidRPr="0028108F">
        <w:rPr>
          <w:rFonts w:ascii="Arial" w:hAnsi="Arial" w:cs="Arial"/>
          <w:color w:val="000000" w:themeColor="text1"/>
          <w:szCs w:val="24"/>
          <w:lang w:val="en-GB"/>
        </w:rPr>
        <w:t>SRS</w:t>
      </w:r>
      <w:r w:rsidRPr="0028108F">
        <w:rPr>
          <w:rFonts w:ascii="Arial" w:eastAsiaTheme="minorEastAsia" w:hAnsi="Arial" w:cs="Arial"/>
          <w:color w:val="000000" w:themeColor="text1"/>
          <w:kern w:val="0"/>
          <w:szCs w:val="24"/>
          <w:lang w:val="en-GB"/>
        </w:rPr>
        <w:t xml:space="preserve"> is not mandatory in a gender recognition scheme, the requirement of hormonal treatment might be advocated for the reason that it could lead to physical changes that are more congruent with a person’s preferred gender identity</w:t>
      </w:r>
      <w:r w:rsidR="00027C9C" w:rsidRPr="0028108F">
        <w:rPr>
          <w:rFonts w:ascii="Arial" w:eastAsiaTheme="minorEastAsia" w:hAnsi="Arial" w:cs="Arial"/>
          <w:color w:val="000000" w:themeColor="text1"/>
          <w:kern w:val="0"/>
          <w:szCs w:val="24"/>
          <w:lang w:val="en-GB"/>
        </w:rPr>
        <w:t>,</w:t>
      </w:r>
      <w:r w:rsidRPr="0028108F">
        <w:rPr>
          <w:rFonts w:ascii="Arial" w:eastAsiaTheme="minorEastAsia" w:hAnsi="Arial" w:cs="Arial"/>
          <w:color w:val="000000" w:themeColor="text1"/>
          <w:kern w:val="0"/>
          <w:szCs w:val="24"/>
          <w:lang w:val="en-GB"/>
        </w:rPr>
        <w:t xml:space="preserve"> so that the general public’s </w:t>
      </w:r>
      <w:r w:rsidR="00027C9C" w:rsidRPr="0028108F">
        <w:rPr>
          <w:rFonts w:ascii="Arial" w:eastAsiaTheme="minorEastAsia" w:hAnsi="Arial" w:cs="Arial"/>
          <w:color w:val="000000" w:themeColor="text1"/>
          <w:kern w:val="0"/>
          <w:szCs w:val="24"/>
          <w:lang w:val="en-GB"/>
        </w:rPr>
        <w:t>possible confusion or fears</w:t>
      </w:r>
      <w:r w:rsidRPr="0028108F">
        <w:rPr>
          <w:rFonts w:ascii="Arial" w:eastAsiaTheme="minorEastAsia" w:hAnsi="Arial" w:cs="Arial"/>
          <w:color w:val="000000" w:themeColor="text1"/>
          <w:kern w:val="0"/>
          <w:szCs w:val="24"/>
          <w:lang w:val="en-GB"/>
        </w:rPr>
        <w:t xml:space="preserve"> </w:t>
      </w:r>
      <w:r w:rsidR="00027C9C" w:rsidRPr="0028108F">
        <w:rPr>
          <w:rFonts w:ascii="Arial" w:eastAsiaTheme="minorEastAsia" w:hAnsi="Arial" w:cs="Arial"/>
          <w:color w:val="000000" w:themeColor="text1"/>
          <w:kern w:val="0"/>
          <w:szCs w:val="24"/>
          <w:lang w:val="en-GB"/>
        </w:rPr>
        <w:t>about interacting</w:t>
      </w:r>
      <w:r w:rsidRPr="0028108F">
        <w:rPr>
          <w:rFonts w:ascii="Arial" w:eastAsiaTheme="minorEastAsia" w:hAnsi="Arial" w:cs="Arial"/>
          <w:color w:val="000000" w:themeColor="text1"/>
          <w:kern w:val="0"/>
          <w:szCs w:val="24"/>
          <w:lang w:val="en-GB"/>
        </w:rPr>
        <w:t xml:space="preserve"> with transgender persons might be reduced.  As noted by the WPATH, the physical changes expected to occur following feminising/masculinising hormone therapy (depending in part on the dose, route of administration, and medications used</w:t>
      </w:r>
      <w:r w:rsidR="00027C9C" w:rsidRPr="0028108F">
        <w:rPr>
          <w:rFonts w:ascii="Arial" w:eastAsiaTheme="minorEastAsia" w:hAnsi="Arial" w:cs="Arial"/>
          <w:color w:val="000000" w:themeColor="text1"/>
          <w:kern w:val="0"/>
          <w:szCs w:val="24"/>
          <w:lang w:val="en-GB"/>
        </w:rPr>
        <w:t>,</w:t>
      </w:r>
      <w:r w:rsidRPr="0028108F">
        <w:rPr>
          <w:rFonts w:ascii="Arial" w:eastAsiaTheme="minorEastAsia" w:hAnsi="Arial" w:cs="Arial"/>
          <w:color w:val="000000" w:themeColor="text1"/>
          <w:kern w:val="0"/>
          <w:szCs w:val="24"/>
          <w:lang w:val="en-GB"/>
        </w:rPr>
        <w:t xml:space="preserve"> etc) include: in female-to-male persons, deepened voice, clitoral enlargement (variable), growth in facial and body hair, cessation of menses, atrophy of breast tissue, and decreased percentage of body fat compared to muscle mass; in male-to-female persons, breast growth (variable), decreased erectile function, decreased testicular size, and increased percentage of body fat compared to muscle mass.</w:t>
      </w:r>
      <w:r w:rsidRPr="00181CF2">
        <w:rPr>
          <w:rStyle w:val="FootnoteReference"/>
          <w:rFonts w:ascii="Arial" w:hAnsi="Arial" w:cs="Arial"/>
          <w:color w:val="000000" w:themeColor="text1"/>
          <w:kern w:val="0"/>
          <w:szCs w:val="24"/>
          <w:lang w:val="en-GB"/>
        </w:rPr>
        <w:footnoteReference w:id="513"/>
      </w:r>
      <w:r w:rsidRPr="00181CF2">
        <w:rPr>
          <w:rFonts w:ascii="Arial" w:eastAsiaTheme="minorEastAsia" w:hAnsi="Arial" w:cs="Arial"/>
          <w:color w:val="000000" w:themeColor="text1"/>
          <w:kern w:val="0"/>
          <w:szCs w:val="24"/>
          <w:lang w:val="en-GB"/>
        </w:rPr>
        <w:t xml:space="preserve">  Some people might find </w:t>
      </w:r>
      <w:r w:rsidR="00027C9C" w:rsidRPr="00C57CE1">
        <w:rPr>
          <w:rFonts w:ascii="Arial" w:eastAsiaTheme="minorEastAsia" w:hAnsi="Arial" w:cs="Arial"/>
          <w:color w:val="000000" w:themeColor="text1"/>
          <w:kern w:val="0"/>
          <w:szCs w:val="24"/>
          <w:lang w:val="en-GB"/>
        </w:rPr>
        <w:t xml:space="preserve">requiring </w:t>
      </w:r>
      <w:r w:rsidRPr="0028108F">
        <w:rPr>
          <w:rFonts w:ascii="Arial" w:eastAsiaTheme="minorEastAsia" w:hAnsi="Arial" w:cs="Arial"/>
          <w:color w:val="000000" w:themeColor="text1"/>
          <w:kern w:val="0"/>
          <w:szCs w:val="24"/>
          <w:lang w:val="en-GB"/>
        </w:rPr>
        <w:t xml:space="preserve">hormonal treatment </w:t>
      </w:r>
      <w:r w:rsidR="00027C9C" w:rsidRPr="0028108F">
        <w:rPr>
          <w:rFonts w:ascii="Arial" w:eastAsiaTheme="minorEastAsia" w:hAnsi="Arial" w:cs="Arial"/>
          <w:color w:val="000000" w:themeColor="text1"/>
          <w:kern w:val="0"/>
          <w:szCs w:val="24"/>
          <w:lang w:val="en-GB"/>
        </w:rPr>
        <w:t xml:space="preserve">as a minimum </w:t>
      </w:r>
      <w:r w:rsidRPr="0028108F">
        <w:rPr>
          <w:rFonts w:ascii="Arial" w:eastAsiaTheme="minorEastAsia" w:hAnsi="Arial" w:cs="Arial"/>
          <w:color w:val="000000" w:themeColor="text1"/>
          <w:kern w:val="0"/>
          <w:szCs w:val="24"/>
          <w:lang w:val="en-GB"/>
        </w:rPr>
        <w:t>to be a halfway house to full SRS, and thus consider it as a necessary requirement for a gender recognition scheme</w:t>
      </w:r>
      <w:r w:rsidR="00027C9C" w:rsidRPr="0028108F">
        <w:rPr>
          <w:rFonts w:ascii="Arial" w:eastAsiaTheme="minorEastAsia" w:hAnsi="Arial" w:cs="Arial"/>
          <w:color w:val="000000" w:themeColor="text1"/>
          <w:kern w:val="0"/>
          <w:szCs w:val="24"/>
          <w:lang w:val="en-GB"/>
        </w:rPr>
        <w:t>,</w:t>
      </w:r>
      <w:r w:rsidRPr="0028108F">
        <w:rPr>
          <w:rFonts w:ascii="Arial" w:eastAsiaTheme="minorEastAsia" w:hAnsi="Arial" w:cs="Arial"/>
          <w:color w:val="000000" w:themeColor="text1"/>
          <w:kern w:val="0"/>
          <w:szCs w:val="24"/>
          <w:lang w:val="en-GB"/>
        </w:rPr>
        <w:t xml:space="preserve"> in between a self-determination scheme and a scheme </w:t>
      </w:r>
      <w:r w:rsidR="00BF0226" w:rsidRPr="0028108F">
        <w:rPr>
          <w:rFonts w:ascii="Arial" w:eastAsiaTheme="minorEastAsia" w:hAnsi="Arial" w:cs="Arial"/>
          <w:color w:val="000000" w:themeColor="text1"/>
          <w:kern w:val="0"/>
          <w:szCs w:val="24"/>
          <w:lang w:val="en-GB"/>
        </w:rPr>
        <w:t xml:space="preserve">based </w:t>
      </w:r>
      <w:r w:rsidRPr="0028108F">
        <w:rPr>
          <w:rFonts w:ascii="Arial" w:eastAsiaTheme="minorEastAsia" w:hAnsi="Arial" w:cs="Arial"/>
          <w:color w:val="000000" w:themeColor="text1"/>
          <w:kern w:val="0"/>
          <w:szCs w:val="24"/>
          <w:lang w:val="en-GB"/>
        </w:rPr>
        <w:t>upon full SRS.</w:t>
      </w:r>
    </w:p>
    <w:p w:rsidR="00E773F6" w:rsidRPr="0028108F" w:rsidRDefault="00E773F6" w:rsidP="00E773F6">
      <w:pPr>
        <w:tabs>
          <w:tab w:val="left" w:pos="1418"/>
          <w:tab w:val="left" w:pos="2552"/>
        </w:tabs>
        <w:adjustRightInd w:val="0"/>
        <w:snapToGrid w:val="0"/>
        <w:jc w:val="both"/>
        <w:rPr>
          <w:rFonts w:ascii="Arial" w:hAnsi="Arial" w:cs="Arial"/>
          <w:color w:val="000000" w:themeColor="text1"/>
          <w:kern w:val="0"/>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Arguments against</w:t>
      </w:r>
      <w:r w:rsidR="00E773F6" w:rsidRPr="0028108F">
        <w:rPr>
          <w:rFonts w:ascii="Arial" w:hAnsi="Arial" w:cs="Arial"/>
          <w:b/>
          <w:i/>
          <w:color w:val="000000" w:themeColor="text1"/>
          <w:szCs w:val="24"/>
          <w:lang w:val="en-GB"/>
        </w:rPr>
        <w:t xml:space="preserve"> having a requirement for hormonal treatment</w:t>
      </w:r>
    </w:p>
    <w:p w:rsidR="00E773F6" w:rsidRPr="0028108F" w:rsidRDefault="00E773F6" w:rsidP="00E773F6">
      <w:pPr>
        <w:tabs>
          <w:tab w:val="left" w:pos="851"/>
        </w:tabs>
        <w:adjustRightInd w:val="0"/>
        <w:snapToGrid w:val="0"/>
        <w:jc w:val="both"/>
        <w:rPr>
          <w:rFonts w:ascii="Arial" w:hAnsi="Arial" w:cs="Arial"/>
          <w:b/>
          <w:color w:val="000000" w:themeColor="text1"/>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color w:val="000000" w:themeColor="text1"/>
          <w:kern w:val="0"/>
          <w:szCs w:val="24"/>
          <w:lang w:val="en-GB"/>
        </w:rPr>
      </w:pPr>
      <w:r w:rsidRPr="0028108F">
        <w:rPr>
          <w:rFonts w:ascii="Arial" w:eastAsiaTheme="minorEastAsia" w:hAnsi="Arial" w:cs="Arial"/>
          <w:color w:val="000000" w:themeColor="text1"/>
          <w:kern w:val="0"/>
          <w:szCs w:val="24"/>
          <w:lang w:val="en-GB"/>
        </w:rPr>
        <w:t xml:space="preserve">There is an argument that not all transgender persons need or wish to receive hormonal treatment.  The WPATH made the following comments in its </w:t>
      </w:r>
      <w:r w:rsidRPr="0028108F">
        <w:rPr>
          <w:rFonts w:ascii="Arial" w:eastAsiaTheme="minorEastAsia" w:hAnsi="Arial" w:cs="Arial"/>
          <w:i/>
          <w:color w:val="000000" w:themeColor="text1"/>
          <w:kern w:val="0"/>
          <w:szCs w:val="24"/>
          <w:lang w:val="en-GB"/>
        </w:rPr>
        <w:t>Standards of Care</w:t>
      </w:r>
      <w:r w:rsidRPr="00181CF2">
        <w:rPr>
          <w:rFonts w:ascii="Arial" w:eastAsiaTheme="minorEastAsia" w:hAnsi="Arial" w:cs="Arial"/>
          <w:color w:val="000000" w:themeColor="text1"/>
          <w:kern w:val="0"/>
          <w:szCs w:val="24"/>
          <w:lang w:val="en-GB"/>
        </w:rPr>
        <w:t>:</w:t>
      </w:r>
    </w:p>
    <w:p w:rsidR="00E773F6" w:rsidRPr="00C57CE1" w:rsidRDefault="00E773F6" w:rsidP="00E773F6">
      <w:pPr>
        <w:snapToGrid w:val="0"/>
        <w:ind w:left="1699" w:hangingChars="708" w:hanging="1699"/>
        <w:jc w:val="both"/>
        <w:rPr>
          <w:rFonts w:ascii="Arial" w:hAnsi="Arial" w:cs="Arial"/>
          <w:i/>
          <w:color w:val="000000" w:themeColor="text1"/>
          <w:kern w:val="0"/>
          <w:szCs w:val="24"/>
          <w:lang w:val="en-GB"/>
        </w:rPr>
      </w:pPr>
      <w:r w:rsidRPr="00C57CE1">
        <w:rPr>
          <w:rFonts w:ascii="Arial" w:hAnsi="Arial" w:cs="Arial"/>
          <w:i/>
          <w:color w:val="000000" w:themeColor="text1"/>
          <w:kern w:val="0"/>
          <w:szCs w:val="24"/>
          <w:lang w:val="en-GB"/>
        </w:rPr>
        <w:tab/>
      </w:r>
    </w:p>
    <w:p w:rsidR="00E773F6" w:rsidRPr="00181CF2" w:rsidRDefault="00E773F6" w:rsidP="0028108F">
      <w:pPr>
        <w:pStyle w:val="ListParagraph"/>
        <w:tabs>
          <w:tab w:val="left" w:pos="851"/>
        </w:tabs>
        <w:adjustRightInd w:val="0"/>
        <w:snapToGrid w:val="0"/>
        <w:ind w:leftChars="0" w:left="851" w:rightChars="212" w:right="509"/>
        <w:jc w:val="both"/>
        <w:rPr>
          <w:rFonts w:ascii="Arial" w:eastAsiaTheme="minorEastAsia" w:hAnsi="Arial" w:cs="Arial"/>
          <w:i/>
          <w:color w:val="000000" w:themeColor="text1"/>
          <w:kern w:val="0"/>
          <w:szCs w:val="24"/>
          <w:lang w:val="en-GB"/>
        </w:rPr>
      </w:pPr>
      <w:r w:rsidRPr="0028108F">
        <w:rPr>
          <w:rFonts w:ascii="Arial" w:eastAsiaTheme="minorEastAsia" w:hAnsi="Arial" w:cs="Arial"/>
          <w:i/>
          <w:color w:val="000000" w:themeColor="text1"/>
          <w:kern w:val="0"/>
          <w:szCs w:val="24"/>
          <w:lang w:val="en-GB"/>
        </w:rPr>
        <w:t xml:space="preserve">“As the field matured, health professionals recognized that while many individuals need both hormone therapy and surgery to alleviate their gender dysphoria, others need only one of these treatment options and some need neither (Bockting &amp; Goldberg, 2006; Bockting, 2008; Lev, 2004).  Often with the help of psychotherapy, some individuals integrate their trans- or cross-gender feelings into the gender role they were assigned at birth and do not feel the need to feminize or masculinize their body.  For others, changes in gender role and expression are sufficient to alleviate gender dysphoria.  Some patients may need hormones, a possible change in gender role, but not surgery; others may need a change in gender role along with surgery, but not hormones. </w:t>
      </w:r>
      <w:r w:rsidR="00905810" w:rsidRPr="0028108F">
        <w:rPr>
          <w:rFonts w:ascii="Arial" w:eastAsiaTheme="minorEastAsia" w:hAnsi="Arial" w:cs="Arial"/>
          <w:i/>
          <w:color w:val="000000" w:themeColor="text1"/>
          <w:kern w:val="0"/>
          <w:szCs w:val="24"/>
          <w:lang w:val="en-GB"/>
        </w:rPr>
        <w:t xml:space="preserve"> </w:t>
      </w:r>
      <w:r w:rsidRPr="0028108F">
        <w:rPr>
          <w:rFonts w:ascii="Arial" w:eastAsiaTheme="minorEastAsia" w:hAnsi="Arial" w:cs="Arial"/>
          <w:i/>
          <w:color w:val="000000" w:themeColor="text1"/>
          <w:kern w:val="0"/>
          <w:szCs w:val="24"/>
          <w:lang w:val="en-GB"/>
        </w:rPr>
        <w:t>In other words, treatment for gender dysphoria has become more individualized.”</w:t>
      </w:r>
      <w:r w:rsidRPr="00181CF2">
        <w:rPr>
          <w:rStyle w:val="FootnoteReference"/>
          <w:rFonts w:ascii="Arial" w:hAnsi="Arial" w:cs="Arial"/>
          <w:color w:val="000000" w:themeColor="text1"/>
          <w:kern w:val="0"/>
          <w:szCs w:val="24"/>
          <w:lang w:val="en-GB"/>
        </w:rPr>
        <w:footnoteReference w:id="514"/>
      </w:r>
    </w:p>
    <w:p w:rsidR="00E773F6" w:rsidRPr="00C57CE1" w:rsidRDefault="00E773F6" w:rsidP="00E773F6">
      <w:pPr>
        <w:tabs>
          <w:tab w:val="left" w:pos="1418"/>
          <w:tab w:val="left" w:pos="2552"/>
        </w:tabs>
        <w:autoSpaceDE w:val="0"/>
        <w:autoSpaceDN w:val="0"/>
        <w:adjustRightInd w:val="0"/>
        <w:snapToGrid w:val="0"/>
        <w:jc w:val="both"/>
        <w:rPr>
          <w:rFonts w:ascii="Arial" w:hAnsi="Arial" w:cs="Arial"/>
          <w:color w:val="000000" w:themeColor="text1"/>
          <w:kern w:val="0"/>
          <w:szCs w:val="24"/>
          <w:u w:val="single"/>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color w:val="000000" w:themeColor="text1"/>
          <w:kern w:val="0"/>
          <w:szCs w:val="24"/>
          <w:lang w:val="en-GB"/>
        </w:rPr>
      </w:pPr>
      <w:r w:rsidRPr="0028108F">
        <w:rPr>
          <w:rFonts w:ascii="Arial" w:eastAsiaTheme="minorEastAsia" w:hAnsi="Arial" w:cs="Arial"/>
          <w:color w:val="000000" w:themeColor="text1"/>
          <w:kern w:val="0"/>
          <w:szCs w:val="24"/>
          <w:lang w:val="en-GB"/>
        </w:rPr>
        <w:t xml:space="preserve">Dr Winter </w:t>
      </w:r>
      <w:r w:rsidR="00027C9C" w:rsidRPr="0028108F">
        <w:rPr>
          <w:rFonts w:ascii="Arial" w:eastAsiaTheme="minorEastAsia" w:hAnsi="Arial" w:cs="Arial"/>
          <w:color w:val="000000" w:themeColor="text1"/>
          <w:kern w:val="0"/>
          <w:szCs w:val="24"/>
          <w:lang w:val="en-GB"/>
        </w:rPr>
        <w:t xml:space="preserve">has </w:t>
      </w:r>
      <w:r w:rsidRPr="0028108F">
        <w:rPr>
          <w:rFonts w:ascii="Arial" w:eastAsiaTheme="minorEastAsia" w:hAnsi="Arial" w:cs="Arial"/>
          <w:color w:val="000000" w:themeColor="text1"/>
          <w:kern w:val="0"/>
          <w:szCs w:val="24"/>
          <w:lang w:val="en-GB"/>
        </w:rPr>
        <w:t>stated that</w:t>
      </w:r>
      <w:r w:rsidR="00BF0226" w:rsidRPr="00181CF2">
        <w:rPr>
          <w:rFonts w:ascii="Arial" w:eastAsiaTheme="minorEastAsia" w:hAnsi="Arial" w:cs="Arial"/>
          <w:color w:val="000000" w:themeColor="text1"/>
          <w:kern w:val="0"/>
          <w:szCs w:val="24"/>
          <w:lang w:val="en-GB"/>
        </w:rPr>
        <w:t>,</w:t>
      </w:r>
      <w:r w:rsidRPr="00C57CE1">
        <w:rPr>
          <w:rStyle w:val="FootnoteReference"/>
          <w:rFonts w:ascii="Arial" w:hAnsi="Arial" w:cs="Arial"/>
          <w:color w:val="000000" w:themeColor="text1"/>
          <w:kern w:val="0"/>
          <w:szCs w:val="24"/>
          <w:lang w:val="en-GB"/>
        </w:rPr>
        <w:t xml:space="preserve"> </w:t>
      </w:r>
      <w:r w:rsidRPr="0028108F">
        <w:rPr>
          <w:rFonts w:ascii="Arial" w:eastAsiaTheme="minorEastAsia" w:hAnsi="Arial" w:cs="Arial"/>
          <w:color w:val="000000" w:themeColor="text1"/>
          <w:kern w:val="0"/>
          <w:szCs w:val="24"/>
          <w:lang w:val="en-GB"/>
        </w:rPr>
        <w:t>“</w:t>
      </w:r>
      <w:r w:rsidRPr="0028108F">
        <w:rPr>
          <w:rFonts w:ascii="Arial" w:eastAsiaTheme="minorEastAsia" w:hAnsi="Arial" w:cs="Arial"/>
          <w:i/>
          <w:color w:val="000000" w:themeColor="text1"/>
          <w:kern w:val="0"/>
          <w:szCs w:val="24"/>
          <w:lang w:val="en-GB"/>
        </w:rPr>
        <w:t>hormone therapy also often involves side effects, some potentially serious</w:t>
      </w:r>
      <w:r w:rsidRPr="0028108F">
        <w:rPr>
          <w:rFonts w:ascii="Arial" w:eastAsiaTheme="minorEastAsia" w:hAnsi="Arial" w:cs="Arial"/>
          <w:color w:val="000000" w:themeColor="text1"/>
          <w:kern w:val="0"/>
          <w:szCs w:val="24"/>
          <w:lang w:val="en-GB"/>
        </w:rPr>
        <w:t>” and, where there are pre-existing health conditions, “</w:t>
      </w:r>
      <w:r w:rsidRPr="0028108F">
        <w:rPr>
          <w:rFonts w:ascii="Arial" w:eastAsiaTheme="minorEastAsia" w:hAnsi="Arial" w:cs="Arial"/>
          <w:i/>
          <w:color w:val="000000" w:themeColor="text1"/>
          <w:kern w:val="0"/>
          <w:szCs w:val="24"/>
          <w:lang w:val="en-GB"/>
        </w:rPr>
        <w:t>hormone therapy may aggravate the transsexual person’s health problems</w:t>
      </w:r>
      <w:r w:rsidRPr="0028108F">
        <w:rPr>
          <w:rFonts w:ascii="Arial" w:eastAsiaTheme="minorEastAsia" w:hAnsi="Arial" w:cs="Arial"/>
          <w:color w:val="000000" w:themeColor="text1"/>
          <w:kern w:val="0"/>
          <w:szCs w:val="24"/>
          <w:lang w:val="en-GB"/>
        </w:rPr>
        <w:t>.</w:t>
      </w:r>
      <w:r w:rsidR="00BF0226" w:rsidRPr="0028108F">
        <w:rPr>
          <w:rFonts w:ascii="Arial" w:eastAsiaTheme="minorEastAsia" w:hAnsi="Arial" w:cs="Arial"/>
          <w:color w:val="000000" w:themeColor="text1"/>
          <w:kern w:val="0"/>
          <w:szCs w:val="24"/>
          <w:lang w:val="en-GB"/>
        </w:rPr>
        <w:t>”</w:t>
      </w:r>
      <w:r w:rsidR="00BF0226" w:rsidRPr="00181CF2">
        <w:rPr>
          <w:rStyle w:val="FootnoteReference"/>
          <w:rFonts w:ascii="Arial" w:hAnsi="Arial" w:cs="Arial"/>
          <w:color w:val="000000" w:themeColor="text1"/>
          <w:kern w:val="0"/>
          <w:szCs w:val="24"/>
          <w:lang w:val="en-GB"/>
        </w:rPr>
        <w:footnoteReference w:id="515"/>
      </w:r>
      <w:r w:rsidRPr="00181CF2">
        <w:rPr>
          <w:rFonts w:ascii="Arial" w:eastAsiaTheme="minorEastAsia" w:hAnsi="Arial" w:cs="Arial"/>
          <w:color w:val="000000" w:themeColor="text1"/>
          <w:kern w:val="0"/>
          <w:szCs w:val="24"/>
          <w:lang w:val="en-GB"/>
        </w:rPr>
        <w:t xml:space="preserve">  He also note</w:t>
      </w:r>
      <w:r w:rsidR="00901830" w:rsidRPr="0028108F">
        <w:rPr>
          <w:rFonts w:ascii="Arial" w:eastAsiaTheme="minorEastAsia" w:hAnsi="Arial" w:cs="Arial"/>
          <w:color w:val="000000" w:themeColor="text1"/>
          <w:kern w:val="0"/>
          <w:szCs w:val="24"/>
          <w:lang w:val="en-GB"/>
        </w:rPr>
        <w:t>s</w:t>
      </w:r>
      <w:r w:rsidRPr="0028108F">
        <w:rPr>
          <w:rFonts w:ascii="Arial" w:eastAsiaTheme="minorEastAsia" w:hAnsi="Arial" w:cs="Arial"/>
          <w:color w:val="000000" w:themeColor="text1"/>
          <w:kern w:val="0"/>
          <w:szCs w:val="24"/>
          <w:lang w:val="en-GB"/>
        </w:rPr>
        <w:t xml:space="preserve"> that “</w:t>
      </w:r>
      <w:r w:rsidRPr="0028108F">
        <w:rPr>
          <w:rFonts w:ascii="Arial" w:eastAsiaTheme="minorEastAsia" w:hAnsi="Arial" w:cs="Arial"/>
          <w:i/>
          <w:color w:val="000000" w:themeColor="text1"/>
          <w:kern w:val="0"/>
          <w:szCs w:val="24"/>
          <w:lang w:val="en-GB"/>
        </w:rPr>
        <w:t>[s]pecific health histories may rule out the use of certain hormones altogether</w:t>
      </w:r>
      <w:r w:rsidR="00901830" w:rsidRPr="0028108F">
        <w:rPr>
          <w:rFonts w:ascii="Arial" w:eastAsiaTheme="minorEastAsia" w:hAnsi="Arial" w:cs="Arial"/>
          <w:i/>
          <w:color w:val="000000" w:themeColor="text1"/>
          <w:kern w:val="0"/>
          <w:szCs w:val="24"/>
          <w:lang w:val="en-GB"/>
        </w:rPr>
        <w:t>.</w:t>
      </w:r>
      <w:r w:rsidRPr="0028108F">
        <w:rPr>
          <w:rFonts w:ascii="Arial" w:eastAsiaTheme="minorEastAsia" w:hAnsi="Arial" w:cs="Arial"/>
          <w:color w:val="000000" w:themeColor="text1"/>
          <w:kern w:val="0"/>
          <w:szCs w:val="24"/>
          <w:lang w:val="en-GB"/>
        </w:rPr>
        <w:t xml:space="preserve">”  The Hospital Authority in Hong Kong advises that it is important for psychiatrists to communicate to patients that supraphysiologic doses of sex steroids </w:t>
      </w:r>
      <w:r w:rsidR="00901830" w:rsidRPr="0028108F">
        <w:rPr>
          <w:rFonts w:ascii="Arial" w:eastAsiaTheme="minorEastAsia" w:hAnsi="Arial" w:cs="Arial"/>
          <w:color w:val="000000" w:themeColor="text1"/>
          <w:kern w:val="0"/>
          <w:szCs w:val="24"/>
          <w:lang w:val="en-GB"/>
        </w:rPr>
        <w:t>are</w:t>
      </w:r>
      <w:r w:rsidRPr="0028108F">
        <w:rPr>
          <w:rFonts w:ascii="Arial" w:eastAsiaTheme="minorEastAsia" w:hAnsi="Arial" w:cs="Arial"/>
          <w:color w:val="000000" w:themeColor="text1"/>
          <w:kern w:val="0"/>
          <w:szCs w:val="24"/>
          <w:lang w:val="en-GB"/>
        </w:rPr>
        <w:t xml:space="preserve"> potentially harmful.  For example, giving male hormone treatment may increase overall cardiovascular risk like dyslipidemia and increase in red cell count; while </w:t>
      </w:r>
      <w:r w:rsidR="00901830" w:rsidRPr="0028108F">
        <w:rPr>
          <w:rFonts w:ascii="Arial" w:eastAsiaTheme="minorEastAsia" w:hAnsi="Arial" w:cs="Arial"/>
          <w:color w:val="000000" w:themeColor="text1"/>
          <w:kern w:val="0"/>
          <w:szCs w:val="24"/>
          <w:lang w:val="en-GB"/>
        </w:rPr>
        <w:t xml:space="preserve">receiving </w:t>
      </w:r>
      <w:r w:rsidRPr="0028108F">
        <w:rPr>
          <w:rFonts w:ascii="Arial" w:eastAsiaTheme="minorEastAsia" w:hAnsi="Arial" w:cs="Arial"/>
          <w:color w:val="000000" w:themeColor="text1"/>
          <w:kern w:val="0"/>
          <w:szCs w:val="24"/>
          <w:lang w:val="en-GB"/>
        </w:rPr>
        <w:t>female hormone may increase the risk of deep vein thrombosis.</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color w:val="000000" w:themeColor="text1"/>
          <w:kern w:val="0"/>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color w:val="000000" w:themeColor="text1"/>
          <w:kern w:val="0"/>
          <w:szCs w:val="24"/>
          <w:lang w:val="en-GB"/>
        </w:rPr>
      </w:pPr>
      <w:r w:rsidRPr="0028108F">
        <w:rPr>
          <w:rFonts w:ascii="Arial" w:eastAsiaTheme="minorEastAsia" w:hAnsi="Arial" w:cs="Arial"/>
          <w:color w:val="000000" w:themeColor="text1"/>
          <w:kern w:val="0"/>
          <w:szCs w:val="24"/>
          <w:lang w:val="en-GB"/>
        </w:rPr>
        <w:t xml:space="preserve">Some of these side effects, aggravating effects and contraindications are summarised in </w:t>
      </w:r>
      <w:r w:rsidR="000D2223" w:rsidRPr="0028108F">
        <w:rPr>
          <w:rFonts w:ascii="Arial" w:eastAsiaTheme="minorEastAsia" w:hAnsi="Arial" w:cs="Arial"/>
          <w:color w:val="000000" w:themeColor="text1"/>
          <w:kern w:val="0"/>
          <w:szCs w:val="24"/>
          <w:lang w:val="en-GB"/>
        </w:rPr>
        <w:t xml:space="preserve">the </w:t>
      </w:r>
      <w:r w:rsidRPr="0028108F">
        <w:rPr>
          <w:rFonts w:ascii="Arial" w:eastAsiaTheme="minorEastAsia" w:hAnsi="Arial" w:cs="Arial"/>
          <w:color w:val="000000" w:themeColor="text1"/>
          <w:kern w:val="0"/>
          <w:szCs w:val="24"/>
          <w:lang w:val="en-GB"/>
        </w:rPr>
        <w:t xml:space="preserve">WPATH’s </w:t>
      </w:r>
      <w:r w:rsidRPr="0028108F">
        <w:rPr>
          <w:rFonts w:ascii="Arial" w:eastAsiaTheme="minorEastAsia" w:hAnsi="Arial" w:cs="Arial"/>
          <w:i/>
          <w:color w:val="000000" w:themeColor="text1"/>
          <w:kern w:val="0"/>
          <w:szCs w:val="24"/>
          <w:lang w:val="en-GB"/>
        </w:rPr>
        <w:t>Standards of Care</w:t>
      </w:r>
      <w:r w:rsidRPr="00181CF2">
        <w:rPr>
          <w:rFonts w:ascii="Arial" w:eastAsiaTheme="minorEastAsia" w:hAnsi="Arial" w:cs="Arial"/>
          <w:color w:val="000000" w:themeColor="text1"/>
          <w:kern w:val="0"/>
          <w:szCs w:val="24"/>
          <w:lang w:val="en-GB"/>
        </w:rPr>
        <w:t>.</w:t>
      </w:r>
      <w:r w:rsidRPr="00181CF2">
        <w:rPr>
          <w:rFonts w:ascii="Arial" w:eastAsiaTheme="minorEastAsia" w:hAnsi="Arial" w:cs="Arial"/>
          <w:color w:val="000000" w:themeColor="text1"/>
          <w:szCs w:val="24"/>
          <w:vertAlign w:val="superscript"/>
          <w:lang w:val="en-GB"/>
        </w:rPr>
        <w:footnoteReference w:id="516"/>
      </w:r>
      <w:r w:rsidRPr="00C86D21">
        <w:rPr>
          <w:rFonts w:ascii="Arial" w:eastAsiaTheme="minorEastAsia" w:hAnsi="Arial" w:cs="Arial"/>
          <w:color w:val="000000" w:themeColor="text1"/>
          <w:kern w:val="0"/>
          <w:szCs w:val="24"/>
          <w:lang w:val="en-GB"/>
        </w:rPr>
        <w:t xml:space="preserve">  </w:t>
      </w:r>
      <w:r w:rsidR="00C86D21" w:rsidRPr="008813DE">
        <w:rPr>
          <w:rFonts w:ascii="Arial" w:hAnsi="Arial" w:cs="Arial"/>
          <w:szCs w:val="24"/>
        </w:rPr>
        <w:t xml:space="preserve">In their view, the likelihood of a serious adverse event is dependent on numerous factors: the medication itself, dose, route of administration, and a patient’s clinical characteristics (age, comorbidities, family history, health habits).  It is impossible to predict whether a given adverse effect will happen in an individual patient.  </w:t>
      </w:r>
      <w:r w:rsidRPr="0028108F">
        <w:rPr>
          <w:rFonts w:ascii="Arial" w:eastAsiaTheme="minorEastAsia" w:hAnsi="Arial" w:cs="Arial"/>
          <w:color w:val="000000" w:themeColor="text1"/>
          <w:kern w:val="0"/>
          <w:szCs w:val="24"/>
          <w:lang w:val="en-GB"/>
        </w:rPr>
        <w:t xml:space="preserve">Dr Winter </w:t>
      </w:r>
      <w:r w:rsidR="00901830" w:rsidRPr="0028108F">
        <w:rPr>
          <w:rFonts w:ascii="Arial" w:eastAsiaTheme="minorEastAsia" w:hAnsi="Arial" w:cs="Arial"/>
          <w:color w:val="000000" w:themeColor="text1"/>
          <w:kern w:val="0"/>
          <w:szCs w:val="24"/>
          <w:lang w:val="en-GB"/>
        </w:rPr>
        <w:t xml:space="preserve">has </w:t>
      </w:r>
      <w:r w:rsidRPr="0028108F">
        <w:rPr>
          <w:rFonts w:ascii="Arial" w:eastAsiaTheme="minorEastAsia" w:hAnsi="Arial" w:cs="Arial"/>
          <w:color w:val="000000" w:themeColor="text1"/>
          <w:kern w:val="0"/>
          <w:szCs w:val="24"/>
          <w:lang w:val="en-GB"/>
        </w:rPr>
        <w:t>observed</w:t>
      </w:r>
      <w:r w:rsidR="00BF0226" w:rsidRPr="0028108F">
        <w:rPr>
          <w:rFonts w:ascii="Arial" w:eastAsiaTheme="minorEastAsia" w:hAnsi="Arial" w:cs="Arial"/>
          <w:color w:val="000000" w:themeColor="text1"/>
          <w:kern w:val="0"/>
          <w:szCs w:val="24"/>
          <w:lang w:val="en-GB"/>
        </w:rPr>
        <w:t xml:space="preserve"> that </w:t>
      </w:r>
      <w:r w:rsidRPr="0028108F">
        <w:rPr>
          <w:rFonts w:ascii="Arial" w:eastAsiaTheme="minorEastAsia" w:hAnsi="Arial" w:cs="Arial"/>
          <w:color w:val="000000" w:themeColor="text1"/>
          <w:kern w:val="0"/>
          <w:szCs w:val="24"/>
          <w:lang w:val="en-GB"/>
        </w:rPr>
        <w:t xml:space="preserve">patients </w:t>
      </w:r>
      <w:r w:rsidR="00901830" w:rsidRPr="0028108F">
        <w:rPr>
          <w:rFonts w:ascii="Arial" w:eastAsiaTheme="minorEastAsia" w:hAnsi="Arial" w:cs="Arial"/>
          <w:color w:val="000000" w:themeColor="text1"/>
          <w:kern w:val="0"/>
          <w:szCs w:val="24"/>
          <w:lang w:val="en-GB"/>
        </w:rPr>
        <w:t>sh</w:t>
      </w:r>
      <w:r w:rsidRPr="0028108F">
        <w:rPr>
          <w:rFonts w:ascii="Arial" w:eastAsiaTheme="minorEastAsia" w:hAnsi="Arial" w:cs="Arial"/>
          <w:color w:val="000000" w:themeColor="text1"/>
          <w:kern w:val="0"/>
          <w:szCs w:val="24"/>
          <w:lang w:val="en-GB"/>
        </w:rPr>
        <w:t>ould be very careful in considering whether or not to undergo hormonal treatment, taking into account all the side effects.</w:t>
      </w:r>
      <w:r w:rsidRPr="00181CF2">
        <w:rPr>
          <w:rStyle w:val="FootnoteReference"/>
          <w:rFonts w:ascii="Arial" w:hAnsi="Arial" w:cs="Arial"/>
          <w:color w:val="000000" w:themeColor="text1"/>
          <w:kern w:val="0"/>
          <w:szCs w:val="24"/>
          <w:lang w:val="en-GB"/>
        </w:rPr>
        <w:footnoteReference w:id="517"/>
      </w:r>
    </w:p>
    <w:p w:rsidR="00E773F6" w:rsidRPr="00C57CE1" w:rsidRDefault="00E773F6" w:rsidP="008813DE">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color w:val="000000" w:themeColor="text1"/>
          <w:kern w:val="0"/>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color w:val="000000" w:themeColor="text1"/>
          <w:kern w:val="0"/>
          <w:szCs w:val="24"/>
          <w:lang w:val="en-GB"/>
        </w:rPr>
      </w:pPr>
      <w:r w:rsidRPr="0028108F">
        <w:rPr>
          <w:rFonts w:ascii="Arial" w:eastAsiaTheme="minorEastAsia" w:hAnsi="Arial" w:cs="Arial"/>
          <w:color w:val="000000" w:themeColor="text1"/>
          <w:kern w:val="0"/>
          <w:szCs w:val="24"/>
          <w:lang w:val="en-GB"/>
        </w:rPr>
        <w:t xml:space="preserve">In light of the above observations, some might contend that making hormonal treatment a mandatory requirement for gender recognition is impracticable and unnecessary.  </w:t>
      </w:r>
      <w:r w:rsidR="009467A9" w:rsidRPr="0028108F">
        <w:rPr>
          <w:rFonts w:ascii="Arial" w:eastAsiaTheme="minorEastAsia" w:hAnsi="Arial" w:cs="Arial"/>
          <w:color w:val="000000" w:themeColor="text1"/>
          <w:kern w:val="0"/>
          <w:szCs w:val="24"/>
          <w:lang w:val="en-GB"/>
        </w:rPr>
        <w:t xml:space="preserve">Dr </w:t>
      </w:r>
      <w:r w:rsidRPr="0028108F">
        <w:rPr>
          <w:rFonts w:ascii="Arial" w:eastAsiaTheme="minorEastAsia" w:hAnsi="Arial" w:cs="Arial"/>
          <w:color w:val="000000" w:themeColor="text1"/>
          <w:kern w:val="0"/>
          <w:szCs w:val="24"/>
          <w:lang w:val="en-GB"/>
        </w:rPr>
        <w:t>Scherpe argues that any requirement of unwanted medical intervention in order to obtain recognition of preferred gender is a violation of the fundamental human rights of the persons concerned, particularly their right to physical integrity and private autonomy.</w:t>
      </w:r>
      <w:r w:rsidRPr="00181CF2">
        <w:rPr>
          <w:rStyle w:val="FootnoteReference"/>
          <w:rFonts w:ascii="Arial" w:hAnsi="Arial" w:cs="Arial"/>
          <w:color w:val="000000" w:themeColor="text1"/>
          <w:kern w:val="0"/>
          <w:lang w:val="en-GB"/>
        </w:rPr>
        <w:footnoteReference w:id="518"/>
      </w:r>
    </w:p>
    <w:p w:rsidR="000D2223" w:rsidRPr="00C57CE1" w:rsidRDefault="000D2223" w:rsidP="00E773F6">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 w:val="28"/>
          <w:szCs w:val="28"/>
          <w:lang w:val="en-GB"/>
        </w:rPr>
      </w:pPr>
    </w:p>
    <w:p w:rsidR="006E5A2C" w:rsidRPr="0028108F" w:rsidRDefault="006E5A2C" w:rsidP="00E773F6">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 w:val="28"/>
          <w:szCs w:val="28"/>
          <w:lang w:val="en-GB"/>
        </w:rPr>
      </w:pPr>
    </w:p>
    <w:p w:rsidR="000D2223" w:rsidRPr="0028108F" w:rsidRDefault="000D2223" w:rsidP="0028108F">
      <w:pPr>
        <w:jc w:val="both"/>
        <w:rPr>
          <w:rFonts w:ascii="Arial" w:hAnsi="Arial" w:cs="Arial"/>
          <w:b/>
          <w:sz w:val="28"/>
          <w:szCs w:val="28"/>
          <w:lang w:val="en-GB"/>
        </w:rPr>
      </w:pPr>
      <w:r w:rsidRPr="0028108F">
        <w:rPr>
          <w:rFonts w:ascii="Arial" w:hAnsi="Arial" w:cs="Arial"/>
          <w:b/>
          <w:sz w:val="28"/>
          <w:szCs w:val="28"/>
          <w:lang w:val="en-GB"/>
        </w:rPr>
        <w:t>Issue for consultation</w:t>
      </w:r>
      <w:r w:rsidR="006E5A2C" w:rsidRPr="00181CF2">
        <w:rPr>
          <w:rFonts w:ascii="Arial" w:hAnsi="Arial" w:cs="Arial"/>
          <w:b/>
          <w:sz w:val="28"/>
          <w:szCs w:val="28"/>
          <w:lang w:val="en-GB"/>
        </w:rPr>
        <w:t xml:space="preserve"> on requirement</w:t>
      </w:r>
      <w:r w:rsidR="00BD3882" w:rsidRPr="00C57CE1">
        <w:rPr>
          <w:rFonts w:ascii="Arial" w:hAnsi="Arial" w:cs="Arial"/>
          <w:b/>
          <w:sz w:val="28"/>
          <w:szCs w:val="28"/>
          <w:lang w:val="en-GB"/>
        </w:rPr>
        <w:t>(s)</w:t>
      </w:r>
      <w:r w:rsidR="006E5A2C" w:rsidRPr="0028108F">
        <w:rPr>
          <w:rFonts w:ascii="Arial" w:hAnsi="Arial" w:cs="Arial"/>
          <w:b/>
          <w:sz w:val="28"/>
          <w:szCs w:val="28"/>
          <w:lang w:val="en-GB"/>
        </w:rPr>
        <w:t xml:space="preserve"> of hormonal treatment</w:t>
      </w:r>
      <w:r w:rsidR="00BD3882" w:rsidRPr="0028108F">
        <w:rPr>
          <w:rFonts w:ascii="Arial" w:hAnsi="Arial" w:cs="Arial"/>
          <w:b/>
          <w:sz w:val="28"/>
          <w:szCs w:val="28"/>
          <w:lang w:val="en-GB"/>
        </w:rPr>
        <w:t xml:space="preserve"> and psychotherapy</w:t>
      </w:r>
    </w:p>
    <w:p w:rsidR="000D2223" w:rsidRPr="00181CF2" w:rsidRDefault="000D2223" w:rsidP="000D2223">
      <w:pPr>
        <w:rPr>
          <w:rFonts w:ascii="Arial" w:hAnsi="Arial" w:cs="Arial"/>
          <w:color w:val="000000" w:themeColor="text1"/>
          <w:szCs w:val="24"/>
          <w:lang w:val="en-GB"/>
        </w:rPr>
      </w:pPr>
    </w:p>
    <w:p w:rsidR="000D2223" w:rsidRPr="0028108F" w:rsidRDefault="000D2223" w:rsidP="000D2223">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C57CE1">
        <w:rPr>
          <w:rFonts w:ascii="Arial" w:hAnsi="Arial" w:cs="Arial"/>
          <w:szCs w:val="24"/>
          <w:lang w:val="en-GB"/>
        </w:rPr>
        <w:t xml:space="preserve">In view of the discussion in </w:t>
      </w:r>
      <w:r w:rsidRPr="0028108F">
        <w:rPr>
          <w:rFonts w:ascii="Arial" w:hAnsi="Arial" w:cs="Arial"/>
          <w:szCs w:val="24"/>
          <w:lang w:val="en-GB"/>
        </w:rPr>
        <w:t xml:space="preserve">paragraphs </w:t>
      </w:r>
      <w:r w:rsidRPr="008813DE">
        <w:rPr>
          <w:rFonts w:ascii="Arial" w:hAnsi="Arial" w:cs="Arial"/>
          <w:szCs w:val="24"/>
          <w:lang w:val="en-GB"/>
        </w:rPr>
        <w:t>6.2</w:t>
      </w:r>
      <w:r w:rsidR="00254D9F">
        <w:rPr>
          <w:rFonts w:ascii="Arial" w:hAnsi="Arial" w:cs="Arial"/>
          <w:szCs w:val="24"/>
          <w:lang w:val="en-GB"/>
        </w:rPr>
        <w:t>6</w:t>
      </w:r>
      <w:r w:rsidRPr="008813DE">
        <w:rPr>
          <w:rFonts w:ascii="Arial" w:hAnsi="Arial" w:cs="Arial"/>
          <w:szCs w:val="24"/>
          <w:lang w:val="en-GB"/>
        </w:rPr>
        <w:t xml:space="preserve"> to 6.3</w:t>
      </w:r>
      <w:r w:rsidR="00737302" w:rsidRPr="008813DE">
        <w:rPr>
          <w:rFonts w:ascii="Arial" w:hAnsi="Arial" w:cs="Arial"/>
          <w:szCs w:val="24"/>
          <w:lang w:val="en-GB"/>
        </w:rPr>
        <w:t>2</w:t>
      </w:r>
      <w:r w:rsidRPr="0028108F">
        <w:rPr>
          <w:rFonts w:ascii="Arial" w:hAnsi="Arial" w:cs="Arial"/>
          <w:szCs w:val="24"/>
          <w:lang w:val="en-GB"/>
        </w:rPr>
        <w:t xml:space="preserve"> above, we </w:t>
      </w:r>
      <w:r w:rsidR="005E6528">
        <w:rPr>
          <w:rFonts w:ascii="Arial" w:hAnsi="Arial" w:cs="Arial"/>
          <w:szCs w:val="24"/>
          <w:lang w:val="en-GB"/>
        </w:rPr>
        <w:t>invite</w:t>
      </w:r>
      <w:r w:rsidRPr="0028108F">
        <w:rPr>
          <w:rFonts w:ascii="Arial" w:hAnsi="Arial" w:cs="Arial"/>
          <w:szCs w:val="24"/>
          <w:lang w:val="en-GB"/>
        </w:rPr>
        <w:t xml:space="preserve"> views from the public on having a requirement of hormonal treatment for gender recognition and relat</w:t>
      </w:r>
      <w:r w:rsidR="00F27B5A" w:rsidRPr="0028108F">
        <w:rPr>
          <w:rFonts w:ascii="Arial" w:hAnsi="Arial" w:cs="Arial"/>
          <w:szCs w:val="24"/>
          <w:lang w:val="en-GB"/>
        </w:rPr>
        <w:t>ed</w:t>
      </w:r>
      <w:r w:rsidRPr="0028108F">
        <w:rPr>
          <w:rFonts w:ascii="Arial" w:hAnsi="Arial" w:cs="Arial"/>
          <w:szCs w:val="24"/>
          <w:lang w:val="en-GB"/>
        </w:rPr>
        <w:t xml:space="preserve"> issues.</w:t>
      </w:r>
    </w:p>
    <w:p w:rsidR="001A4235" w:rsidRPr="0028108F" w:rsidRDefault="001A4235"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A4235" w:rsidRPr="0028108F" w:rsidRDefault="006A5A97" w:rsidP="0028108F">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We understand </w:t>
      </w:r>
      <w:r w:rsidR="00F27B5A" w:rsidRPr="0028108F">
        <w:rPr>
          <w:rFonts w:ascii="Arial" w:hAnsi="Arial" w:cs="Arial"/>
          <w:szCs w:val="24"/>
          <w:lang w:val="en-GB"/>
        </w:rPr>
        <w:t xml:space="preserve">also </w:t>
      </w:r>
      <w:r w:rsidRPr="0028108F">
        <w:rPr>
          <w:rFonts w:ascii="Arial" w:hAnsi="Arial" w:cs="Arial"/>
          <w:szCs w:val="24"/>
          <w:lang w:val="en-GB"/>
        </w:rPr>
        <w:t xml:space="preserve">that psychotherapy is considered as a mainstay of care for adult patients diagnosed with gender dysphoria or gender identity disorder (see discussion at paragraph </w:t>
      </w:r>
      <w:r w:rsidRPr="008813DE">
        <w:rPr>
          <w:rFonts w:ascii="Arial" w:hAnsi="Arial" w:cs="Arial"/>
          <w:szCs w:val="24"/>
          <w:lang w:val="en-GB"/>
        </w:rPr>
        <w:t>5.</w:t>
      </w:r>
      <w:r w:rsidR="00F2673E" w:rsidRPr="00F2673E">
        <w:rPr>
          <w:rFonts w:ascii="Arial" w:hAnsi="Arial" w:cs="Arial"/>
          <w:szCs w:val="24"/>
          <w:lang w:val="en-GB"/>
        </w:rPr>
        <w:t>11</w:t>
      </w:r>
      <w:r w:rsidRPr="0028108F">
        <w:rPr>
          <w:rFonts w:ascii="Arial" w:hAnsi="Arial" w:cs="Arial"/>
          <w:szCs w:val="24"/>
          <w:lang w:val="en-GB"/>
        </w:rPr>
        <w:t xml:space="preserve"> above).  </w:t>
      </w:r>
      <w:r w:rsidR="00F27B5A" w:rsidRPr="0028108F">
        <w:rPr>
          <w:rFonts w:ascii="Arial" w:hAnsi="Arial" w:cs="Arial"/>
          <w:szCs w:val="24"/>
          <w:lang w:val="en-GB"/>
        </w:rPr>
        <w:t xml:space="preserve">While we have not elaborated in this Consultation Paper on arguments in support or against requirements for this type of treatment should a gender recognition scheme be introduced in Hong Kong, we would </w:t>
      </w:r>
      <w:r w:rsidR="005E6528">
        <w:rPr>
          <w:rFonts w:ascii="Arial" w:hAnsi="Arial" w:cs="Arial"/>
          <w:szCs w:val="24"/>
          <w:lang w:val="en-GB"/>
        </w:rPr>
        <w:t>invite</w:t>
      </w:r>
      <w:r w:rsidR="00F27B5A" w:rsidRPr="0028108F">
        <w:rPr>
          <w:rFonts w:ascii="Arial" w:hAnsi="Arial" w:cs="Arial"/>
          <w:szCs w:val="24"/>
          <w:lang w:val="en-GB"/>
        </w:rPr>
        <w:t xml:space="preserve"> views on this</w:t>
      </w:r>
      <w:r w:rsidR="00E712D3" w:rsidRPr="0028108F">
        <w:rPr>
          <w:rFonts w:ascii="Arial" w:hAnsi="Arial" w:cs="Arial"/>
          <w:szCs w:val="24"/>
          <w:lang w:val="en-GB"/>
        </w:rPr>
        <w:t xml:space="preserve"> also</w:t>
      </w:r>
      <w:r w:rsidR="00F27B5A" w:rsidRPr="0028108F">
        <w:rPr>
          <w:rFonts w:ascii="Arial" w:hAnsi="Arial" w:cs="Arial"/>
          <w:szCs w:val="24"/>
          <w:lang w:val="en-GB"/>
        </w:rPr>
        <w:t>.</w:t>
      </w:r>
      <w:r w:rsidR="001A4235" w:rsidRPr="0028108F">
        <w:rPr>
          <w:rFonts w:ascii="Arial" w:hAnsi="Arial" w:cs="Arial"/>
          <w:szCs w:val="24"/>
          <w:lang w:val="en-GB"/>
        </w:rPr>
        <w:t xml:space="preserve"> </w:t>
      </w:r>
    </w:p>
    <w:p w:rsidR="006E5A2C" w:rsidRPr="0028108F" w:rsidRDefault="006E5A2C" w:rsidP="000D2223">
      <w:pPr>
        <w:pStyle w:val="ListParagraph"/>
        <w:tabs>
          <w:tab w:val="left" w:pos="1418"/>
          <w:tab w:val="left" w:pos="2552"/>
        </w:tabs>
        <w:adjustRightInd w:val="0"/>
        <w:snapToGrid w:val="0"/>
        <w:ind w:leftChars="0" w:left="0"/>
        <w:jc w:val="both"/>
        <w:rPr>
          <w:rFonts w:ascii="Arial" w:hAnsi="Arial" w:cs="Arial"/>
          <w:szCs w:val="24"/>
          <w:lang w:val="en-GB"/>
        </w:rPr>
      </w:pPr>
    </w:p>
    <w:p w:rsidR="000D2223" w:rsidRPr="0028108F" w:rsidRDefault="000D2223" w:rsidP="000D2223">
      <w:pPr>
        <w:pBdr>
          <w:top w:val="single" w:sz="4" w:space="8" w:color="auto"/>
          <w:left w:val="single" w:sz="4" w:space="8" w:color="auto"/>
          <w:bottom w:val="single" w:sz="4" w:space="8" w:color="auto"/>
          <w:right w:val="single" w:sz="4" w:space="8" w:color="auto"/>
        </w:pBdr>
        <w:snapToGrid w:val="0"/>
        <w:ind w:left="720" w:right="720"/>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E660F4"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 xml:space="preserve">onsultation </w:t>
      </w:r>
      <w:r w:rsidR="00E660F4" w:rsidRPr="008813DE">
        <w:rPr>
          <w:rFonts w:ascii="Arial" w:hAnsi="Arial" w:cs="Arial"/>
          <w:b/>
          <w:color w:val="000000" w:themeColor="text1"/>
          <w:szCs w:val="24"/>
          <w:u w:val="single"/>
          <w:lang w:val="en-GB"/>
        </w:rPr>
        <w:t>4</w:t>
      </w:r>
      <w:r w:rsidRPr="00181CF2">
        <w:rPr>
          <w:rFonts w:ascii="Arial" w:hAnsi="Arial" w:cs="Arial"/>
          <w:b/>
          <w:color w:val="000000" w:themeColor="text1"/>
          <w:szCs w:val="24"/>
          <w:lang w:val="en-GB"/>
        </w:rPr>
        <w:t>:</w:t>
      </w:r>
    </w:p>
    <w:p w:rsidR="000D2223" w:rsidRPr="0028108F" w:rsidRDefault="000D2223" w:rsidP="000D2223">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28108F">
        <w:rPr>
          <w:rFonts w:ascii="Arial" w:hAnsi="Arial" w:cs="Arial"/>
          <w:b/>
          <w:color w:val="000000" w:themeColor="text1"/>
          <w:szCs w:val="24"/>
          <w:lang w:val="en-GB"/>
        </w:rPr>
        <w:t xml:space="preserve"> views from the public on</w:t>
      </w:r>
      <w:r w:rsidR="00E660F4" w:rsidRPr="0028108F">
        <w:rPr>
          <w:rFonts w:ascii="Arial" w:hAnsi="Arial" w:cs="Arial"/>
          <w:b/>
          <w:color w:val="000000" w:themeColor="text1"/>
          <w:szCs w:val="24"/>
          <w:lang w:val="en-GB"/>
        </w:rPr>
        <w:t xml:space="preserve"> the following matters.</w:t>
      </w:r>
    </w:p>
    <w:p w:rsidR="000D2223" w:rsidRPr="0028108F" w:rsidRDefault="000D2223" w:rsidP="000D2223">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0D2223" w:rsidRPr="0028108F" w:rsidRDefault="000D2223" w:rsidP="00C03887">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E660F4"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 whether there should be a requirement for hormonal treatment and/or other medical treatment(s) (eg</w:t>
      </w:r>
      <w:r w:rsidR="00E660F4"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 xml:space="preserve"> psychotherapy) for gender recognition, and why.</w:t>
      </w:r>
    </w:p>
    <w:p w:rsidR="000D2223" w:rsidRPr="0028108F" w:rsidRDefault="000D2223" w:rsidP="000D2223">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0D2223" w:rsidRPr="0028108F" w:rsidRDefault="000D2223" w:rsidP="000D2223">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E660F4"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f the answer to sub-paragraph (1) is “yes”, </w:t>
      </w:r>
    </w:p>
    <w:p w:rsidR="000D2223" w:rsidRPr="0028108F" w:rsidRDefault="000D2223" w:rsidP="000D2223">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0D2223" w:rsidRPr="0028108F" w:rsidRDefault="00C03887"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t>(a)</w:t>
      </w:r>
      <w:r w:rsidRPr="00181CF2">
        <w:rPr>
          <w:rFonts w:ascii="Arial" w:hAnsi="Arial" w:cs="Arial"/>
          <w:b/>
          <w:color w:val="000000" w:themeColor="text1"/>
          <w:szCs w:val="24"/>
          <w:lang w:val="en-GB"/>
        </w:rPr>
        <w:tab/>
      </w:r>
      <w:r w:rsidR="000D2223" w:rsidRPr="00C57CE1">
        <w:rPr>
          <w:rFonts w:ascii="Arial" w:hAnsi="Arial" w:cs="Arial"/>
          <w:b/>
          <w:color w:val="000000" w:themeColor="text1"/>
          <w:szCs w:val="24"/>
          <w:lang w:val="en-GB"/>
        </w:rPr>
        <w:t xml:space="preserve">what kind of treatment(s) should be required and/or what effect </w:t>
      </w:r>
      <w:r w:rsidR="00BF0226" w:rsidRPr="0028108F">
        <w:rPr>
          <w:rFonts w:ascii="Arial" w:hAnsi="Arial" w:cs="Arial"/>
          <w:b/>
          <w:color w:val="000000" w:themeColor="text1"/>
          <w:szCs w:val="24"/>
          <w:lang w:val="en-GB"/>
        </w:rPr>
        <w:t xml:space="preserve">should </w:t>
      </w:r>
      <w:r w:rsidR="000D2223" w:rsidRPr="00181CF2">
        <w:rPr>
          <w:rFonts w:ascii="Arial" w:hAnsi="Arial" w:cs="Arial"/>
          <w:b/>
          <w:color w:val="000000" w:themeColor="text1"/>
          <w:szCs w:val="24"/>
          <w:lang w:val="en-GB"/>
        </w:rPr>
        <w:t>the treatment(s)</w:t>
      </w:r>
      <w:r w:rsidR="00BF0226" w:rsidRPr="00C57CE1">
        <w:rPr>
          <w:rFonts w:ascii="Arial" w:hAnsi="Arial" w:cs="Arial"/>
          <w:b/>
          <w:color w:val="000000" w:themeColor="text1"/>
          <w:szCs w:val="24"/>
          <w:lang w:val="en-GB"/>
        </w:rPr>
        <w:t xml:space="preserve"> </w:t>
      </w:r>
      <w:r w:rsidR="000D2223" w:rsidRPr="0028108F">
        <w:rPr>
          <w:rFonts w:ascii="Arial" w:hAnsi="Arial" w:cs="Arial"/>
          <w:b/>
          <w:color w:val="000000" w:themeColor="text1"/>
          <w:szCs w:val="24"/>
          <w:lang w:val="en-GB"/>
        </w:rPr>
        <w:t>achieve; and</w:t>
      </w:r>
    </w:p>
    <w:p w:rsidR="000D2223" w:rsidRPr="0028108F" w:rsidRDefault="000D2223">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E660F4" w:rsidRPr="0028108F" w:rsidRDefault="000D2223" w:rsidP="00C03887">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t>(b)</w:t>
      </w:r>
      <w:r w:rsidRPr="0028108F">
        <w:rPr>
          <w:rFonts w:ascii="Arial" w:hAnsi="Arial" w:cs="Arial"/>
          <w:b/>
          <w:color w:val="000000" w:themeColor="text1"/>
          <w:szCs w:val="24"/>
          <w:lang w:val="en-GB"/>
        </w:rPr>
        <w:tab/>
      </w:r>
      <w:r w:rsidR="00E660F4" w:rsidRPr="0028108F">
        <w:rPr>
          <w:rFonts w:ascii="Arial" w:hAnsi="Arial" w:cs="Arial"/>
          <w:b/>
          <w:color w:val="000000" w:themeColor="text1"/>
          <w:szCs w:val="24"/>
          <w:lang w:val="en-GB"/>
        </w:rPr>
        <w:t>w</w:t>
      </w:r>
      <w:r w:rsidRPr="0028108F">
        <w:rPr>
          <w:rFonts w:ascii="Arial" w:hAnsi="Arial" w:cs="Arial"/>
          <w:b/>
          <w:color w:val="000000" w:themeColor="text1"/>
          <w:szCs w:val="24"/>
          <w:lang w:val="en-GB"/>
        </w:rPr>
        <w:t xml:space="preserve">hat kind of evidence </w:t>
      </w:r>
      <w:r w:rsidR="00BC2CF8" w:rsidRPr="0028108F">
        <w:rPr>
          <w:rFonts w:ascii="Arial" w:hAnsi="Arial" w:cs="Arial"/>
          <w:b/>
          <w:color w:val="000000" w:themeColor="text1"/>
          <w:szCs w:val="24"/>
          <w:lang w:val="en-GB"/>
        </w:rPr>
        <w:t xml:space="preserve">should </w:t>
      </w:r>
      <w:r w:rsidRPr="0028108F">
        <w:rPr>
          <w:rFonts w:ascii="Arial" w:hAnsi="Arial" w:cs="Arial"/>
          <w:b/>
          <w:color w:val="000000" w:themeColor="text1"/>
          <w:szCs w:val="24"/>
          <w:lang w:val="en-GB"/>
        </w:rPr>
        <w:t>an applicant for gender recognition</w:t>
      </w:r>
      <w:r w:rsidR="00BC2CF8" w:rsidRPr="0028108F">
        <w:rPr>
          <w:rFonts w:ascii="Arial" w:hAnsi="Arial" w:cs="Arial"/>
          <w:b/>
          <w:color w:val="000000" w:themeColor="text1"/>
          <w:szCs w:val="24"/>
          <w:lang w:val="en-GB"/>
        </w:rPr>
        <w:t xml:space="preserve"> provide on this</w:t>
      </w:r>
      <w:r w:rsidRPr="0028108F">
        <w:rPr>
          <w:rFonts w:ascii="Arial" w:hAnsi="Arial" w:cs="Arial"/>
          <w:b/>
          <w:color w:val="000000" w:themeColor="text1"/>
          <w:szCs w:val="24"/>
          <w:lang w:val="en-GB"/>
        </w:rPr>
        <w: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 xml:space="preserve">Requirement of SRS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SRS </w:t>
      </w:r>
      <w:r w:rsidR="007132B7" w:rsidRPr="0028108F">
        <w:rPr>
          <w:rFonts w:ascii="Arial" w:hAnsi="Arial" w:cs="Arial"/>
          <w:szCs w:val="24"/>
          <w:lang w:val="en-GB"/>
        </w:rPr>
        <w:t xml:space="preserve">(ie, sex reassignment surgery, sometimes also referred to as “GRS” (gender reassignment surgery)) </w:t>
      </w:r>
      <w:r w:rsidRPr="0028108F">
        <w:rPr>
          <w:rFonts w:ascii="Arial" w:hAnsi="Arial" w:cs="Arial"/>
          <w:szCs w:val="24"/>
          <w:lang w:val="en-GB"/>
        </w:rPr>
        <w:t xml:space="preserve">generally refers to the surgical treatment undertaken by transsexual or transgender persons, usually with the effect of reconstructing and/or reassigning a person’s body into </w:t>
      </w:r>
      <w:r w:rsidR="00901830" w:rsidRPr="0028108F">
        <w:rPr>
          <w:rFonts w:ascii="Arial" w:hAnsi="Arial" w:cs="Arial"/>
          <w:szCs w:val="24"/>
          <w:lang w:val="en-GB"/>
        </w:rPr>
        <w:t xml:space="preserve">the gender </w:t>
      </w:r>
      <w:r w:rsidRPr="0028108F">
        <w:rPr>
          <w:rFonts w:ascii="Arial" w:hAnsi="Arial" w:cs="Arial"/>
          <w:szCs w:val="24"/>
          <w:lang w:val="en-GB"/>
        </w:rPr>
        <w:t>which they desire or prefer</w:t>
      </w:r>
      <w:r w:rsidRPr="0028108F">
        <w:rPr>
          <w:rFonts w:ascii="Arial" w:hAnsi="Arial" w:cs="Arial"/>
          <w:color w:val="000000" w:themeColor="text1"/>
          <w:szCs w:val="24"/>
          <w:lang w:val="en-GB"/>
        </w:rPr>
        <w:t xml:space="preserve">.  The extent of SRS may vary for different </w:t>
      </w:r>
      <w:r w:rsidR="00D45D3C" w:rsidRPr="0028108F">
        <w:rPr>
          <w:rFonts w:ascii="Arial" w:hAnsi="Arial" w:cs="Arial"/>
          <w:color w:val="000000" w:themeColor="text1"/>
          <w:szCs w:val="24"/>
          <w:lang w:val="en-GB"/>
        </w:rPr>
        <w:t>individual</w:t>
      </w:r>
      <w:r w:rsidRPr="0028108F">
        <w:rPr>
          <w:rFonts w:ascii="Arial" w:hAnsi="Arial" w:cs="Arial"/>
          <w:color w:val="000000" w:themeColor="text1"/>
          <w:szCs w:val="24"/>
          <w:lang w:val="en-GB"/>
        </w:rPr>
        <w:t xml:space="preserve">s, and the procedures differ for male-to-female and female-to-male </w:t>
      </w:r>
      <w:r w:rsidR="00D45D3C" w:rsidRPr="0028108F">
        <w:rPr>
          <w:rFonts w:ascii="Arial" w:hAnsi="Arial" w:cs="Arial"/>
          <w:color w:val="000000" w:themeColor="text1"/>
          <w:szCs w:val="24"/>
          <w:lang w:val="en-GB"/>
        </w:rPr>
        <w:t>persons</w:t>
      </w:r>
      <w:r w:rsidRPr="0028108F">
        <w:rPr>
          <w:rFonts w:ascii="Arial" w:hAnsi="Arial" w:cs="Arial"/>
          <w:color w:val="000000" w:themeColor="text1"/>
          <w:szCs w:val="24"/>
          <w:lang w:val="en-GB"/>
        </w:rPr>
        <w:t xml:space="preserve">.  </w:t>
      </w:r>
      <w:r w:rsidR="00396423" w:rsidRPr="0028108F">
        <w:rPr>
          <w:rFonts w:ascii="Arial" w:hAnsi="Arial" w:cs="Arial"/>
          <w:szCs w:val="24"/>
          <w:lang w:val="en-GB"/>
        </w:rPr>
        <w:t xml:space="preserve">For the </w:t>
      </w:r>
      <w:r w:rsidR="00F727D5">
        <w:rPr>
          <w:rFonts w:ascii="Arial" w:hAnsi="Arial" w:cs="Arial"/>
          <w:szCs w:val="24"/>
          <w:lang w:val="en-GB"/>
        </w:rPr>
        <w:t>details</w:t>
      </w:r>
      <w:r w:rsidR="00396423" w:rsidRPr="0028108F">
        <w:rPr>
          <w:rFonts w:ascii="Arial" w:hAnsi="Arial" w:cs="Arial"/>
          <w:szCs w:val="24"/>
          <w:lang w:val="en-GB"/>
        </w:rPr>
        <w:t xml:space="preserve"> of these </w:t>
      </w:r>
      <w:r w:rsidR="00F727D5">
        <w:rPr>
          <w:rFonts w:ascii="Arial" w:hAnsi="Arial" w:cs="Arial"/>
          <w:szCs w:val="24"/>
          <w:lang w:val="en-GB"/>
        </w:rPr>
        <w:t>procedures</w:t>
      </w:r>
      <w:r w:rsidR="00396423" w:rsidRPr="0028108F">
        <w:rPr>
          <w:rFonts w:ascii="Arial" w:hAnsi="Arial" w:cs="Arial"/>
          <w:szCs w:val="24"/>
          <w:lang w:val="en-GB"/>
        </w:rPr>
        <w:t>, please see the discussion at paragraph 2</w:t>
      </w:r>
      <w:r w:rsidR="00CD6FAF">
        <w:rPr>
          <w:rFonts w:ascii="Arial" w:hAnsi="Arial" w:cs="Arial"/>
          <w:szCs w:val="24"/>
          <w:lang w:val="en-GB"/>
        </w:rPr>
        <w:t>.52 above</w:t>
      </w:r>
      <w:r w:rsidR="00396423" w:rsidRPr="0028108F">
        <w:rPr>
          <w:rFonts w:ascii="Arial" w:hAnsi="Arial" w:cs="Arial"/>
          <w:szCs w:val="24"/>
          <w:lang w:val="en-GB"/>
        </w:rPr>
        <w:t xml:space="preserve">.  </w:t>
      </w:r>
      <w:r w:rsidRPr="0028108F">
        <w:rPr>
          <w:rFonts w:ascii="Arial" w:hAnsi="Arial" w:cs="Arial"/>
          <w:color w:val="000000" w:themeColor="text1"/>
          <w:szCs w:val="24"/>
          <w:lang w:val="en-GB"/>
        </w:rPr>
        <w:t xml:space="preserve">Further, as can be seen from Chapter </w:t>
      </w:r>
      <w:r w:rsidRPr="008813DE">
        <w:rPr>
          <w:rFonts w:ascii="Arial" w:hAnsi="Arial" w:cs="Arial"/>
          <w:color w:val="000000" w:themeColor="text1"/>
          <w:szCs w:val="24"/>
          <w:lang w:val="en-GB"/>
        </w:rPr>
        <w:t>4</w:t>
      </w:r>
      <w:r w:rsidRPr="0028108F">
        <w:rPr>
          <w:rFonts w:ascii="Arial" w:hAnsi="Arial" w:cs="Arial"/>
          <w:color w:val="000000" w:themeColor="text1"/>
          <w:szCs w:val="24"/>
          <w:lang w:val="en-GB"/>
        </w:rPr>
        <w:t xml:space="preserve"> of this Consultation Paper, those jurisdictions requiring surgical interventions for gender recognition usually have their own interpretation, through legislation or case law or otherwise, of what </w:t>
      </w:r>
      <w:r w:rsidR="00901830" w:rsidRPr="0028108F">
        <w:rPr>
          <w:rFonts w:ascii="Arial" w:hAnsi="Arial" w:cs="Arial"/>
          <w:color w:val="000000" w:themeColor="text1"/>
          <w:szCs w:val="24"/>
          <w:lang w:val="en-GB"/>
        </w:rPr>
        <w:t xml:space="preserve">procedures </w:t>
      </w:r>
      <w:r w:rsidRPr="0028108F">
        <w:rPr>
          <w:rFonts w:ascii="Arial" w:hAnsi="Arial" w:cs="Arial"/>
          <w:color w:val="000000" w:themeColor="text1"/>
          <w:szCs w:val="24"/>
          <w:lang w:val="en-GB"/>
        </w:rPr>
        <w:t xml:space="preserve">are required to fulfil those criteria.  </w:t>
      </w:r>
      <w:r w:rsidR="007132B7" w:rsidRPr="0028108F">
        <w:rPr>
          <w:rFonts w:ascii="Arial" w:hAnsi="Arial" w:cs="Arial"/>
          <w:color w:val="000000" w:themeColor="text1"/>
          <w:szCs w:val="24"/>
          <w:lang w:val="en-GB"/>
        </w:rPr>
        <w:t>U</w:t>
      </w:r>
      <w:r w:rsidRPr="0028108F">
        <w:rPr>
          <w:rFonts w:ascii="Arial" w:hAnsi="Arial" w:cs="Arial"/>
          <w:color w:val="000000" w:themeColor="text1"/>
          <w:szCs w:val="24"/>
          <w:lang w:val="en-GB"/>
        </w:rPr>
        <w:t xml:space="preserve">nder the current practice in Hong Kong </w:t>
      </w:r>
      <w:r w:rsidR="007132B7" w:rsidRPr="0028108F">
        <w:rPr>
          <w:rFonts w:ascii="Arial" w:hAnsi="Arial" w:cs="Arial"/>
          <w:color w:val="000000" w:themeColor="text1"/>
          <w:szCs w:val="24"/>
          <w:lang w:val="en-GB"/>
        </w:rPr>
        <w:t>(</w:t>
      </w:r>
      <w:r w:rsidR="00D154B1" w:rsidRPr="0028108F">
        <w:rPr>
          <w:rFonts w:ascii="Arial" w:hAnsi="Arial" w:cs="Arial"/>
          <w:color w:val="000000" w:themeColor="text1"/>
          <w:szCs w:val="24"/>
          <w:lang w:val="en-GB"/>
        </w:rPr>
        <w:t xml:space="preserve">in order </w:t>
      </w:r>
      <w:r w:rsidRPr="0028108F">
        <w:rPr>
          <w:rFonts w:ascii="Arial" w:hAnsi="Arial" w:cs="Arial"/>
          <w:color w:val="000000" w:themeColor="text1"/>
          <w:szCs w:val="24"/>
          <w:lang w:val="en-GB"/>
        </w:rPr>
        <w:t>for the Immigration Department to change a person’s sex entry on his or her HKID card</w:t>
      </w:r>
      <w:r w:rsidR="007132B7" w:rsidRPr="0028108F">
        <w:rPr>
          <w:rFonts w:ascii="Arial" w:hAnsi="Arial" w:cs="Arial"/>
          <w:color w:val="000000" w:themeColor="text1"/>
          <w:szCs w:val="24"/>
          <w:lang w:val="en-GB"/>
        </w:rPr>
        <w:t>)</w:t>
      </w:r>
      <w:r w:rsidR="00CC5518">
        <w:rPr>
          <w:rFonts w:ascii="Arial" w:hAnsi="Arial" w:cs="Arial"/>
          <w:color w:val="000000" w:themeColor="text1"/>
          <w:szCs w:val="24"/>
          <w:lang w:val="en-GB"/>
        </w:rPr>
        <w:t xml:space="preserve"> </w:t>
      </w:r>
      <w:r w:rsidR="007132B7" w:rsidRPr="0028108F">
        <w:rPr>
          <w:rFonts w:ascii="Arial" w:hAnsi="Arial" w:cs="Arial"/>
          <w:color w:val="000000" w:themeColor="text1"/>
          <w:szCs w:val="24"/>
          <w:lang w:val="en-GB"/>
        </w:rPr>
        <w:t xml:space="preserve">the SRS requirement </w:t>
      </w:r>
      <w:r w:rsidRPr="0028108F">
        <w:rPr>
          <w:rFonts w:ascii="Arial" w:hAnsi="Arial" w:cs="Arial"/>
          <w:color w:val="000000" w:themeColor="text1"/>
          <w:szCs w:val="24"/>
          <w:lang w:val="en-GB"/>
        </w:rPr>
        <w:t>includes</w:t>
      </w:r>
      <w:r w:rsidR="00161B92"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(i) for sex change from female to male: removal of the uterus and ovaries</w:t>
      </w:r>
      <w:r w:rsidR="007132B7"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and construction of a penis or some form of </w:t>
      </w:r>
      <w:r w:rsidR="005F69BE">
        <w:rPr>
          <w:rFonts w:ascii="Arial" w:hAnsi="Arial" w:cs="Arial" w:hint="eastAsia"/>
          <w:color w:val="000000" w:themeColor="text1"/>
          <w:szCs w:val="24"/>
          <w:lang w:val="en-GB"/>
        </w:rPr>
        <w:t xml:space="preserve">a </w:t>
      </w:r>
      <w:r w:rsidRPr="0028108F">
        <w:rPr>
          <w:rFonts w:ascii="Arial" w:hAnsi="Arial" w:cs="Arial"/>
          <w:color w:val="000000" w:themeColor="text1"/>
          <w:szCs w:val="24"/>
          <w:lang w:val="en-GB"/>
        </w:rPr>
        <w:t>penis; (ii) for sex change from male to female: removal of the penis and testes</w:t>
      </w:r>
      <w:r w:rsidR="007132B7"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and construction of a vagina.</w:t>
      </w:r>
      <w:r w:rsidRPr="0028108F">
        <w:rPr>
          <w:rStyle w:val="FootnoteReference"/>
          <w:rFonts w:ascii="Arial" w:hAnsi="Arial" w:cs="Arial"/>
          <w:color w:val="000000" w:themeColor="text1"/>
          <w:szCs w:val="24"/>
          <w:lang w:val="en-GB"/>
        </w:rPr>
        <w:footnoteReference w:id="519"/>
      </w:r>
      <w:r w:rsidRPr="0028108F">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06282B" w:rsidP="00E773F6">
      <w:pPr>
        <w:tabs>
          <w:tab w:val="left" w:pos="851"/>
        </w:tabs>
        <w:adjustRightInd w:val="0"/>
        <w:snapToGrid w:val="0"/>
        <w:jc w:val="both"/>
        <w:rPr>
          <w:rFonts w:ascii="Arial" w:hAnsi="Arial" w:cs="Arial"/>
          <w:b/>
          <w:i/>
          <w:color w:val="0000FF"/>
          <w:szCs w:val="24"/>
          <w:lang w:val="en-GB"/>
        </w:rPr>
      </w:pPr>
      <w:r w:rsidRPr="0028108F">
        <w:rPr>
          <w:rFonts w:ascii="Arial" w:hAnsi="Arial" w:cs="Arial"/>
          <w:b/>
          <w:i/>
          <w:color w:val="000000" w:themeColor="text1"/>
          <w:szCs w:val="24"/>
          <w:lang w:val="en-GB"/>
        </w:rPr>
        <w:t>Arguments in support</w:t>
      </w:r>
      <w:r w:rsidR="00E773F6" w:rsidRPr="0028108F">
        <w:rPr>
          <w:rFonts w:ascii="Arial" w:hAnsi="Arial" w:cs="Arial"/>
          <w:b/>
          <w:i/>
          <w:color w:val="000000" w:themeColor="text1"/>
          <w:szCs w:val="24"/>
          <w:lang w:val="en-GB"/>
        </w:rPr>
        <w:t xml:space="preserve"> of having a requirement for the applicant to have undergone SRS</w:t>
      </w:r>
    </w:p>
    <w:p w:rsidR="00E773F6" w:rsidRPr="0028108F" w:rsidRDefault="00E773F6" w:rsidP="00E773F6">
      <w:pPr>
        <w:pStyle w:val="ListParagraph"/>
        <w:tabs>
          <w:tab w:val="left" w:pos="851"/>
        </w:tabs>
        <w:adjustRightInd w:val="0"/>
        <w:snapToGrid w:val="0"/>
        <w:ind w:leftChars="0" w:left="0"/>
        <w:jc w:val="both"/>
        <w:rPr>
          <w:rFonts w:ascii="Arial" w:hAnsi="Arial" w:cs="Arial"/>
          <w:color w:val="000000" w:themeColor="text1"/>
          <w:szCs w:val="24"/>
          <w:u w:val="single"/>
          <w:lang w:val="en-GB"/>
        </w:rPr>
      </w:pP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Argument (1): Impact on the traditional value</w:t>
      </w:r>
      <w:r w:rsidR="00AC39A4" w:rsidRPr="0028108F">
        <w:rPr>
          <w:rFonts w:ascii="Arial" w:hAnsi="Arial" w:cs="Arial"/>
          <w:i/>
          <w:color w:val="000000" w:themeColor="text1"/>
          <w:szCs w:val="24"/>
          <w:lang w:val="en-GB"/>
        </w:rPr>
        <w:t>s</w:t>
      </w:r>
      <w:r w:rsidRPr="0028108F">
        <w:rPr>
          <w:rFonts w:ascii="Arial" w:hAnsi="Arial" w:cs="Arial"/>
          <w:i/>
          <w:color w:val="000000" w:themeColor="text1"/>
          <w:szCs w:val="24"/>
          <w:lang w:val="en-GB"/>
        </w:rPr>
        <w:t xml:space="preserve"> of parenthood and family</w:t>
      </w:r>
    </w:p>
    <w:p w:rsidR="00E773F6" w:rsidRPr="0028108F" w:rsidRDefault="00E773F6" w:rsidP="00E773F6">
      <w:pPr>
        <w:tabs>
          <w:tab w:val="left" w:pos="851"/>
        </w:tabs>
        <w:adjustRightInd w:val="0"/>
        <w:snapToGrid w:val="0"/>
        <w:jc w:val="both"/>
        <w:rPr>
          <w:rFonts w:ascii="Arial" w:hAnsi="Arial" w:cs="Arial"/>
          <w:color w:val="000000" w:themeColor="text1"/>
          <w:szCs w:val="24"/>
          <w:u w:val="single"/>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eastAsiaTheme="minorEastAsia" w:hAnsi="Arial" w:cs="Arial"/>
          <w:kern w:val="0"/>
          <w:szCs w:val="24"/>
          <w:lang w:val="en-GB"/>
        </w:rPr>
        <w:t xml:space="preserve">For many, it is </w:t>
      </w:r>
      <w:r w:rsidRPr="0028108F">
        <w:rPr>
          <w:rFonts w:ascii="Arial" w:hAnsi="Arial" w:cs="Arial"/>
          <w:szCs w:val="24"/>
          <w:lang w:val="en-GB"/>
        </w:rPr>
        <w:t>an</w:t>
      </w:r>
      <w:r w:rsidRPr="0028108F">
        <w:rPr>
          <w:rFonts w:ascii="Arial" w:eastAsiaTheme="minorEastAsia" w:hAnsi="Arial" w:cs="Arial"/>
          <w:kern w:val="0"/>
          <w:szCs w:val="24"/>
          <w:lang w:val="en-GB"/>
        </w:rPr>
        <w:t xml:space="preserve"> instinctual assumption that one’s gender recognised by law should have social implications.</w:t>
      </w:r>
      <w:r w:rsidRPr="0028108F">
        <w:rPr>
          <w:rStyle w:val="FootnoteReference"/>
          <w:rFonts w:ascii="Arial" w:hAnsi="Arial" w:cs="Arial"/>
          <w:kern w:val="0"/>
          <w:szCs w:val="24"/>
          <w:lang w:val="en-GB"/>
        </w:rPr>
        <w:footnoteReference w:id="520"/>
      </w:r>
      <w:r w:rsidRPr="0028108F">
        <w:rPr>
          <w:rFonts w:ascii="Arial" w:eastAsiaTheme="minorEastAsia" w:hAnsi="Arial" w:cs="Arial"/>
          <w:kern w:val="0"/>
          <w:szCs w:val="24"/>
          <w:lang w:val="en-GB"/>
        </w:rPr>
        <w:t xml:space="preserve">  Those who favour surgical requirements for gender recognition may argue that a</w:t>
      </w:r>
      <w:r w:rsidRPr="0028108F">
        <w:rPr>
          <w:rFonts w:ascii="Arial" w:hAnsi="Arial" w:cs="Arial"/>
          <w:szCs w:val="24"/>
          <w:lang w:val="en-GB"/>
        </w:rPr>
        <w:t>ny incongruence between a person’s expressed gender (physical appearance) and his or her legal gender might cause anxiety to the general public, and accordingly</w:t>
      </w:r>
      <w:r w:rsidR="00A2460D" w:rsidRPr="0028108F">
        <w:rPr>
          <w:rFonts w:ascii="Arial" w:hAnsi="Arial" w:cs="Arial"/>
          <w:szCs w:val="24"/>
          <w:lang w:val="en-GB"/>
        </w:rPr>
        <w:t>,</w:t>
      </w:r>
      <w:r w:rsidRPr="0028108F">
        <w:rPr>
          <w:rFonts w:ascii="Arial" w:hAnsi="Arial" w:cs="Arial"/>
          <w:szCs w:val="24"/>
          <w:lang w:val="en-GB"/>
        </w:rPr>
        <w:t xml:space="preserve"> a balance </w:t>
      </w:r>
      <w:r w:rsidR="00D154B1" w:rsidRPr="0028108F">
        <w:rPr>
          <w:rFonts w:ascii="Arial" w:hAnsi="Arial" w:cs="Arial"/>
          <w:szCs w:val="24"/>
          <w:lang w:val="en-GB"/>
        </w:rPr>
        <w:t xml:space="preserve">should be struck </w:t>
      </w:r>
      <w:r w:rsidRPr="0028108F">
        <w:rPr>
          <w:rFonts w:ascii="Arial" w:hAnsi="Arial" w:cs="Arial"/>
          <w:szCs w:val="24"/>
          <w:lang w:val="en-GB"/>
        </w:rPr>
        <w:t xml:space="preserve">between individual rights and the public interest when considering appropriate </w:t>
      </w:r>
      <w:r w:rsidR="00A2460D" w:rsidRPr="0028108F">
        <w:rPr>
          <w:rFonts w:ascii="Arial" w:hAnsi="Arial" w:cs="Arial"/>
          <w:szCs w:val="24"/>
          <w:lang w:val="en-GB"/>
        </w:rPr>
        <w:t xml:space="preserve">criteria for a </w:t>
      </w:r>
      <w:r w:rsidRPr="0028108F">
        <w:rPr>
          <w:rFonts w:ascii="Arial" w:hAnsi="Arial" w:cs="Arial"/>
          <w:szCs w:val="24"/>
          <w:lang w:val="en-GB"/>
        </w:rPr>
        <w:t xml:space="preserve">gender recognition scheme.  </w:t>
      </w:r>
      <w:r w:rsidR="00A2460D" w:rsidRPr="0028108F">
        <w:rPr>
          <w:rFonts w:ascii="Arial" w:hAnsi="Arial" w:cs="Arial"/>
          <w:szCs w:val="24"/>
          <w:lang w:val="en-GB"/>
        </w:rPr>
        <w:t>Those of this</w:t>
      </w:r>
      <w:r w:rsidRPr="0028108F">
        <w:rPr>
          <w:rFonts w:ascii="Arial" w:hAnsi="Arial" w:cs="Arial"/>
          <w:szCs w:val="24"/>
          <w:lang w:val="en-GB"/>
        </w:rPr>
        <w:t xml:space="preserve"> view will </w:t>
      </w:r>
      <w:r w:rsidR="00AC39A4" w:rsidRPr="0028108F">
        <w:rPr>
          <w:rFonts w:ascii="Arial" w:hAnsi="Arial" w:cs="Arial"/>
          <w:szCs w:val="24"/>
          <w:lang w:val="en-GB"/>
        </w:rPr>
        <w:t>likely</w:t>
      </w:r>
      <w:r w:rsidRPr="0028108F">
        <w:rPr>
          <w:rFonts w:ascii="Arial" w:hAnsi="Arial" w:cs="Arial"/>
          <w:szCs w:val="24"/>
          <w:lang w:val="en-GB"/>
        </w:rPr>
        <w:t xml:space="preserve"> sway towards a SRS requirement being mandatory and inevitable</w:t>
      </w:r>
      <w:r w:rsidR="00A2460D" w:rsidRPr="0028108F">
        <w:rPr>
          <w:rFonts w:ascii="Arial" w:hAnsi="Arial" w:cs="Arial"/>
          <w:szCs w:val="24"/>
          <w:lang w:val="en-GB"/>
        </w:rPr>
        <w:t xml:space="preserve"> for such a scheme</w:t>
      </w:r>
      <w:r w:rsidRPr="0028108F">
        <w:rPr>
          <w:rFonts w:ascii="Arial" w:hAnsi="Arial" w:cs="Arial"/>
          <w:szCs w:val="24"/>
          <w:lang w:val="en-GB"/>
        </w:rPr>
        <w:t xml:space="preserve">.  In this regard, it has been argued that a scheme that does not impose SRS as a prerequisite for gender recognition and </w:t>
      </w:r>
      <w:r w:rsidR="00AC39A4" w:rsidRPr="0028108F">
        <w:rPr>
          <w:rFonts w:ascii="Arial" w:hAnsi="Arial" w:cs="Arial"/>
          <w:szCs w:val="24"/>
          <w:lang w:val="en-GB"/>
        </w:rPr>
        <w:t xml:space="preserve">is </w:t>
      </w:r>
      <w:r w:rsidRPr="0028108F">
        <w:rPr>
          <w:rFonts w:ascii="Arial" w:hAnsi="Arial" w:cs="Arial"/>
          <w:szCs w:val="24"/>
          <w:lang w:val="en-GB"/>
        </w:rPr>
        <w:t>base</w:t>
      </w:r>
      <w:r w:rsidR="00AC39A4" w:rsidRPr="0028108F">
        <w:rPr>
          <w:rFonts w:ascii="Arial" w:hAnsi="Arial" w:cs="Arial"/>
          <w:szCs w:val="24"/>
          <w:lang w:val="en-GB"/>
        </w:rPr>
        <w:t>d</w:t>
      </w:r>
      <w:r w:rsidRPr="0028108F">
        <w:rPr>
          <w:rFonts w:ascii="Arial" w:hAnsi="Arial" w:cs="Arial"/>
          <w:szCs w:val="24"/>
          <w:lang w:val="en-GB"/>
        </w:rPr>
        <w:t xml:space="preserve"> </w:t>
      </w:r>
      <w:r w:rsidR="00AC39A4" w:rsidRPr="0028108F">
        <w:rPr>
          <w:rFonts w:ascii="Arial" w:hAnsi="Arial" w:cs="Arial"/>
          <w:szCs w:val="24"/>
          <w:lang w:val="en-GB"/>
        </w:rPr>
        <w:t xml:space="preserve">instead </w:t>
      </w:r>
      <w:r w:rsidRPr="0028108F">
        <w:rPr>
          <w:rFonts w:ascii="Arial" w:hAnsi="Arial" w:cs="Arial"/>
          <w:szCs w:val="24"/>
          <w:lang w:val="en-GB"/>
        </w:rPr>
        <w:t>on an individual’s psychological distress or desired gender identity would confuse the borderline for gender identity</w:t>
      </w:r>
      <w:r w:rsidR="00233376" w:rsidRPr="0028108F">
        <w:rPr>
          <w:rFonts w:ascii="Arial" w:hAnsi="Arial" w:cs="Arial"/>
          <w:szCs w:val="24"/>
          <w:lang w:val="en-GB"/>
        </w:rPr>
        <w:t>,</w:t>
      </w:r>
      <w:r w:rsidRPr="0028108F">
        <w:rPr>
          <w:rFonts w:ascii="Arial" w:hAnsi="Arial" w:cs="Arial"/>
          <w:szCs w:val="24"/>
          <w:lang w:val="en-GB"/>
        </w:rPr>
        <w:t xml:space="preserve"> which </w:t>
      </w:r>
      <w:r w:rsidR="00233376" w:rsidRPr="0028108F">
        <w:rPr>
          <w:rFonts w:ascii="Arial" w:hAnsi="Arial" w:cs="Arial"/>
          <w:szCs w:val="24"/>
          <w:lang w:val="en-GB"/>
        </w:rPr>
        <w:t>in turn, may cause chaos in the community and a</w:t>
      </w:r>
      <w:r w:rsidRPr="0028108F">
        <w:rPr>
          <w:rFonts w:ascii="Arial" w:hAnsi="Arial" w:cs="Arial"/>
          <w:szCs w:val="24"/>
          <w:lang w:val="en-GB"/>
        </w:rPr>
        <w:t xml:space="preserve"> bring about multifarious social problems.</w:t>
      </w:r>
      <w:r w:rsidRPr="0028108F">
        <w:rPr>
          <w:rStyle w:val="FootnoteReference"/>
          <w:rFonts w:ascii="Arial" w:hAnsi="Arial" w:cs="Arial"/>
          <w:szCs w:val="24"/>
          <w:lang w:val="en-GB"/>
        </w:rPr>
        <w:footnoteReference w:id="521"/>
      </w:r>
      <w:r w:rsidRPr="0028108F">
        <w:rPr>
          <w:rFonts w:ascii="Arial" w:hAnsi="Arial" w:cs="Arial"/>
          <w:szCs w:val="24"/>
          <w:lang w:val="en-GB"/>
        </w:rPr>
        <w:t xml:space="preserve">  </w:t>
      </w:r>
    </w:p>
    <w:p w:rsidR="0075667E" w:rsidRPr="0028108F" w:rsidRDefault="0075667E" w:rsidP="0075667E">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For instance, if a female-to-male transgender person not required to undergo SRS were to marry a woman and become the </w:t>
      </w:r>
      <w:r w:rsidRPr="0028108F">
        <w:rPr>
          <w:rFonts w:ascii="Arial" w:hAnsi="Arial" w:cs="Arial"/>
          <w:i/>
          <w:szCs w:val="24"/>
          <w:lang w:val="en-GB"/>
        </w:rPr>
        <w:t>“father”</w:t>
      </w:r>
      <w:r w:rsidRPr="00181CF2">
        <w:rPr>
          <w:rFonts w:ascii="Arial" w:hAnsi="Arial" w:cs="Arial"/>
          <w:szCs w:val="24"/>
          <w:lang w:val="en-GB"/>
        </w:rPr>
        <w:t xml:space="preserve"> of a child, </w:t>
      </w:r>
      <w:r w:rsidR="00B5122B">
        <w:rPr>
          <w:rFonts w:ascii="Arial" w:hAnsi="Arial" w:cs="Arial" w:hint="eastAsia"/>
          <w:szCs w:val="24"/>
          <w:lang w:val="en-GB"/>
        </w:rPr>
        <w:t xml:space="preserve">it is argued that </w:t>
      </w:r>
      <w:r w:rsidRPr="00181CF2">
        <w:rPr>
          <w:rFonts w:ascii="Arial" w:hAnsi="Arial" w:cs="Arial"/>
          <w:szCs w:val="24"/>
          <w:lang w:val="en-GB"/>
        </w:rPr>
        <w:t xml:space="preserve">this will result in confusion to </w:t>
      </w:r>
      <w:r w:rsidRPr="00C57CE1">
        <w:rPr>
          <w:rFonts w:ascii="Arial" w:hAnsi="Arial" w:cs="Arial"/>
          <w:szCs w:val="24"/>
          <w:lang w:val="en-GB"/>
        </w:rPr>
        <w:t xml:space="preserve">traditional </w:t>
      </w:r>
      <w:r w:rsidRPr="0028108F">
        <w:rPr>
          <w:rFonts w:ascii="Arial" w:hAnsi="Arial" w:cs="Arial"/>
          <w:szCs w:val="24"/>
          <w:lang w:val="en-GB"/>
        </w:rPr>
        <w:t>family roles.  A typical example, which has been frequently cited by those in favour of the SRS requirement for gender recognition, was the case of Thomas Beatie, an American female-to-male transgender person, who had removed his breasts and was given testosterone to make him look and sound like a man, but he still kept his female reproductive organs and became pregnant (by way of testosterone cessation and sperm donation) and subsequently gave birth to three children between 2008 and 2010.</w:t>
      </w:r>
      <w:r w:rsidRPr="0028108F">
        <w:rPr>
          <w:rStyle w:val="FootnoteReference"/>
          <w:rFonts w:ascii="Arial" w:hAnsi="Arial" w:cs="Arial"/>
          <w:szCs w:val="24"/>
          <w:lang w:val="en-GB"/>
        </w:rPr>
        <w:footnoteReference w:id="522"/>
      </w:r>
      <w:r w:rsidRPr="0028108F">
        <w:rPr>
          <w:rFonts w:ascii="Arial" w:hAnsi="Arial" w:cs="Arial"/>
          <w:szCs w:val="24"/>
          <w:lang w:val="en-GB"/>
        </w:rPr>
        <w:t xml:space="preserve">  Beatie had been on hormone therapy but had stopped taking testosterone in anticipation of getting pregnant.  His being known to be the first </w:t>
      </w:r>
      <w:r w:rsidRPr="0028108F">
        <w:rPr>
          <w:rFonts w:ascii="Arial" w:hAnsi="Arial" w:cs="Arial"/>
          <w:i/>
          <w:szCs w:val="24"/>
          <w:lang w:val="en-GB"/>
        </w:rPr>
        <w:t>“pregnant man”</w:t>
      </w:r>
      <w:r w:rsidRPr="00181CF2">
        <w:rPr>
          <w:rFonts w:ascii="Arial" w:hAnsi="Arial" w:cs="Arial"/>
          <w:szCs w:val="24"/>
          <w:lang w:val="en-GB"/>
        </w:rPr>
        <w:t xml:space="preserve">, which was previously </w:t>
      </w:r>
      <w:r w:rsidRPr="0028108F">
        <w:rPr>
          <w:rFonts w:ascii="Arial" w:hAnsi="Arial" w:cs="Arial"/>
          <w:szCs w:val="24"/>
          <w:lang w:val="en-GB"/>
        </w:rPr>
        <w:t>only in the realm of the imagination, caused a media storm across the US and even internationally.  Newspaper headlines, like “</w:t>
      </w:r>
      <w:r w:rsidRPr="0028108F">
        <w:rPr>
          <w:rFonts w:ascii="Arial" w:hAnsi="Arial" w:cs="Arial"/>
          <w:i/>
          <w:szCs w:val="24"/>
          <w:lang w:val="en-GB"/>
        </w:rPr>
        <w:t>When daddy is also the mommy</w:t>
      </w:r>
      <w:r w:rsidRPr="0028108F">
        <w:rPr>
          <w:rFonts w:ascii="Arial" w:hAnsi="Arial" w:cs="Arial"/>
          <w:szCs w:val="24"/>
          <w:lang w:val="en-GB"/>
        </w:rPr>
        <w:t>” and “</w:t>
      </w:r>
      <w:r w:rsidRPr="0028108F">
        <w:rPr>
          <w:rFonts w:ascii="Arial" w:hAnsi="Arial" w:cs="Arial"/>
          <w:i/>
          <w:szCs w:val="24"/>
          <w:lang w:val="en-GB"/>
        </w:rPr>
        <w:t>Pregnant, yes – but not a man</w:t>
      </w:r>
      <w:r w:rsidRPr="0028108F">
        <w:rPr>
          <w:rFonts w:ascii="Arial" w:hAnsi="Arial" w:cs="Arial"/>
          <w:szCs w:val="24"/>
          <w:lang w:val="en-GB"/>
        </w:rPr>
        <w:t>”, seem to demonstrate the difficult dissociation between gender and the parental function.</w:t>
      </w:r>
      <w:r w:rsidRPr="0028108F">
        <w:rPr>
          <w:rStyle w:val="FootnoteReference"/>
          <w:rFonts w:ascii="Arial" w:hAnsi="Arial" w:cs="Arial"/>
          <w:szCs w:val="24"/>
          <w:lang w:val="en-GB"/>
        </w:rPr>
        <w:footnoteReference w:id="523"/>
      </w:r>
      <w:r w:rsidRPr="0028108F">
        <w:rPr>
          <w:rFonts w:ascii="Arial" w:hAnsi="Arial" w:cs="Arial"/>
          <w:szCs w:val="24"/>
          <w:lang w:val="en-GB"/>
        </w:rPr>
        <w:t xml:space="preserve">  </w:t>
      </w:r>
    </w:p>
    <w:p w:rsidR="0075667E" w:rsidRPr="0028108F" w:rsidRDefault="0075667E" w:rsidP="0075667E">
      <w:pPr>
        <w:pStyle w:val="ListParagraph"/>
        <w:tabs>
          <w:tab w:val="left" w:pos="1418"/>
          <w:tab w:val="left" w:pos="2552"/>
        </w:tabs>
        <w:autoSpaceDE w:val="0"/>
        <w:autoSpaceDN w:val="0"/>
        <w:adjustRightInd w:val="0"/>
        <w:snapToGrid w:val="0"/>
        <w:ind w:leftChars="0" w:left="0"/>
        <w:jc w:val="both"/>
        <w:rPr>
          <w:rFonts w:ascii="Arial" w:hAnsi="Arial" w:cs="Arial"/>
          <w:color w:val="0D0D0D" w:themeColor="text1" w:themeTint="F2"/>
          <w:szCs w:val="24"/>
          <w:lang w:val="en-GB"/>
        </w:rPr>
      </w:pPr>
    </w:p>
    <w:p w:rsidR="0075667E" w:rsidRPr="0028108F" w:rsidRDefault="0075667E" w:rsidP="0075667E">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D0D0D" w:themeColor="text1" w:themeTint="F2"/>
          <w:szCs w:val="24"/>
          <w:lang w:val="en-GB"/>
        </w:rPr>
      </w:pPr>
      <w:r w:rsidRPr="0028108F">
        <w:rPr>
          <w:rFonts w:ascii="Arial" w:hAnsi="Arial" w:cs="Arial"/>
          <w:color w:val="0D0D0D" w:themeColor="text1" w:themeTint="F2"/>
          <w:szCs w:val="24"/>
          <w:lang w:val="en-GB"/>
        </w:rPr>
        <w:t xml:space="preserve">A similar concern was addressed by the </w:t>
      </w:r>
      <w:r w:rsidRPr="0028108F">
        <w:rPr>
          <w:rFonts w:ascii="Arial" w:hAnsi="Arial" w:cs="Arial"/>
          <w:szCs w:val="24"/>
          <w:lang w:val="en-GB"/>
        </w:rPr>
        <w:t>UK</w:t>
      </w:r>
      <w:r w:rsidRPr="0028108F">
        <w:rPr>
          <w:rFonts w:ascii="Arial" w:hAnsi="Arial" w:cs="Arial"/>
          <w:color w:val="0D0D0D" w:themeColor="text1" w:themeTint="F2"/>
          <w:szCs w:val="24"/>
          <w:lang w:val="en-GB"/>
        </w:rPr>
        <w:t xml:space="preserve"> Interdepartmental Working Group on Transsexual People during the deliberations on the UK GRA:</w:t>
      </w:r>
    </w:p>
    <w:p w:rsidR="0075667E" w:rsidRPr="0028108F" w:rsidRDefault="0075667E" w:rsidP="0075667E">
      <w:pPr>
        <w:pStyle w:val="ListParagraph"/>
        <w:tabs>
          <w:tab w:val="left" w:pos="1418"/>
          <w:tab w:val="left" w:pos="2552"/>
        </w:tabs>
        <w:autoSpaceDE w:val="0"/>
        <w:autoSpaceDN w:val="0"/>
        <w:adjustRightInd w:val="0"/>
        <w:snapToGrid w:val="0"/>
        <w:ind w:leftChars="0" w:left="0"/>
        <w:jc w:val="both"/>
        <w:rPr>
          <w:rFonts w:ascii="Arial" w:hAnsi="Arial" w:cs="Arial"/>
          <w:color w:val="0D0D0D" w:themeColor="text1" w:themeTint="F2"/>
          <w:szCs w:val="24"/>
          <w:lang w:val="en-GB"/>
        </w:rPr>
      </w:pPr>
    </w:p>
    <w:p w:rsidR="0075667E" w:rsidRPr="00181CF2" w:rsidRDefault="0075667E" w:rsidP="0028108F">
      <w:pPr>
        <w:pStyle w:val="ListParagraph"/>
        <w:tabs>
          <w:tab w:val="left" w:pos="851"/>
        </w:tabs>
        <w:adjustRightInd w:val="0"/>
        <w:snapToGrid w:val="0"/>
        <w:ind w:leftChars="0" w:left="851" w:rightChars="212" w:right="509"/>
        <w:jc w:val="both"/>
        <w:rPr>
          <w:rFonts w:ascii="Arial" w:eastAsiaTheme="minorEastAsia" w:hAnsi="Arial" w:cs="Arial"/>
          <w:i/>
          <w:kern w:val="0"/>
          <w:szCs w:val="24"/>
          <w:lang w:val="en-GB"/>
        </w:rPr>
      </w:pPr>
      <w:r w:rsidRPr="0028108F">
        <w:rPr>
          <w:rFonts w:ascii="Arial" w:eastAsiaTheme="minorEastAsia" w:hAnsi="Arial" w:cs="Arial"/>
          <w:i/>
          <w:kern w:val="0"/>
          <w:szCs w:val="24"/>
          <w:lang w:val="en-GB"/>
        </w:rPr>
        <w:t xml:space="preserve">“[T]he great concern which would be felt by the general public [was] someone who was legally a man gave birth to a child or someone who was legally a woman became the father of one.  Those </w:t>
      </w:r>
      <w:r w:rsidRPr="0028108F">
        <w:rPr>
          <w:rFonts w:ascii="Arial" w:eastAsiaTheme="minorEastAsia" w:hAnsi="Arial" w:cs="Arial"/>
          <w:i/>
          <w:color w:val="000000" w:themeColor="text1"/>
          <w:kern w:val="0"/>
          <w:szCs w:val="24"/>
          <w:lang w:val="en-GB"/>
        </w:rPr>
        <w:t>countries</w:t>
      </w:r>
      <w:r w:rsidRPr="0028108F">
        <w:rPr>
          <w:rFonts w:ascii="Arial" w:eastAsiaTheme="minorEastAsia" w:hAnsi="Arial" w:cs="Arial"/>
          <w:i/>
          <w:kern w:val="0"/>
          <w:szCs w:val="24"/>
          <w:lang w:val="en-GB"/>
        </w:rPr>
        <w:t xml:space="preserve"> </w:t>
      </w:r>
      <w:r w:rsidRPr="0028108F">
        <w:rPr>
          <w:rFonts w:ascii="Arial" w:hAnsi="Arial" w:cs="Arial"/>
          <w:i/>
          <w:szCs w:val="24"/>
          <w:lang w:val="en-GB"/>
        </w:rPr>
        <w:t>which</w:t>
      </w:r>
      <w:r w:rsidRPr="0028108F">
        <w:rPr>
          <w:rFonts w:ascii="Arial" w:eastAsiaTheme="minorEastAsia" w:hAnsi="Arial" w:cs="Arial"/>
          <w:i/>
          <w:kern w:val="0"/>
          <w:szCs w:val="24"/>
          <w:lang w:val="en-GB"/>
        </w:rPr>
        <w:t xml:space="preserve"> impose a sterility requirement before allowing a change of sex to be legally recognised clearly believe such a requirement is justified.”</w:t>
      </w:r>
      <w:r w:rsidRPr="00181CF2">
        <w:rPr>
          <w:rStyle w:val="FootnoteReference"/>
          <w:rFonts w:ascii="Arial" w:hAnsi="Arial" w:cs="Arial"/>
          <w:szCs w:val="24"/>
          <w:lang w:val="en-GB"/>
        </w:rPr>
        <w:footnoteReference w:id="524"/>
      </w:r>
    </w:p>
    <w:p w:rsidR="0075667E" w:rsidRPr="00C57CE1" w:rsidRDefault="0075667E" w:rsidP="0075667E">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75667E" w:rsidRPr="0028108F" w:rsidRDefault="0075667E" w:rsidP="0075667E">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kern w:val="0"/>
          <w:szCs w:val="24"/>
          <w:lang w:val="en-GB"/>
        </w:rPr>
      </w:pPr>
      <w:r w:rsidRPr="0028108F">
        <w:rPr>
          <w:rFonts w:ascii="Arial" w:hAnsi="Arial" w:cs="Arial"/>
          <w:color w:val="000000" w:themeColor="text1"/>
          <w:szCs w:val="24"/>
          <w:lang w:val="en-GB"/>
        </w:rPr>
        <w:t>Some family concern groups have cited another example of social chaos theoretically caused by a non-surgical scheme.  This relates to a news report in 2013 about 54 Australian transsexual men getting pregnant and giving birth.</w:t>
      </w:r>
      <w:r w:rsidRPr="00181CF2">
        <w:rPr>
          <w:rStyle w:val="FootnoteReference"/>
          <w:rFonts w:ascii="Arial" w:hAnsi="Arial" w:cs="Arial"/>
          <w:color w:val="000000" w:themeColor="text1"/>
          <w:szCs w:val="24"/>
          <w:lang w:val="en-GB"/>
        </w:rPr>
        <w:footnoteReference w:id="525"/>
      </w:r>
      <w:r w:rsidRPr="00181CF2">
        <w:rPr>
          <w:rFonts w:ascii="Arial" w:hAnsi="Arial" w:cs="Arial"/>
          <w:color w:val="000000" w:themeColor="text1"/>
          <w:szCs w:val="24"/>
          <w:lang w:val="en-GB"/>
        </w:rPr>
        <w:t xml:space="preserve">  It </w:t>
      </w:r>
      <w:r w:rsidRPr="0028108F">
        <w:rPr>
          <w:rFonts w:ascii="Arial" w:hAnsi="Arial" w:cs="Arial"/>
          <w:color w:val="000000" w:themeColor="text1"/>
          <w:szCs w:val="24"/>
          <w:lang w:val="en-GB"/>
        </w:rPr>
        <w:t xml:space="preserve">has been argued by some people that this atypical phenomenon could greatly impact on the next generation, causing gender confusion, which is not something that a conservative society in Hong Kong could tolerate.  </w:t>
      </w:r>
    </w:p>
    <w:p w:rsidR="0075667E" w:rsidRPr="0028108F" w:rsidRDefault="0075667E"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has also been argued that the confusion of gender identity will adversely affect the development of children.  Dr Kwan Kai Man </w:t>
      </w:r>
      <w:r w:rsidR="00AC39A4" w:rsidRPr="0028108F">
        <w:rPr>
          <w:rFonts w:ascii="Arial" w:hAnsi="Arial" w:cs="Arial"/>
          <w:szCs w:val="24"/>
          <w:lang w:val="en-GB"/>
        </w:rPr>
        <w:t xml:space="preserve">has </w:t>
      </w:r>
      <w:r w:rsidR="00697450" w:rsidRPr="0028108F">
        <w:rPr>
          <w:rFonts w:ascii="Arial" w:hAnsi="Arial" w:cs="Arial"/>
          <w:szCs w:val="24"/>
          <w:lang w:val="en-GB"/>
        </w:rPr>
        <w:t>argued</w:t>
      </w:r>
      <w:r w:rsidRPr="0028108F">
        <w:rPr>
          <w:rFonts w:ascii="Arial" w:hAnsi="Arial" w:cs="Arial"/>
          <w:szCs w:val="24"/>
          <w:lang w:val="en-GB"/>
        </w:rPr>
        <w:t xml:space="preserve"> that, for example, if a genetic man</w:t>
      </w:r>
      <w:r w:rsidR="00AC39A4" w:rsidRPr="0028108F">
        <w:rPr>
          <w:rFonts w:ascii="Arial" w:hAnsi="Arial" w:cs="Arial"/>
          <w:szCs w:val="24"/>
          <w:lang w:val="en-GB"/>
        </w:rPr>
        <w:t>, A,</w:t>
      </w:r>
      <w:r w:rsidRPr="0028108F">
        <w:rPr>
          <w:rFonts w:ascii="Arial" w:hAnsi="Arial" w:cs="Arial"/>
          <w:szCs w:val="24"/>
          <w:lang w:val="en-GB"/>
        </w:rPr>
        <w:t xml:space="preserve"> who has not undergone full SRS </w:t>
      </w:r>
      <w:r w:rsidR="0075667E" w:rsidRPr="0028108F">
        <w:rPr>
          <w:rFonts w:ascii="Arial" w:hAnsi="Arial" w:cs="Arial"/>
          <w:szCs w:val="24"/>
          <w:lang w:val="en-GB"/>
        </w:rPr>
        <w:t>is</w:t>
      </w:r>
      <w:r w:rsidRPr="0028108F">
        <w:rPr>
          <w:rFonts w:ascii="Arial" w:hAnsi="Arial" w:cs="Arial"/>
          <w:szCs w:val="24"/>
          <w:lang w:val="en-GB"/>
        </w:rPr>
        <w:t xml:space="preserve"> legally recognised as a woman and could then marry a man, </w:t>
      </w:r>
      <w:r w:rsidR="00AC39A4" w:rsidRPr="0028108F">
        <w:rPr>
          <w:rFonts w:ascii="Arial" w:hAnsi="Arial" w:cs="Arial"/>
          <w:szCs w:val="24"/>
          <w:lang w:val="en-GB"/>
        </w:rPr>
        <w:t>A</w:t>
      </w:r>
      <w:r w:rsidRPr="0028108F">
        <w:rPr>
          <w:rFonts w:ascii="Arial" w:hAnsi="Arial" w:cs="Arial"/>
          <w:szCs w:val="24"/>
          <w:lang w:val="en-GB"/>
        </w:rPr>
        <w:t xml:space="preserve"> could not have normal </w:t>
      </w:r>
      <w:r w:rsidR="00AC39A4" w:rsidRPr="0028108F">
        <w:rPr>
          <w:rFonts w:ascii="Arial" w:hAnsi="Arial" w:cs="Arial"/>
          <w:szCs w:val="24"/>
          <w:lang w:val="en-GB"/>
        </w:rPr>
        <w:t xml:space="preserve">heterosexual </w:t>
      </w:r>
      <w:r w:rsidRPr="0028108F">
        <w:rPr>
          <w:rFonts w:ascii="Arial" w:hAnsi="Arial" w:cs="Arial"/>
          <w:szCs w:val="24"/>
          <w:lang w:val="en-GB"/>
        </w:rPr>
        <w:t xml:space="preserve">sexual intercourse with her husband, but </w:t>
      </w:r>
      <w:r w:rsidR="00AC39A4" w:rsidRPr="0028108F">
        <w:rPr>
          <w:rFonts w:ascii="Arial" w:hAnsi="Arial" w:cs="Arial"/>
          <w:szCs w:val="24"/>
          <w:lang w:val="en-GB"/>
        </w:rPr>
        <w:t xml:space="preserve">would </w:t>
      </w:r>
      <w:r w:rsidRPr="0028108F">
        <w:rPr>
          <w:rFonts w:ascii="Arial" w:hAnsi="Arial" w:cs="Arial"/>
          <w:szCs w:val="24"/>
          <w:lang w:val="en-GB"/>
        </w:rPr>
        <w:t xml:space="preserve">have anal intercourse with him.  </w:t>
      </w:r>
      <w:r w:rsidR="00AC39A4" w:rsidRPr="0028108F">
        <w:rPr>
          <w:rFonts w:ascii="Arial" w:hAnsi="Arial" w:cs="Arial"/>
          <w:szCs w:val="24"/>
          <w:lang w:val="en-GB"/>
        </w:rPr>
        <w:t>A</w:t>
      </w:r>
      <w:r w:rsidRPr="0028108F">
        <w:rPr>
          <w:rFonts w:ascii="Arial" w:hAnsi="Arial" w:cs="Arial"/>
          <w:szCs w:val="24"/>
          <w:lang w:val="en-GB"/>
        </w:rPr>
        <w:t xml:space="preserve"> could also have sex with other women </w:t>
      </w:r>
      <w:r w:rsidR="00AC39A4" w:rsidRPr="0028108F">
        <w:rPr>
          <w:rFonts w:ascii="Arial" w:hAnsi="Arial" w:cs="Arial"/>
          <w:szCs w:val="24"/>
          <w:lang w:val="en-GB"/>
        </w:rPr>
        <w:t>who</w:t>
      </w:r>
      <w:r w:rsidRPr="0028108F">
        <w:rPr>
          <w:rFonts w:ascii="Arial" w:hAnsi="Arial" w:cs="Arial"/>
          <w:szCs w:val="24"/>
          <w:lang w:val="en-GB"/>
        </w:rPr>
        <w:t xml:space="preserve"> give birth to children</w:t>
      </w:r>
      <w:r w:rsidR="00AC39A4" w:rsidRPr="0028108F">
        <w:rPr>
          <w:rFonts w:ascii="Arial" w:hAnsi="Arial" w:cs="Arial"/>
          <w:szCs w:val="24"/>
          <w:lang w:val="en-GB"/>
        </w:rPr>
        <w:t>,</w:t>
      </w:r>
      <w:r w:rsidRPr="0028108F">
        <w:rPr>
          <w:rFonts w:ascii="Arial" w:hAnsi="Arial" w:cs="Arial"/>
          <w:szCs w:val="24"/>
          <w:lang w:val="en-GB"/>
        </w:rPr>
        <w:t xml:space="preserve"> a</w:t>
      </w:r>
      <w:r w:rsidR="00AC39A4" w:rsidRPr="0028108F">
        <w:rPr>
          <w:rFonts w:ascii="Arial" w:hAnsi="Arial" w:cs="Arial"/>
          <w:szCs w:val="24"/>
          <w:lang w:val="en-GB"/>
        </w:rPr>
        <w:t>s</w:t>
      </w:r>
      <w:r w:rsidRPr="0028108F">
        <w:rPr>
          <w:rFonts w:ascii="Arial" w:hAnsi="Arial" w:cs="Arial"/>
          <w:szCs w:val="24"/>
          <w:lang w:val="en-GB"/>
        </w:rPr>
        <w:t xml:space="preserve"> </w:t>
      </w:r>
      <w:r w:rsidR="00AC39A4" w:rsidRPr="0028108F">
        <w:rPr>
          <w:rFonts w:ascii="Arial" w:hAnsi="Arial" w:cs="Arial"/>
          <w:szCs w:val="24"/>
          <w:lang w:val="en-GB"/>
        </w:rPr>
        <w:t xml:space="preserve">well as </w:t>
      </w:r>
      <w:r w:rsidRPr="0028108F">
        <w:rPr>
          <w:rFonts w:ascii="Arial" w:hAnsi="Arial" w:cs="Arial"/>
          <w:szCs w:val="24"/>
          <w:lang w:val="en-GB"/>
        </w:rPr>
        <w:t xml:space="preserve">be a sperm donor.  When </w:t>
      </w:r>
      <w:r w:rsidR="005565E4" w:rsidRPr="0028108F">
        <w:rPr>
          <w:rFonts w:ascii="Arial" w:hAnsi="Arial" w:cs="Arial"/>
          <w:szCs w:val="24"/>
          <w:lang w:val="en-GB"/>
        </w:rPr>
        <w:t>A</w:t>
      </w:r>
      <w:r w:rsidRPr="0028108F">
        <w:rPr>
          <w:rFonts w:ascii="Arial" w:hAnsi="Arial" w:cs="Arial"/>
          <w:szCs w:val="24"/>
          <w:lang w:val="en-GB"/>
        </w:rPr>
        <w:t xml:space="preserve">, her husband and their adopted children take </w:t>
      </w:r>
      <w:r w:rsidR="005565E4" w:rsidRPr="0028108F">
        <w:rPr>
          <w:rFonts w:ascii="Arial" w:hAnsi="Arial" w:cs="Arial"/>
          <w:szCs w:val="24"/>
          <w:lang w:val="en-GB"/>
        </w:rPr>
        <w:t xml:space="preserve">a </w:t>
      </w:r>
      <w:r w:rsidRPr="0028108F">
        <w:rPr>
          <w:rFonts w:ascii="Arial" w:hAnsi="Arial" w:cs="Arial"/>
          <w:szCs w:val="24"/>
          <w:lang w:val="en-GB"/>
        </w:rPr>
        <w:t xml:space="preserve">shower or change clothes together, the children </w:t>
      </w:r>
      <w:r w:rsidR="005565E4" w:rsidRPr="0028108F">
        <w:rPr>
          <w:rFonts w:ascii="Arial" w:hAnsi="Arial" w:cs="Arial"/>
          <w:szCs w:val="24"/>
          <w:lang w:val="en-GB"/>
        </w:rPr>
        <w:t>may be very confused to</w:t>
      </w:r>
      <w:r w:rsidRPr="0028108F">
        <w:rPr>
          <w:rFonts w:ascii="Arial" w:hAnsi="Arial" w:cs="Arial"/>
          <w:szCs w:val="24"/>
          <w:lang w:val="en-GB"/>
        </w:rPr>
        <w:t xml:space="preserve"> find that both their </w:t>
      </w:r>
      <w:r w:rsidR="005565E4" w:rsidRPr="0028108F">
        <w:rPr>
          <w:rFonts w:ascii="Arial" w:hAnsi="Arial" w:cs="Arial"/>
          <w:szCs w:val="24"/>
          <w:lang w:val="en-GB"/>
        </w:rPr>
        <w:t>“</w:t>
      </w:r>
      <w:r w:rsidRPr="0028108F">
        <w:rPr>
          <w:rFonts w:ascii="Arial" w:hAnsi="Arial" w:cs="Arial"/>
          <w:i/>
          <w:szCs w:val="24"/>
          <w:lang w:val="en-GB"/>
        </w:rPr>
        <w:t>mother</w:t>
      </w:r>
      <w:r w:rsidR="005565E4" w:rsidRPr="00181CF2">
        <w:rPr>
          <w:rFonts w:ascii="Arial" w:hAnsi="Arial" w:cs="Arial"/>
          <w:szCs w:val="24"/>
          <w:lang w:val="en-GB"/>
        </w:rPr>
        <w:t>”</w:t>
      </w:r>
      <w:r w:rsidRPr="00C57CE1">
        <w:rPr>
          <w:rFonts w:ascii="Arial" w:hAnsi="Arial" w:cs="Arial"/>
          <w:szCs w:val="24"/>
          <w:lang w:val="en-GB"/>
        </w:rPr>
        <w:t xml:space="preserve"> and </w:t>
      </w:r>
      <w:r w:rsidRPr="0028108F">
        <w:rPr>
          <w:rFonts w:ascii="Arial" w:hAnsi="Arial" w:cs="Arial"/>
          <w:szCs w:val="24"/>
          <w:lang w:val="en-GB"/>
        </w:rPr>
        <w:t xml:space="preserve">father have the same sex organs, </w:t>
      </w:r>
      <w:r w:rsidR="005565E4" w:rsidRPr="0028108F">
        <w:rPr>
          <w:rFonts w:ascii="Arial" w:hAnsi="Arial" w:cs="Arial"/>
          <w:szCs w:val="24"/>
          <w:lang w:val="en-GB"/>
        </w:rPr>
        <w:t xml:space="preserve">while their </w:t>
      </w:r>
      <w:r w:rsidR="005565E4" w:rsidRPr="0028108F">
        <w:rPr>
          <w:rFonts w:ascii="Arial" w:hAnsi="Arial" w:cs="Arial"/>
          <w:i/>
          <w:szCs w:val="24"/>
          <w:lang w:val="en-GB"/>
        </w:rPr>
        <w:t>“mother”</w:t>
      </w:r>
      <w:r w:rsidR="005565E4" w:rsidRPr="00181CF2">
        <w:rPr>
          <w:rFonts w:ascii="Arial" w:hAnsi="Arial" w:cs="Arial"/>
          <w:szCs w:val="24"/>
          <w:lang w:val="en-GB"/>
        </w:rPr>
        <w:t xml:space="preserve"> </w:t>
      </w:r>
      <w:r w:rsidR="005565E4" w:rsidRPr="00C57CE1">
        <w:rPr>
          <w:rFonts w:ascii="Arial" w:hAnsi="Arial" w:cs="Arial"/>
          <w:szCs w:val="24"/>
          <w:lang w:val="en-GB"/>
        </w:rPr>
        <w:t xml:space="preserve">may also </w:t>
      </w:r>
      <w:r w:rsidR="005565E4" w:rsidRPr="0028108F">
        <w:rPr>
          <w:rFonts w:ascii="Arial" w:hAnsi="Arial" w:cs="Arial"/>
          <w:szCs w:val="24"/>
          <w:lang w:val="en-GB"/>
        </w:rPr>
        <w:t>have breasts</w:t>
      </w:r>
      <w:r w:rsidRPr="0028108F">
        <w:rPr>
          <w:rFonts w:ascii="Arial" w:hAnsi="Arial" w:cs="Arial"/>
          <w:szCs w:val="24"/>
          <w:lang w:val="en-GB"/>
        </w:rPr>
        <w:t>.</w:t>
      </w:r>
      <w:r w:rsidRPr="00181CF2">
        <w:rPr>
          <w:rStyle w:val="FootnoteReference"/>
          <w:rFonts w:ascii="Arial" w:hAnsi="Arial" w:cs="Arial"/>
          <w:szCs w:val="24"/>
          <w:lang w:val="en-GB"/>
        </w:rPr>
        <w:footnoteReference w:id="526"/>
      </w:r>
      <w:r w:rsidRPr="00181CF2">
        <w:rPr>
          <w:rFonts w:ascii="Arial" w:hAnsi="Arial" w:cs="Arial"/>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kern w:val="0"/>
          <w:szCs w:val="24"/>
          <w:lang w:val="en-GB"/>
        </w:rPr>
      </w:pPr>
    </w:p>
    <w:p w:rsidR="00E773F6" w:rsidRPr="0028108F" w:rsidRDefault="00E773F6" w:rsidP="00E773F6">
      <w:pPr>
        <w:tabs>
          <w:tab w:val="left" w:pos="851"/>
        </w:tabs>
        <w:adjustRightInd w:val="0"/>
        <w:snapToGrid w:val="0"/>
        <w:jc w:val="both"/>
        <w:rPr>
          <w:rFonts w:ascii="Arial" w:hAnsi="Arial" w:cs="Arial"/>
          <w:i/>
          <w:kern w:val="0"/>
          <w:szCs w:val="24"/>
          <w:lang w:val="en-GB"/>
        </w:rPr>
      </w:pPr>
      <w:r w:rsidRPr="0028108F">
        <w:rPr>
          <w:rFonts w:ascii="Arial" w:hAnsi="Arial" w:cs="Arial"/>
          <w:i/>
          <w:kern w:val="0"/>
          <w:szCs w:val="24"/>
          <w:lang w:val="en-GB"/>
        </w:rPr>
        <w:t>Argument (2): Concerns about sex-specific facilities and situations</w:t>
      </w:r>
    </w:p>
    <w:p w:rsidR="00E773F6" w:rsidRPr="0028108F" w:rsidRDefault="00E773F6" w:rsidP="008813DE">
      <w:pPr>
        <w:pStyle w:val="ListParagraph"/>
        <w:tabs>
          <w:tab w:val="left" w:pos="1418"/>
          <w:tab w:val="left" w:pos="2552"/>
        </w:tabs>
        <w:autoSpaceDE w:val="0"/>
        <w:autoSpaceDN w:val="0"/>
        <w:adjustRightInd w:val="0"/>
        <w:snapToGrid w:val="0"/>
        <w:ind w:leftChars="0" w:left="0"/>
        <w:jc w:val="both"/>
        <w:rPr>
          <w:rFonts w:ascii="Arial" w:hAnsi="Arial" w:cs="Arial"/>
          <w:kern w:val="0"/>
          <w:szCs w:val="24"/>
          <w:u w:val="single"/>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28108F">
        <w:rPr>
          <w:rFonts w:ascii="Arial" w:eastAsiaTheme="minorEastAsia" w:hAnsi="Arial" w:cs="Arial"/>
          <w:kern w:val="0"/>
          <w:szCs w:val="24"/>
          <w:lang w:val="en-GB"/>
        </w:rPr>
        <w:t xml:space="preserve">A number of facilities in the </w:t>
      </w:r>
      <w:r w:rsidR="00323745" w:rsidRPr="0028108F">
        <w:rPr>
          <w:rFonts w:ascii="Arial" w:eastAsiaTheme="minorEastAsia" w:hAnsi="Arial" w:cs="Arial"/>
          <w:kern w:val="0"/>
          <w:szCs w:val="24"/>
          <w:lang w:val="en-GB"/>
        </w:rPr>
        <w:t xml:space="preserve">community </w:t>
      </w:r>
      <w:r w:rsidRPr="0028108F">
        <w:rPr>
          <w:rFonts w:ascii="Arial" w:eastAsiaTheme="minorEastAsia" w:hAnsi="Arial" w:cs="Arial"/>
          <w:kern w:val="0"/>
          <w:szCs w:val="24"/>
          <w:lang w:val="en-GB"/>
        </w:rPr>
        <w:t>are sex-segregated, ranging from those needed on a daily basis (such as bathrooms and toilets) to those in otherwise non-segregated spaces (such as locker rooms in gym</w:t>
      </w:r>
      <w:r w:rsidR="00323745" w:rsidRPr="0028108F">
        <w:rPr>
          <w:rFonts w:ascii="Arial" w:eastAsiaTheme="minorEastAsia" w:hAnsi="Arial" w:cs="Arial"/>
          <w:kern w:val="0"/>
          <w:szCs w:val="24"/>
          <w:lang w:val="en-GB"/>
        </w:rPr>
        <w:t>s</w:t>
      </w:r>
      <w:r w:rsidRPr="0028108F">
        <w:rPr>
          <w:rFonts w:ascii="Arial" w:eastAsiaTheme="minorEastAsia" w:hAnsi="Arial" w:cs="Arial"/>
          <w:kern w:val="0"/>
          <w:szCs w:val="24"/>
          <w:lang w:val="en-GB"/>
        </w:rPr>
        <w:t>)</w:t>
      </w:r>
      <w:r w:rsidR="00323745" w:rsidRPr="0028108F">
        <w:rPr>
          <w:rFonts w:ascii="Arial" w:eastAsiaTheme="minorEastAsia" w:hAnsi="Arial" w:cs="Arial"/>
          <w:kern w:val="0"/>
          <w:szCs w:val="24"/>
          <w:lang w:val="en-GB"/>
        </w:rPr>
        <w:t xml:space="preserve">. </w:t>
      </w:r>
      <w:r w:rsidRPr="0028108F">
        <w:rPr>
          <w:rFonts w:ascii="Arial" w:eastAsiaTheme="minorEastAsia" w:hAnsi="Arial" w:cs="Arial"/>
          <w:kern w:val="0"/>
          <w:szCs w:val="24"/>
          <w:lang w:val="en-GB"/>
        </w:rPr>
        <w:t xml:space="preserve"> </w:t>
      </w:r>
      <w:r w:rsidR="00323745" w:rsidRPr="0028108F">
        <w:rPr>
          <w:rFonts w:ascii="Arial" w:eastAsiaTheme="minorEastAsia" w:hAnsi="Arial" w:cs="Arial"/>
          <w:kern w:val="0"/>
          <w:szCs w:val="24"/>
          <w:lang w:val="en-GB"/>
        </w:rPr>
        <w:t>T</w:t>
      </w:r>
      <w:r w:rsidRPr="0028108F">
        <w:rPr>
          <w:rFonts w:ascii="Arial" w:eastAsiaTheme="minorEastAsia" w:hAnsi="Arial" w:cs="Arial"/>
          <w:kern w:val="0"/>
          <w:szCs w:val="24"/>
          <w:lang w:val="en-GB"/>
        </w:rPr>
        <w:t xml:space="preserve">here are </w:t>
      </w:r>
      <w:r w:rsidR="00323745" w:rsidRPr="0028108F">
        <w:rPr>
          <w:rFonts w:ascii="Arial" w:eastAsiaTheme="minorEastAsia" w:hAnsi="Arial" w:cs="Arial"/>
          <w:kern w:val="0"/>
          <w:szCs w:val="24"/>
          <w:lang w:val="en-GB"/>
        </w:rPr>
        <w:t xml:space="preserve">also </w:t>
      </w:r>
      <w:r w:rsidRPr="0028108F">
        <w:rPr>
          <w:rFonts w:ascii="Arial" w:eastAsiaTheme="minorEastAsia" w:hAnsi="Arial" w:cs="Arial"/>
          <w:kern w:val="0"/>
          <w:szCs w:val="24"/>
          <w:lang w:val="en-GB"/>
        </w:rPr>
        <w:t>gender-segregated residential or quasi-residential facilities, program</w:t>
      </w:r>
      <w:r w:rsidR="0075667E" w:rsidRPr="0028108F">
        <w:rPr>
          <w:rFonts w:ascii="Arial" w:eastAsiaTheme="minorEastAsia" w:hAnsi="Arial" w:cs="Arial"/>
          <w:kern w:val="0"/>
          <w:szCs w:val="24"/>
          <w:lang w:val="en-GB"/>
        </w:rPr>
        <w:t>me</w:t>
      </w:r>
      <w:r w:rsidRPr="0028108F">
        <w:rPr>
          <w:rFonts w:ascii="Arial" w:eastAsiaTheme="minorEastAsia" w:hAnsi="Arial" w:cs="Arial"/>
          <w:kern w:val="0"/>
          <w:szCs w:val="24"/>
          <w:lang w:val="en-GB"/>
        </w:rPr>
        <w:t xml:space="preserve">s or services, such as homeless shelters, foster care homes and domestic violence shelters.  In these places, transgender people might be subjected to special treatment or placed into the section according to their sex assigned at birth, or </w:t>
      </w:r>
      <w:r w:rsidR="009D33B6">
        <w:rPr>
          <w:rFonts w:ascii="Arial" w:eastAsiaTheme="minorEastAsia" w:hAnsi="Arial" w:cs="Arial" w:hint="eastAsia"/>
          <w:kern w:val="0"/>
          <w:szCs w:val="24"/>
          <w:lang w:val="en-GB"/>
        </w:rPr>
        <w:t xml:space="preserve">they </w:t>
      </w:r>
      <w:r w:rsidR="008A76D3" w:rsidRPr="0028108F">
        <w:rPr>
          <w:rFonts w:ascii="Arial" w:eastAsiaTheme="minorEastAsia" w:hAnsi="Arial" w:cs="Arial"/>
          <w:kern w:val="0"/>
          <w:szCs w:val="24"/>
          <w:lang w:val="en-GB"/>
        </w:rPr>
        <w:t xml:space="preserve">may </w:t>
      </w:r>
      <w:r w:rsidRPr="0028108F">
        <w:rPr>
          <w:rFonts w:ascii="Arial" w:eastAsiaTheme="minorEastAsia" w:hAnsi="Arial" w:cs="Arial"/>
          <w:kern w:val="0"/>
          <w:szCs w:val="24"/>
          <w:lang w:val="en-GB"/>
        </w:rPr>
        <w:t xml:space="preserve">have to seek shelters specifically catering for them.  If </w:t>
      </w:r>
      <w:r w:rsidR="00323745" w:rsidRPr="0028108F">
        <w:rPr>
          <w:rFonts w:ascii="Arial" w:eastAsiaTheme="minorEastAsia" w:hAnsi="Arial" w:cs="Arial"/>
          <w:kern w:val="0"/>
          <w:szCs w:val="24"/>
          <w:lang w:val="en-GB"/>
        </w:rPr>
        <w:t xml:space="preserve">a </w:t>
      </w:r>
      <w:r w:rsidRPr="0028108F">
        <w:rPr>
          <w:rFonts w:ascii="Arial" w:eastAsiaTheme="minorEastAsia" w:hAnsi="Arial" w:cs="Arial"/>
          <w:kern w:val="0"/>
          <w:szCs w:val="24"/>
          <w:lang w:val="en-GB"/>
        </w:rPr>
        <w:t>pre-operative transgender person</w:t>
      </w:r>
      <w:r w:rsidR="00323745" w:rsidRPr="0028108F">
        <w:rPr>
          <w:rFonts w:ascii="Arial" w:eastAsiaTheme="minorEastAsia" w:hAnsi="Arial" w:cs="Arial"/>
          <w:kern w:val="0"/>
          <w:szCs w:val="24"/>
          <w:lang w:val="en-GB"/>
        </w:rPr>
        <w:t>’</w:t>
      </w:r>
      <w:r w:rsidRPr="0028108F">
        <w:rPr>
          <w:rFonts w:ascii="Arial" w:eastAsiaTheme="minorEastAsia" w:hAnsi="Arial" w:cs="Arial"/>
          <w:kern w:val="0"/>
          <w:szCs w:val="24"/>
          <w:lang w:val="en-GB"/>
        </w:rPr>
        <w:t>s acquired gender is recognised in law, some may express concerns about the</w:t>
      </w:r>
      <w:r w:rsidR="00323745" w:rsidRPr="0028108F">
        <w:rPr>
          <w:rFonts w:ascii="Arial" w:eastAsiaTheme="minorEastAsia" w:hAnsi="Arial" w:cs="Arial"/>
          <w:kern w:val="0"/>
          <w:szCs w:val="24"/>
          <w:lang w:val="en-GB"/>
        </w:rPr>
        <w:t>ir</w:t>
      </w:r>
      <w:r w:rsidR="00E7511D" w:rsidRPr="0028108F">
        <w:rPr>
          <w:rFonts w:ascii="Arial" w:eastAsiaTheme="minorEastAsia" w:hAnsi="Arial" w:cs="Arial"/>
          <w:kern w:val="0"/>
          <w:szCs w:val="24"/>
          <w:lang w:val="en-GB"/>
        </w:rPr>
        <w:t xml:space="preserve"> </w:t>
      </w:r>
      <w:r w:rsidRPr="0028108F">
        <w:rPr>
          <w:rFonts w:ascii="Arial" w:eastAsiaTheme="minorEastAsia" w:hAnsi="Arial" w:cs="Arial"/>
          <w:kern w:val="0"/>
          <w:szCs w:val="24"/>
          <w:lang w:val="en-GB"/>
        </w:rPr>
        <w:t>us</w:t>
      </w:r>
      <w:r w:rsidR="00323745" w:rsidRPr="0028108F">
        <w:rPr>
          <w:rFonts w:ascii="Arial" w:eastAsiaTheme="minorEastAsia" w:hAnsi="Arial" w:cs="Arial"/>
          <w:kern w:val="0"/>
          <w:szCs w:val="24"/>
          <w:lang w:val="en-GB"/>
        </w:rPr>
        <w:t>e of</w:t>
      </w:r>
      <w:r w:rsidRPr="0028108F">
        <w:rPr>
          <w:rFonts w:ascii="Arial" w:eastAsiaTheme="minorEastAsia" w:hAnsi="Arial" w:cs="Arial"/>
          <w:kern w:val="0"/>
          <w:szCs w:val="24"/>
          <w:lang w:val="en-GB"/>
        </w:rPr>
        <w:t xml:space="preserve"> sex-specific public facilities, claiming that </w:t>
      </w:r>
      <w:r w:rsidR="00077936" w:rsidRPr="0028108F">
        <w:rPr>
          <w:rFonts w:ascii="Arial" w:eastAsiaTheme="minorEastAsia" w:hAnsi="Arial" w:cs="Arial"/>
          <w:kern w:val="0"/>
          <w:szCs w:val="24"/>
          <w:lang w:val="en-GB"/>
        </w:rPr>
        <w:t xml:space="preserve">there is a </w:t>
      </w:r>
      <w:r w:rsidRPr="00181CF2">
        <w:rPr>
          <w:rFonts w:ascii="Arial" w:eastAsiaTheme="minorEastAsia" w:hAnsi="Arial" w:cs="Arial"/>
          <w:kern w:val="0"/>
          <w:szCs w:val="24"/>
          <w:lang w:val="en-GB"/>
        </w:rPr>
        <w:t xml:space="preserve">need to ensure privacy of other people </w:t>
      </w:r>
      <w:r w:rsidR="008A76D3" w:rsidRPr="00C57CE1">
        <w:rPr>
          <w:rFonts w:ascii="Arial" w:eastAsiaTheme="minorEastAsia" w:hAnsi="Arial" w:cs="Arial"/>
          <w:kern w:val="0"/>
          <w:szCs w:val="24"/>
          <w:lang w:val="en-GB"/>
        </w:rPr>
        <w:t>using the fa</w:t>
      </w:r>
      <w:r w:rsidR="008A76D3" w:rsidRPr="0028108F">
        <w:rPr>
          <w:rFonts w:ascii="Arial" w:eastAsiaTheme="minorEastAsia" w:hAnsi="Arial" w:cs="Arial"/>
          <w:kern w:val="0"/>
          <w:szCs w:val="24"/>
          <w:lang w:val="en-GB"/>
        </w:rPr>
        <w:t xml:space="preserve">cilities </w:t>
      </w:r>
      <w:r w:rsidR="00077936" w:rsidRPr="0028108F">
        <w:rPr>
          <w:rFonts w:ascii="Arial" w:eastAsiaTheme="minorEastAsia" w:hAnsi="Arial" w:cs="Arial"/>
          <w:kern w:val="0"/>
          <w:szCs w:val="24"/>
          <w:lang w:val="en-GB"/>
        </w:rPr>
        <w:t>and</w:t>
      </w:r>
      <w:r w:rsidR="00077936" w:rsidRPr="00181CF2">
        <w:rPr>
          <w:rFonts w:ascii="Arial" w:eastAsiaTheme="minorEastAsia" w:hAnsi="Arial" w:cs="Arial"/>
          <w:kern w:val="0"/>
          <w:szCs w:val="24"/>
          <w:lang w:val="en-GB"/>
        </w:rPr>
        <w:t xml:space="preserve"> </w:t>
      </w:r>
      <w:r w:rsidRPr="00C57CE1">
        <w:rPr>
          <w:rFonts w:ascii="Arial" w:eastAsiaTheme="minorEastAsia" w:hAnsi="Arial" w:cs="Arial"/>
          <w:kern w:val="0"/>
          <w:szCs w:val="24"/>
          <w:lang w:val="en-GB"/>
        </w:rPr>
        <w:t>to prevent possible sexual abuses and assaults.</w:t>
      </w:r>
      <w:r w:rsidRPr="00181CF2">
        <w:rPr>
          <w:rStyle w:val="FootnoteReference"/>
          <w:rFonts w:ascii="Arial" w:hAnsi="Arial" w:cs="Arial"/>
          <w:szCs w:val="24"/>
          <w:lang w:val="en-GB"/>
        </w:rPr>
        <w:footnoteReference w:id="527"/>
      </w:r>
      <w:r w:rsidRPr="00181CF2">
        <w:rPr>
          <w:rFonts w:ascii="Arial" w:eastAsiaTheme="minorEastAsia" w:hAnsi="Arial" w:cs="Arial"/>
          <w:kern w:val="0"/>
          <w:szCs w:val="24"/>
          <w:lang w:val="en-GB"/>
        </w:rPr>
        <w:t xml:space="preserve">  Further, some may assert that for sex-specific jobs or job duties, such as those that might exist in a nursing or medical facility, bodily privacy of clients would be violated if, for </w:t>
      </w:r>
      <w:r w:rsidR="001C4814" w:rsidRPr="0028108F">
        <w:rPr>
          <w:rFonts w:ascii="Arial" w:eastAsiaTheme="minorEastAsia" w:hAnsi="Arial" w:cs="Arial"/>
          <w:kern w:val="0"/>
          <w:szCs w:val="24"/>
          <w:lang w:val="en-GB"/>
        </w:rPr>
        <w:t>example</w:t>
      </w:r>
      <w:r w:rsidRPr="0028108F">
        <w:rPr>
          <w:rFonts w:ascii="Arial" w:eastAsiaTheme="minorEastAsia" w:hAnsi="Arial" w:cs="Arial"/>
          <w:kern w:val="0"/>
          <w:szCs w:val="24"/>
          <w:lang w:val="en-GB"/>
        </w:rPr>
        <w:t>, a staff member of one anatomical structure observes or treats an unclothed client of another anatomical structure.</w:t>
      </w:r>
      <w:r w:rsidRPr="00181CF2">
        <w:rPr>
          <w:rStyle w:val="FootnoteReference"/>
          <w:rFonts w:ascii="Arial" w:hAnsi="Arial" w:cs="Arial"/>
          <w:szCs w:val="24"/>
          <w:lang w:val="en-GB"/>
        </w:rPr>
        <w:footnoteReference w:id="528"/>
      </w:r>
      <w:r w:rsidRPr="00181CF2">
        <w:rPr>
          <w:rFonts w:ascii="Arial" w:eastAsiaTheme="minorEastAsia" w:hAnsi="Arial" w:cs="Arial"/>
          <w:kern w:val="0"/>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u w:val="single"/>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28108F">
        <w:rPr>
          <w:rFonts w:ascii="Arial" w:eastAsiaTheme="minorEastAsia" w:hAnsi="Arial" w:cs="Arial"/>
          <w:kern w:val="0"/>
          <w:szCs w:val="24"/>
          <w:lang w:val="en-GB"/>
        </w:rPr>
        <w:t xml:space="preserve">In this respect, the case of Colleen Francis has frequently been mentioned </w:t>
      </w:r>
      <w:r w:rsidR="00323745" w:rsidRPr="0028108F">
        <w:rPr>
          <w:rFonts w:ascii="Arial" w:eastAsiaTheme="minorEastAsia" w:hAnsi="Arial" w:cs="Arial"/>
          <w:kern w:val="0"/>
          <w:szCs w:val="24"/>
          <w:lang w:val="en-GB"/>
        </w:rPr>
        <w:t xml:space="preserve">in </w:t>
      </w:r>
      <w:r w:rsidRPr="0028108F">
        <w:rPr>
          <w:rFonts w:ascii="Arial" w:eastAsiaTheme="minorEastAsia" w:hAnsi="Arial" w:cs="Arial"/>
          <w:kern w:val="0"/>
          <w:szCs w:val="24"/>
          <w:lang w:val="en-GB"/>
        </w:rPr>
        <w:t>narratives opposing gender recognition based on non-surgical requirement</w:t>
      </w:r>
      <w:r w:rsidR="00323745" w:rsidRPr="0028108F">
        <w:rPr>
          <w:rFonts w:ascii="Arial" w:eastAsiaTheme="minorEastAsia" w:hAnsi="Arial" w:cs="Arial"/>
          <w:kern w:val="0"/>
          <w:szCs w:val="24"/>
          <w:lang w:val="en-GB"/>
        </w:rPr>
        <w:t>s,</w:t>
      </w:r>
      <w:r w:rsidRPr="0028108F">
        <w:rPr>
          <w:rFonts w:ascii="Arial" w:eastAsiaTheme="minorEastAsia" w:hAnsi="Arial" w:cs="Arial"/>
          <w:kern w:val="0"/>
          <w:szCs w:val="24"/>
          <w:lang w:val="en-GB"/>
        </w:rPr>
        <w:t xml:space="preserve"> and </w:t>
      </w:r>
      <w:r w:rsidR="00323745" w:rsidRPr="0028108F">
        <w:rPr>
          <w:rFonts w:ascii="Arial" w:eastAsiaTheme="minorEastAsia" w:hAnsi="Arial" w:cs="Arial"/>
          <w:kern w:val="0"/>
          <w:szCs w:val="24"/>
          <w:lang w:val="en-GB"/>
        </w:rPr>
        <w:t xml:space="preserve">is </w:t>
      </w:r>
      <w:r w:rsidRPr="0028108F">
        <w:rPr>
          <w:rFonts w:ascii="Arial" w:eastAsiaTheme="minorEastAsia" w:hAnsi="Arial" w:cs="Arial"/>
          <w:kern w:val="0"/>
          <w:szCs w:val="24"/>
          <w:lang w:val="en-GB"/>
        </w:rPr>
        <w:t>taken as a cautionary tale that allegedly proves that any trans-equality laws could go too far.</w:t>
      </w:r>
      <w:r w:rsidRPr="00181CF2">
        <w:rPr>
          <w:rStyle w:val="FootnoteReference"/>
          <w:rFonts w:ascii="Arial" w:hAnsi="Arial" w:cs="Arial"/>
          <w:color w:val="000000" w:themeColor="text1"/>
          <w:szCs w:val="24"/>
          <w:lang w:val="en-GB"/>
        </w:rPr>
        <w:footnoteReference w:id="529"/>
      </w:r>
      <w:r w:rsidRPr="00181CF2">
        <w:rPr>
          <w:rFonts w:ascii="Arial" w:hAnsi="Arial" w:cs="Arial"/>
          <w:kern w:val="0"/>
          <w:szCs w:val="24"/>
          <w:lang w:val="en-GB"/>
        </w:rPr>
        <w:t xml:space="preserve">  Colleen Francis was at the material time</w:t>
      </w:r>
      <w:r w:rsidRPr="0028108F">
        <w:rPr>
          <w:rFonts w:ascii="Arial" w:hAnsi="Arial" w:cs="Arial"/>
          <w:kern w:val="0"/>
          <w:szCs w:val="24"/>
          <w:lang w:val="en-GB"/>
        </w:rPr>
        <w:t xml:space="preserve"> a US male-to-female transgender person with male genitalia who dressed as a woman.  In late 2011, she was found to have exposed her body and male genitalia in </w:t>
      </w:r>
      <w:r w:rsidR="00EA48A8" w:rsidRPr="0028108F">
        <w:rPr>
          <w:rFonts w:ascii="Arial" w:hAnsi="Arial" w:cs="Arial"/>
          <w:kern w:val="0"/>
          <w:szCs w:val="24"/>
          <w:lang w:val="en-GB"/>
        </w:rPr>
        <w:t>a college</w:t>
      </w:r>
      <w:r w:rsidRPr="0028108F">
        <w:rPr>
          <w:rFonts w:ascii="Arial" w:hAnsi="Arial" w:cs="Arial"/>
          <w:kern w:val="0"/>
          <w:szCs w:val="24"/>
          <w:lang w:val="en-GB"/>
        </w:rPr>
        <w:t xml:space="preserve"> women’s locker rooms wh</w:t>
      </w:r>
      <w:r w:rsidR="00323745" w:rsidRPr="0028108F">
        <w:rPr>
          <w:rFonts w:ascii="Arial" w:hAnsi="Arial" w:cs="Arial"/>
          <w:kern w:val="0"/>
          <w:szCs w:val="24"/>
          <w:lang w:val="en-GB"/>
        </w:rPr>
        <w:t>ich</w:t>
      </w:r>
      <w:r w:rsidRPr="0028108F">
        <w:rPr>
          <w:rFonts w:ascii="Arial" w:hAnsi="Arial" w:cs="Arial"/>
          <w:kern w:val="0"/>
          <w:szCs w:val="24"/>
          <w:lang w:val="en-GB"/>
        </w:rPr>
        <w:t xml:space="preserve"> girls </w:t>
      </w:r>
      <w:r w:rsidR="00EA48A8" w:rsidRPr="0028108F">
        <w:rPr>
          <w:rFonts w:ascii="Arial" w:hAnsi="Arial" w:cs="Arial"/>
          <w:kern w:val="0"/>
          <w:szCs w:val="24"/>
          <w:lang w:val="en-GB"/>
        </w:rPr>
        <w:t xml:space="preserve">aged </w:t>
      </w:r>
      <w:r w:rsidRPr="0028108F">
        <w:rPr>
          <w:rFonts w:ascii="Arial" w:hAnsi="Arial" w:cs="Arial"/>
          <w:kern w:val="0"/>
          <w:szCs w:val="24"/>
          <w:lang w:val="en-GB"/>
        </w:rPr>
        <w:t>from 6 to 18 years would use</w:t>
      </w:r>
      <w:r w:rsidR="00EA48A8" w:rsidRPr="0028108F">
        <w:rPr>
          <w:rFonts w:ascii="Arial" w:hAnsi="Arial" w:cs="Arial"/>
          <w:kern w:val="0"/>
          <w:szCs w:val="24"/>
          <w:lang w:val="en-GB"/>
        </w:rPr>
        <w:t>.</w:t>
      </w:r>
      <w:r w:rsidRPr="0028108F">
        <w:rPr>
          <w:rFonts w:ascii="Arial" w:hAnsi="Arial" w:cs="Arial"/>
          <w:kern w:val="0"/>
          <w:szCs w:val="24"/>
          <w:lang w:val="en-GB"/>
        </w:rPr>
        <w:t xml:space="preserve"> </w:t>
      </w:r>
      <w:r w:rsidR="00EA48A8" w:rsidRPr="0028108F">
        <w:rPr>
          <w:rFonts w:ascii="Arial" w:hAnsi="Arial" w:cs="Arial"/>
          <w:kern w:val="0"/>
          <w:szCs w:val="24"/>
          <w:lang w:val="en-GB"/>
        </w:rPr>
        <w:t xml:space="preserve"> This</w:t>
      </w:r>
      <w:r w:rsidRPr="0028108F">
        <w:rPr>
          <w:rFonts w:ascii="Arial" w:hAnsi="Arial" w:cs="Arial"/>
          <w:kern w:val="0"/>
          <w:szCs w:val="24"/>
          <w:lang w:val="en-GB"/>
        </w:rPr>
        <w:t xml:space="preserve"> upset parents and </w:t>
      </w:r>
      <w:r w:rsidR="00EA48A8" w:rsidRPr="0028108F">
        <w:rPr>
          <w:rFonts w:ascii="Arial" w:hAnsi="Arial" w:cs="Arial"/>
          <w:kern w:val="0"/>
          <w:szCs w:val="24"/>
          <w:lang w:val="en-GB"/>
        </w:rPr>
        <w:t xml:space="preserve">the </w:t>
      </w:r>
      <w:r w:rsidRPr="0028108F">
        <w:rPr>
          <w:rFonts w:ascii="Arial" w:hAnsi="Arial" w:cs="Arial"/>
          <w:kern w:val="0"/>
          <w:szCs w:val="24"/>
          <w:lang w:val="en-GB"/>
        </w:rPr>
        <w:t>girls’ swim coaches.</w:t>
      </w:r>
      <w:r w:rsidRPr="00181CF2">
        <w:rPr>
          <w:rStyle w:val="FootnoteReference"/>
          <w:rFonts w:ascii="Arial" w:hAnsi="Arial" w:cs="Arial"/>
          <w:kern w:val="0"/>
          <w:szCs w:val="24"/>
          <w:lang w:val="en-GB"/>
        </w:rPr>
        <w:footnoteReference w:id="530"/>
      </w:r>
      <w:r w:rsidRPr="00181CF2">
        <w:rPr>
          <w:rFonts w:ascii="Arial" w:eastAsia="Times New Roman" w:hAnsi="Arial" w:cs="Arial"/>
          <w:kern w:val="0"/>
          <w:szCs w:val="24"/>
          <w:lang w:val="en-GB"/>
        </w:rPr>
        <w:t xml:space="preserve">  </w:t>
      </w:r>
      <w:r w:rsidRPr="00C57CE1">
        <w:rPr>
          <w:rFonts w:ascii="Arial" w:hAnsi="Arial" w:cs="Arial"/>
          <w:kern w:val="0"/>
          <w:szCs w:val="24"/>
          <w:lang w:val="en-GB"/>
        </w:rPr>
        <w:t xml:space="preserve">The local district attorney </w:t>
      </w:r>
      <w:r w:rsidRPr="0028108F">
        <w:rPr>
          <w:rFonts w:ascii="Arial" w:hAnsi="Arial" w:cs="Arial"/>
          <w:kern w:val="0"/>
          <w:szCs w:val="24"/>
          <w:lang w:val="en-GB"/>
        </w:rPr>
        <w:t>refused to press charges against Francis under Washington State’s indecent exposure statute</w:t>
      </w:r>
      <w:r w:rsidRPr="00181CF2">
        <w:rPr>
          <w:rStyle w:val="FootnoteReference"/>
          <w:rFonts w:ascii="Arial" w:hAnsi="Arial" w:cs="Arial"/>
          <w:kern w:val="0"/>
          <w:szCs w:val="24"/>
          <w:lang w:val="en-GB"/>
        </w:rPr>
        <w:footnoteReference w:id="531"/>
      </w:r>
      <w:r w:rsidRPr="00181CF2">
        <w:rPr>
          <w:rFonts w:ascii="Arial" w:hAnsi="Arial" w:cs="Arial"/>
          <w:kern w:val="0"/>
          <w:szCs w:val="24"/>
          <w:lang w:val="en-GB"/>
        </w:rPr>
        <w:t xml:space="preserve"> </w:t>
      </w:r>
      <w:r w:rsidR="00EA48A8" w:rsidRPr="0028108F">
        <w:rPr>
          <w:rFonts w:ascii="Arial" w:hAnsi="Arial" w:cs="Arial"/>
          <w:kern w:val="0"/>
          <w:szCs w:val="24"/>
          <w:lang w:val="en-GB"/>
        </w:rPr>
        <w:t>on the grounds that</w:t>
      </w:r>
      <w:r w:rsidRPr="0028108F">
        <w:rPr>
          <w:rFonts w:ascii="Arial" w:hAnsi="Arial" w:cs="Arial"/>
          <w:kern w:val="0"/>
          <w:szCs w:val="24"/>
          <w:lang w:val="en-GB"/>
        </w:rPr>
        <w:t xml:space="preserve"> she ha</w:t>
      </w:r>
      <w:r w:rsidR="009C72E7" w:rsidRPr="0028108F">
        <w:rPr>
          <w:rFonts w:ascii="Arial" w:hAnsi="Arial" w:cs="Arial"/>
          <w:kern w:val="0"/>
          <w:szCs w:val="24"/>
          <w:lang w:val="en-GB"/>
        </w:rPr>
        <w:t>d</w:t>
      </w:r>
      <w:r w:rsidRPr="0028108F">
        <w:rPr>
          <w:rFonts w:ascii="Arial" w:hAnsi="Arial" w:cs="Arial"/>
          <w:kern w:val="0"/>
          <w:szCs w:val="24"/>
          <w:lang w:val="en-GB"/>
        </w:rPr>
        <w:t xml:space="preserve"> an affirmative right to be in the women’s locker room on the basis of her acquired gender identity</w:t>
      </w:r>
      <w:r w:rsidR="009C72E7" w:rsidRPr="0028108F">
        <w:rPr>
          <w:rFonts w:ascii="Arial" w:hAnsi="Arial" w:cs="Arial"/>
          <w:kern w:val="0"/>
          <w:szCs w:val="24"/>
          <w:lang w:val="en-GB"/>
        </w:rPr>
        <w:t>,</w:t>
      </w:r>
      <w:r w:rsidRPr="00181CF2">
        <w:rPr>
          <w:rStyle w:val="FootnoteReference"/>
          <w:rFonts w:ascii="Arial" w:hAnsi="Arial" w:cs="Arial"/>
          <w:kern w:val="0"/>
          <w:szCs w:val="24"/>
          <w:lang w:val="en-GB"/>
        </w:rPr>
        <w:footnoteReference w:id="532"/>
      </w:r>
      <w:r w:rsidRPr="00C57CE1">
        <w:rPr>
          <w:rFonts w:ascii="Arial" w:hAnsi="Arial" w:cs="Arial"/>
          <w:kern w:val="0"/>
          <w:szCs w:val="24"/>
          <w:lang w:val="en-GB"/>
        </w:rPr>
        <w:t xml:space="preserve"> thus her behaviour was consistent with normal usage of the sex-segregated facility.  The college </w:t>
      </w:r>
      <w:r w:rsidR="009C72E7" w:rsidRPr="0028108F">
        <w:rPr>
          <w:rFonts w:ascii="Arial" w:hAnsi="Arial" w:cs="Arial"/>
          <w:kern w:val="0"/>
          <w:szCs w:val="24"/>
          <w:lang w:val="en-GB"/>
        </w:rPr>
        <w:t>subsequently</w:t>
      </w:r>
      <w:r w:rsidRPr="0028108F">
        <w:rPr>
          <w:rFonts w:ascii="Arial" w:hAnsi="Arial" w:cs="Arial"/>
          <w:kern w:val="0"/>
          <w:szCs w:val="24"/>
          <w:lang w:val="en-GB"/>
        </w:rPr>
        <w:t xml:space="preserve"> put up privacy curtains for women who m</w:t>
      </w:r>
      <w:r w:rsidR="009C72E7" w:rsidRPr="0028108F">
        <w:rPr>
          <w:rFonts w:ascii="Arial" w:hAnsi="Arial" w:cs="Arial"/>
          <w:kern w:val="0"/>
          <w:szCs w:val="24"/>
          <w:lang w:val="en-GB"/>
        </w:rPr>
        <w:t>ight</w:t>
      </w:r>
      <w:r w:rsidRPr="0028108F">
        <w:rPr>
          <w:rFonts w:ascii="Arial" w:hAnsi="Arial" w:cs="Arial"/>
          <w:kern w:val="0"/>
          <w:szCs w:val="24"/>
          <w:lang w:val="en-GB"/>
        </w:rPr>
        <w:t xml:space="preserve"> feel uncomfortable chang</w:t>
      </w:r>
      <w:r w:rsidR="009C72E7" w:rsidRPr="0028108F">
        <w:rPr>
          <w:rFonts w:ascii="Arial" w:hAnsi="Arial" w:cs="Arial"/>
          <w:kern w:val="0"/>
          <w:szCs w:val="24"/>
          <w:lang w:val="en-GB"/>
        </w:rPr>
        <w:t>ing</w:t>
      </w:r>
      <w:r w:rsidRPr="0028108F">
        <w:rPr>
          <w:rFonts w:ascii="Arial" w:hAnsi="Arial" w:cs="Arial"/>
          <w:kern w:val="0"/>
          <w:szCs w:val="24"/>
          <w:lang w:val="en-GB"/>
        </w:rPr>
        <w:t xml:space="preserve"> in the locker rooms.  Nevertheless, the Alliance Defending Freedom</w:t>
      </w:r>
      <w:r w:rsidRPr="00181CF2">
        <w:rPr>
          <w:rStyle w:val="FootnoteReference"/>
          <w:rFonts w:ascii="Arial" w:hAnsi="Arial" w:cs="Arial"/>
          <w:kern w:val="0"/>
          <w:lang w:val="en-GB"/>
        </w:rPr>
        <w:footnoteReference w:id="533"/>
      </w:r>
      <w:r w:rsidRPr="00181CF2">
        <w:rPr>
          <w:rFonts w:ascii="Arial" w:hAnsi="Arial" w:cs="Arial"/>
          <w:kern w:val="0"/>
          <w:szCs w:val="24"/>
          <w:lang w:val="en-GB"/>
        </w:rPr>
        <w:t xml:space="preserve"> warned the college to readdress </w:t>
      </w:r>
      <w:r w:rsidR="009C72E7" w:rsidRPr="00C57CE1">
        <w:rPr>
          <w:rFonts w:ascii="Arial" w:hAnsi="Arial" w:cs="Arial"/>
          <w:kern w:val="0"/>
          <w:szCs w:val="24"/>
          <w:lang w:val="en-GB"/>
        </w:rPr>
        <w:t xml:space="preserve">granting </w:t>
      </w:r>
      <w:r w:rsidRPr="0028108F">
        <w:rPr>
          <w:rFonts w:ascii="Arial" w:hAnsi="Arial" w:cs="Arial"/>
          <w:kern w:val="0"/>
          <w:szCs w:val="24"/>
          <w:lang w:val="en-GB"/>
        </w:rPr>
        <w:t>their permission to a transgender person like Francis to use women’s locker rooms</w:t>
      </w:r>
      <w:r w:rsidR="009C72E7" w:rsidRPr="0028108F">
        <w:rPr>
          <w:rFonts w:ascii="Arial" w:hAnsi="Arial" w:cs="Arial"/>
          <w:kern w:val="0"/>
          <w:szCs w:val="24"/>
          <w:lang w:val="en-GB"/>
        </w:rPr>
        <w:t>,</w:t>
      </w:r>
      <w:r w:rsidRPr="0028108F">
        <w:rPr>
          <w:rFonts w:ascii="Arial" w:hAnsi="Arial" w:cs="Arial"/>
          <w:kern w:val="0"/>
          <w:szCs w:val="24"/>
          <w:lang w:val="en-GB"/>
        </w:rPr>
        <w:t xml:space="preserve"> as “</w:t>
      </w:r>
      <w:r w:rsidRPr="0028108F">
        <w:rPr>
          <w:rFonts w:ascii="Arial" w:hAnsi="Arial" w:cs="Arial"/>
          <w:i/>
          <w:kern w:val="0"/>
          <w:szCs w:val="24"/>
          <w:lang w:val="en-GB"/>
        </w:rPr>
        <w:t>allowing a person who is biologically a man to undress and expose himself to young girls places those girls at risk for emotional distress and harm…</w:t>
      </w:r>
      <w:r w:rsidR="009C72E7" w:rsidRPr="0028108F">
        <w:rPr>
          <w:rFonts w:ascii="Arial" w:hAnsi="Arial" w:cs="Arial"/>
          <w:i/>
          <w:kern w:val="0"/>
          <w:szCs w:val="24"/>
          <w:lang w:val="en-GB"/>
        </w:rPr>
        <w:t xml:space="preserve"> </w:t>
      </w:r>
      <w:r w:rsidRPr="0028108F">
        <w:rPr>
          <w:rFonts w:ascii="Arial" w:hAnsi="Arial" w:cs="Arial"/>
          <w:i/>
          <w:kern w:val="0"/>
          <w:szCs w:val="24"/>
          <w:lang w:val="en-GB"/>
        </w:rPr>
        <w:t>Any reasonable person would view this as dangerous to the young girls involved.  The fact that this individual was sitting in plain view of young girls changing into their swimsuits puts you and [the college] on notice of possible future harm</w:t>
      </w:r>
      <w:r w:rsidRPr="0028108F">
        <w:rPr>
          <w:rFonts w:ascii="Arial" w:hAnsi="Arial" w:cs="Arial"/>
          <w:kern w:val="0"/>
          <w:szCs w:val="24"/>
          <w:lang w:val="en-GB"/>
        </w:rPr>
        <w:t>.”</w:t>
      </w:r>
      <w:r w:rsidRPr="00181CF2">
        <w:rPr>
          <w:rStyle w:val="FootnoteReference"/>
          <w:rFonts w:ascii="Arial" w:hAnsi="Arial" w:cs="Arial"/>
          <w:kern w:val="0"/>
          <w:szCs w:val="24"/>
          <w:lang w:val="en-GB"/>
        </w:rPr>
        <w:footnoteReference w:id="534"/>
      </w:r>
      <w:r w:rsidRPr="00181CF2">
        <w:rPr>
          <w:rFonts w:ascii="Arial" w:hAnsi="Arial" w:cs="Arial"/>
          <w:kern w:val="0"/>
          <w:szCs w:val="24"/>
          <w:lang w:val="en-GB"/>
        </w:rPr>
        <w:t xml:space="preserve">  It has also been argued that the embarrassment and emotional distress that would be caused to women </w:t>
      </w:r>
      <w:r w:rsidRPr="0028108F">
        <w:rPr>
          <w:rFonts w:ascii="Arial" w:hAnsi="Arial" w:cs="Arial"/>
          <w:kern w:val="0"/>
          <w:szCs w:val="24"/>
          <w:lang w:val="en-GB"/>
        </w:rPr>
        <w:t xml:space="preserve">by allowing a </w:t>
      </w:r>
      <w:r w:rsidR="009C72E7" w:rsidRPr="0028108F">
        <w:rPr>
          <w:rFonts w:ascii="Arial" w:hAnsi="Arial" w:cs="Arial"/>
          <w:kern w:val="0"/>
          <w:szCs w:val="24"/>
          <w:lang w:val="en-GB"/>
        </w:rPr>
        <w:t xml:space="preserve">male-to-female </w:t>
      </w:r>
      <w:r w:rsidRPr="0028108F">
        <w:rPr>
          <w:rFonts w:ascii="Arial" w:hAnsi="Arial" w:cs="Arial"/>
          <w:kern w:val="0"/>
          <w:szCs w:val="24"/>
          <w:lang w:val="en-GB"/>
        </w:rPr>
        <w:t xml:space="preserve">transgender person who </w:t>
      </w:r>
      <w:r w:rsidR="009C72E7" w:rsidRPr="0028108F">
        <w:rPr>
          <w:rFonts w:ascii="Arial" w:hAnsi="Arial" w:cs="Arial"/>
          <w:kern w:val="0"/>
          <w:szCs w:val="24"/>
          <w:lang w:val="en-GB"/>
        </w:rPr>
        <w:t>has retained male genitalia</w:t>
      </w:r>
      <w:r w:rsidRPr="0028108F">
        <w:rPr>
          <w:rFonts w:ascii="Arial" w:hAnsi="Arial" w:cs="Arial"/>
          <w:kern w:val="0"/>
          <w:szCs w:val="24"/>
          <w:lang w:val="en-GB"/>
        </w:rPr>
        <w:t xml:space="preserve"> to expose h</w:t>
      </w:r>
      <w:r w:rsidR="009C72E7" w:rsidRPr="0028108F">
        <w:rPr>
          <w:rFonts w:ascii="Arial" w:hAnsi="Arial" w:cs="Arial"/>
          <w:kern w:val="0"/>
          <w:szCs w:val="24"/>
          <w:lang w:val="en-GB"/>
        </w:rPr>
        <w:t>erself</w:t>
      </w:r>
      <w:r w:rsidRPr="0028108F">
        <w:rPr>
          <w:rFonts w:ascii="Arial" w:hAnsi="Arial" w:cs="Arial"/>
          <w:kern w:val="0"/>
          <w:szCs w:val="24"/>
          <w:lang w:val="en-GB"/>
        </w:rPr>
        <w:t xml:space="preserve"> in public changing rooms and toilets are disproportionate to the alleged plight of transgender people in using sex-segregated facilities.</w:t>
      </w:r>
      <w:r w:rsidRPr="00181CF2">
        <w:rPr>
          <w:rStyle w:val="FootnoteReference"/>
          <w:rFonts w:ascii="Arial" w:hAnsi="Arial" w:cs="Arial"/>
          <w:szCs w:val="24"/>
          <w:lang w:val="en-GB"/>
        </w:rPr>
        <w:footnoteReference w:id="535"/>
      </w:r>
      <w:r w:rsidRPr="00181CF2">
        <w:rPr>
          <w:rFonts w:ascii="Arial" w:hAnsi="Arial" w:cs="Arial"/>
          <w:kern w:val="0"/>
          <w:szCs w:val="24"/>
          <w:lang w:val="en-GB"/>
        </w:rPr>
        <w:t xml:space="preserve"> </w:t>
      </w:r>
    </w:p>
    <w:p w:rsidR="00E773F6" w:rsidRPr="0028108F" w:rsidRDefault="00023CD4"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C57CE1">
        <w:rPr>
          <w:rFonts w:ascii="Arial" w:hAnsi="Arial" w:cs="Arial"/>
          <w:kern w:val="0"/>
          <w:szCs w:val="24"/>
          <w:lang w:val="en-GB"/>
        </w:rPr>
        <w:t xml:space="preserve">It is evident </w:t>
      </w:r>
      <w:r w:rsidRPr="0028108F">
        <w:rPr>
          <w:rFonts w:ascii="Arial" w:hAnsi="Arial" w:cs="Arial"/>
          <w:kern w:val="0"/>
          <w:szCs w:val="24"/>
          <w:lang w:val="en-GB"/>
        </w:rPr>
        <w:t xml:space="preserve">that, even in the West, where more liberal attitudes might be expected, there is </w:t>
      </w:r>
      <w:r w:rsidR="009D33B6" w:rsidRPr="0028108F">
        <w:rPr>
          <w:rFonts w:ascii="Arial" w:hAnsi="Arial" w:cs="Arial"/>
          <w:kern w:val="0"/>
          <w:szCs w:val="24"/>
          <w:lang w:val="en-GB"/>
        </w:rPr>
        <w:t>often</w:t>
      </w:r>
      <w:r w:rsidRPr="0028108F">
        <w:rPr>
          <w:rFonts w:ascii="Arial" w:hAnsi="Arial" w:cs="Arial"/>
          <w:kern w:val="0"/>
          <w:szCs w:val="24"/>
          <w:lang w:val="en-GB"/>
        </w:rPr>
        <w:t xml:space="preserve"> a </w:t>
      </w:r>
      <w:r w:rsidR="00E773F6" w:rsidRPr="0028108F">
        <w:rPr>
          <w:rFonts w:ascii="Arial" w:hAnsi="Arial" w:cs="Arial"/>
          <w:kern w:val="0"/>
          <w:szCs w:val="24"/>
          <w:lang w:val="en-GB"/>
        </w:rPr>
        <w:t>tension on issues of sex-specific public facilities between the LGBT</w:t>
      </w:r>
      <w:r w:rsidR="009C72E7" w:rsidRPr="0028108F">
        <w:rPr>
          <w:rFonts w:ascii="Arial" w:hAnsi="Arial" w:cs="Arial"/>
          <w:kern w:val="0"/>
          <w:szCs w:val="24"/>
          <w:lang w:val="en-GB"/>
        </w:rPr>
        <w:t>I</w:t>
      </w:r>
      <w:r w:rsidR="00E773F6" w:rsidRPr="0028108F">
        <w:rPr>
          <w:rFonts w:ascii="Arial" w:hAnsi="Arial" w:cs="Arial"/>
          <w:kern w:val="0"/>
          <w:szCs w:val="24"/>
          <w:lang w:val="en-GB"/>
        </w:rPr>
        <w:t xml:space="preserve"> groups and other more conservative people.  </w:t>
      </w:r>
      <w:r w:rsidR="0057385A" w:rsidRPr="0028108F">
        <w:rPr>
          <w:rFonts w:ascii="Arial" w:hAnsi="Arial" w:cs="Arial"/>
          <w:kern w:val="0"/>
          <w:szCs w:val="24"/>
          <w:lang w:val="en-GB"/>
        </w:rPr>
        <w:t>For example, i</w:t>
      </w:r>
      <w:r w:rsidR="00E773F6" w:rsidRPr="0028108F">
        <w:rPr>
          <w:rFonts w:ascii="Arial" w:hAnsi="Arial" w:cs="Arial"/>
          <w:kern w:val="0"/>
          <w:szCs w:val="24"/>
          <w:lang w:val="en-GB"/>
        </w:rPr>
        <w:t xml:space="preserve">n Texas, a proposed </w:t>
      </w:r>
      <w:r w:rsidR="009C72E7" w:rsidRPr="0028108F">
        <w:rPr>
          <w:rFonts w:ascii="Arial" w:hAnsi="Arial" w:cs="Arial"/>
          <w:kern w:val="0"/>
          <w:szCs w:val="24"/>
          <w:lang w:val="en-GB"/>
        </w:rPr>
        <w:t>B</w:t>
      </w:r>
      <w:r w:rsidR="00E773F6" w:rsidRPr="0028108F">
        <w:rPr>
          <w:rFonts w:ascii="Arial" w:hAnsi="Arial" w:cs="Arial"/>
          <w:kern w:val="0"/>
          <w:szCs w:val="24"/>
          <w:lang w:val="en-GB"/>
        </w:rPr>
        <w:t xml:space="preserve">ill that added </w:t>
      </w:r>
      <w:r w:rsidR="00E773F6" w:rsidRPr="0028108F">
        <w:rPr>
          <w:rFonts w:ascii="Arial" w:hAnsi="Arial" w:cs="Arial"/>
          <w:i/>
          <w:kern w:val="0"/>
          <w:szCs w:val="24"/>
          <w:lang w:val="en-GB"/>
        </w:rPr>
        <w:t>“gender identity”</w:t>
      </w:r>
      <w:r w:rsidR="00E773F6" w:rsidRPr="0028108F">
        <w:rPr>
          <w:rFonts w:ascii="Arial" w:hAnsi="Arial" w:cs="Arial"/>
          <w:kern w:val="0"/>
          <w:szCs w:val="24"/>
          <w:lang w:val="en-GB"/>
        </w:rPr>
        <w:t xml:space="preserve"> and </w:t>
      </w:r>
      <w:r w:rsidR="00E773F6" w:rsidRPr="0028108F">
        <w:rPr>
          <w:rFonts w:ascii="Arial" w:hAnsi="Arial" w:cs="Arial"/>
          <w:i/>
          <w:kern w:val="0"/>
          <w:szCs w:val="24"/>
          <w:lang w:val="en-GB"/>
        </w:rPr>
        <w:t>“sexual orientation”</w:t>
      </w:r>
      <w:r w:rsidR="00E773F6" w:rsidRPr="0028108F">
        <w:rPr>
          <w:rFonts w:ascii="Arial" w:hAnsi="Arial" w:cs="Arial"/>
          <w:kern w:val="0"/>
          <w:szCs w:val="24"/>
          <w:lang w:val="en-GB"/>
        </w:rPr>
        <w:t xml:space="preserve"> to protection for places of “</w:t>
      </w:r>
      <w:r w:rsidR="00E773F6" w:rsidRPr="0028108F">
        <w:rPr>
          <w:rFonts w:ascii="Arial" w:hAnsi="Arial" w:cs="Arial"/>
          <w:i/>
          <w:kern w:val="0"/>
          <w:szCs w:val="24"/>
          <w:lang w:val="en-GB"/>
        </w:rPr>
        <w:t>public accommodation</w:t>
      </w:r>
      <w:r w:rsidR="00E773F6" w:rsidRPr="00181CF2">
        <w:rPr>
          <w:rFonts w:ascii="Arial" w:hAnsi="Arial" w:cs="Arial"/>
          <w:kern w:val="0"/>
          <w:szCs w:val="24"/>
          <w:lang w:val="en-GB"/>
        </w:rPr>
        <w:t>”</w:t>
      </w:r>
      <w:r w:rsidRPr="00C57CE1">
        <w:rPr>
          <w:rFonts w:ascii="Arial" w:hAnsi="Arial" w:cs="Arial"/>
          <w:kern w:val="0"/>
          <w:szCs w:val="24"/>
          <w:lang w:val="en-GB"/>
        </w:rPr>
        <w:t>,</w:t>
      </w:r>
      <w:r w:rsidR="00E773F6" w:rsidRPr="0028108F">
        <w:rPr>
          <w:rFonts w:ascii="Arial" w:hAnsi="Arial" w:cs="Arial"/>
          <w:kern w:val="0"/>
          <w:szCs w:val="24"/>
          <w:lang w:val="en-GB"/>
        </w:rPr>
        <w:t xml:space="preserve"> which includes bathrooms, locker rooms and shower rooms</w:t>
      </w:r>
      <w:r w:rsidR="009C72E7" w:rsidRPr="0028108F">
        <w:rPr>
          <w:rFonts w:ascii="Arial" w:hAnsi="Arial" w:cs="Arial"/>
          <w:kern w:val="0"/>
          <w:szCs w:val="24"/>
          <w:lang w:val="en-GB"/>
        </w:rPr>
        <w:t>,</w:t>
      </w:r>
      <w:r w:rsidR="00E773F6" w:rsidRPr="0028108F">
        <w:rPr>
          <w:rFonts w:ascii="Arial" w:hAnsi="Arial" w:cs="Arial"/>
          <w:kern w:val="0"/>
          <w:szCs w:val="24"/>
          <w:lang w:val="en-GB"/>
        </w:rPr>
        <w:t xml:space="preserve"> </w:t>
      </w:r>
      <w:r w:rsidR="009C72E7" w:rsidRPr="0028108F">
        <w:rPr>
          <w:rFonts w:ascii="Arial" w:hAnsi="Arial" w:cs="Arial"/>
          <w:kern w:val="0"/>
          <w:szCs w:val="24"/>
          <w:lang w:val="en-GB"/>
        </w:rPr>
        <w:t>was</w:t>
      </w:r>
      <w:r w:rsidR="00E773F6" w:rsidRPr="0028108F">
        <w:rPr>
          <w:rFonts w:ascii="Arial" w:hAnsi="Arial" w:cs="Arial"/>
          <w:kern w:val="0"/>
          <w:szCs w:val="24"/>
          <w:lang w:val="en-GB"/>
        </w:rPr>
        <w:t xml:space="preserve"> voted down in late 2015 by a significant margin as many people believed th</w:t>
      </w:r>
      <w:r w:rsidR="009C72E7" w:rsidRPr="0028108F">
        <w:rPr>
          <w:rFonts w:ascii="Arial" w:hAnsi="Arial" w:cs="Arial"/>
          <w:kern w:val="0"/>
          <w:szCs w:val="24"/>
          <w:lang w:val="en-GB"/>
        </w:rPr>
        <w:t>is</w:t>
      </w:r>
      <w:r w:rsidR="00E773F6" w:rsidRPr="0028108F">
        <w:rPr>
          <w:rFonts w:ascii="Arial" w:hAnsi="Arial" w:cs="Arial"/>
          <w:kern w:val="0"/>
          <w:szCs w:val="24"/>
          <w:lang w:val="en-GB"/>
        </w:rPr>
        <w:t xml:space="preserve"> </w:t>
      </w:r>
      <w:r w:rsidR="009C72E7" w:rsidRPr="0028108F">
        <w:rPr>
          <w:rFonts w:ascii="Arial" w:hAnsi="Arial" w:cs="Arial"/>
          <w:kern w:val="0"/>
          <w:szCs w:val="24"/>
          <w:lang w:val="en-GB"/>
        </w:rPr>
        <w:t>B</w:t>
      </w:r>
      <w:r w:rsidR="00E773F6" w:rsidRPr="0028108F">
        <w:rPr>
          <w:rFonts w:ascii="Arial" w:hAnsi="Arial" w:cs="Arial"/>
          <w:kern w:val="0"/>
          <w:szCs w:val="24"/>
          <w:lang w:val="en-GB"/>
        </w:rPr>
        <w:t>ill went too far to allow men to use women’s public accommodation facilities.</w:t>
      </w:r>
      <w:r w:rsidR="00E773F6" w:rsidRPr="0028108F">
        <w:rPr>
          <w:rStyle w:val="FootnoteReference"/>
          <w:rFonts w:ascii="Arial" w:hAnsi="Arial" w:cs="Arial"/>
          <w:kern w:val="0"/>
          <w:szCs w:val="24"/>
          <w:lang w:val="en-GB"/>
        </w:rPr>
        <w:footnoteReference w:id="536"/>
      </w:r>
      <w:r w:rsidR="00E773F6" w:rsidRPr="0028108F">
        <w:rPr>
          <w:rFonts w:ascii="Arial" w:hAnsi="Arial" w:cs="Arial"/>
          <w:kern w:val="0"/>
          <w:szCs w:val="24"/>
          <w:lang w:val="en-GB"/>
        </w:rPr>
        <w:t xml:space="preserve">  </w:t>
      </w:r>
      <w:r w:rsidRPr="0028108F">
        <w:rPr>
          <w:rFonts w:ascii="Arial" w:hAnsi="Arial" w:cs="Arial"/>
          <w:kern w:val="0"/>
          <w:szCs w:val="24"/>
          <w:lang w:val="en-GB"/>
        </w:rPr>
        <w:t>If appears that d</w:t>
      </w:r>
      <w:r w:rsidR="00E773F6" w:rsidRPr="0028108F">
        <w:rPr>
          <w:rFonts w:ascii="Arial" w:hAnsi="Arial" w:cs="Arial"/>
          <w:kern w:val="0"/>
          <w:szCs w:val="24"/>
          <w:lang w:val="en-GB"/>
        </w:rPr>
        <w:t xml:space="preserve">uring the discussion of this bill among the public, national, state and local groups, activists and political figures all weighed in on the related issues, amongst whom the Texas Governor Greg Abbott, Texas Attorney General Ken Paxton, Houston megachurch pastor Dr Ed Young and a coalition of local black, Hispanic and Asian pastors and churches opposed the </w:t>
      </w:r>
      <w:r w:rsidR="0061737F" w:rsidRPr="0028108F">
        <w:rPr>
          <w:rFonts w:ascii="Arial" w:hAnsi="Arial" w:cs="Arial"/>
          <w:kern w:val="0"/>
          <w:szCs w:val="24"/>
          <w:lang w:val="en-GB"/>
        </w:rPr>
        <w:t>B</w:t>
      </w:r>
      <w:r w:rsidR="00E773F6" w:rsidRPr="0028108F">
        <w:rPr>
          <w:rFonts w:ascii="Arial" w:hAnsi="Arial" w:cs="Arial"/>
          <w:kern w:val="0"/>
          <w:szCs w:val="24"/>
          <w:lang w:val="en-GB"/>
        </w:rPr>
        <w:t xml:space="preserve">ill.  </w:t>
      </w:r>
      <w:r w:rsidR="0061737F" w:rsidRPr="0028108F">
        <w:rPr>
          <w:rFonts w:ascii="Arial" w:hAnsi="Arial" w:cs="Arial"/>
          <w:kern w:val="0"/>
          <w:szCs w:val="24"/>
          <w:lang w:val="en-GB"/>
        </w:rPr>
        <w:t>One</w:t>
      </w:r>
      <w:r w:rsidR="00E773F6" w:rsidRPr="0028108F">
        <w:rPr>
          <w:rFonts w:ascii="Arial" w:hAnsi="Arial" w:cs="Arial"/>
          <w:kern w:val="0"/>
          <w:szCs w:val="24"/>
          <w:lang w:val="en-GB"/>
        </w:rPr>
        <w:t xml:space="preserve"> main reason for the opposition was that many cases of crimes in Texas had been reportedly committed against women and children in public bathrooms.  Texas Values Action</w:t>
      </w:r>
      <w:r w:rsidR="00E773F6" w:rsidRPr="0028108F">
        <w:rPr>
          <w:rStyle w:val="FootnoteReference"/>
          <w:rFonts w:ascii="Arial" w:hAnsi="Arial" w:cs="Arial"/>
          <w:kern w:val="0"/>
          <w:szCs w:val="24"/>
          <w:lang w:val="en-GB"/>
        </w:rPr>
        <w:footnoteReference w:id="537"/>
      </w:r>
      <w:r w:rsidR="00E773F6" w:rsidRPr="0028108F">
        <w:rPr>
          <w:rFonts w:ascii="Arial" w:hAnsi="Arial" w:cs="Arial"/>
          <w:kern w:val="0"/>
          <w:szCs w:val="24"/>
          <w:lang w:val="en-GB"/>
        </w:rPr>
        <w:t xml:space="preserve"> described the rejection of the </w:t>
      </w:r>
      <w:r w:rsidRPr="0028108F">
        <w:rPr>
          <w:rFonts w:ascii="Arial" w:hAnsi="Arial" w:cs="Arial"/>
          <w:kern w:val="0"/>
          <w:szCs w:val="24"/>
          <w:lang w:val="en-GB"/>
        </w:rPr>
        <w:t>B</w:t>
      </w:r>
      <w:r w:rsidR="00E773F6" w:rsidRPr="0028108F">
        <w:rPr>
          <w:rFonts w:ascii="Arial" w:hAnsi="Arial" w:cs="Arial"/>
          <w:kern w:val="0"/>
          <w:szCs w:val="24"/>
          <w:lang w:val="en-GB"/>
        </w:rPr>
        <w:t>ill as “</w:t>
      </w:r>
      <w:r w:rsidR="00E773F6" w:rsidRPr="0028108F">
        <w:rPr>
          <w:rFonts w:ascii="Arial" w:hAnsi="Arial" w:cs="Arial"/>
          <w:i/>
          <w:kern w:val="0"/>
          <w:szCs w:val="24"/>
          <w:lang w:val="en-GB"/>
        </w:rPr>
        <w:t>a massive victory for common sense, safety, and religious freedom”</w:t>
      </w:r>
      <w:r w:rsidR="00387FA1" w:rsidRPr="0028108F">
        <w:rPr>
          <w:rFonts w:ascii="Arial" w:hAnsi="Arial" w:cs="Arial"/>
          <w:kern w:val="0"/>
          <w:szCs w:val="24"/>
          <w:lang w:val="en-GB"/>
        </w:rPr>
        <w:t>,</w:t>
      </w:r>
      <w:r w:rsidR="00E773F6" w:rsidRPr="0028108F">
        <w:rPr>
          <w:rFonts w:ascii="Arial" w:hAnsi="Arial" w:cs="Arial"/>
          <w:i/>
          <w:kern w:val="0"/>
          <w:szCs w:val="24"/>
          <w:lang w:val="en-GB"/>
        </w:rPr>
        <w:t xml:space="preserve"> </w:t>
      </w:r>
      <w:r w:rsidR="00E773F6" w:rsidRPr="0028108F">
        <w:rPr>
          <w:rFonts w:ascii="Arial" w:hAnsi="Arial" w:cs="Arial"/>
          <w:kern w:val="0"/>
          <w:szCs w:val="24"/>
          <w:lang w:val="en-GB"/>
        </w:rPr>
        <w:t>since “</w:t>
      </w:r>
      <w:r w:rsidR="00E773F6" w:rsidRPr="0028108F">
        <w:rPr>
          <w:rFonts w:ascii="Arial" w:hAnsi="Arial" w:cs="Arial"/>
          <w:i/>
          <w:kern w:val="0"/>
          <w:szCs w:val="24"/>
          <w:lang w:val="en-GB"/>
        </w:rPr>
        <w:t>[m]illions of dollars pouring in from national LGBT extremists, an out-of-control Mayor, and a sustained media onslaught could not overcome the tireless efforts of Houston pastors and people of faith standing for common sense, safety, and liberty</w:t>
      </w:r>
      <w:r w:rsidR="00E773F6" w:rsidRPr="0028108F">
        <w:rPr>
          <w:rFonts w:ascii="Arial" w:hAnsi="Arial" w:cs="Arial"/>
          <w:kern w:val="0"/>
          <w:szCs w:val="24"/>
          <w:lang w:val="en-GB"/>
        </w:rPr>
        <w:t>.</w:t>
      </w:r>
      <w:r w:rsidR="00BF0226" w:rsidRPr="0028108F">
        <w:rPr>
          <w:rFonts w:ascii="Arial" w:hAnsi="Arial" w:cs="Arial"/>
          <w:kern w:val="0"/>
          <w:szCs w:val="24"/>
          <w:lang w:val="en-GB"/>
        </w:rPr>
        <w:t>”</w:t>
      </w:r>
      <w:r w:rsidR="00E773F6" w:rsidRPr="0028108F">
        <w:rPr>
          <w:rStyle w:val="FootnoteReference"/>
          <w:rFonts w:ascii="Arial" w:hAnsi="Arial" w:cs="Arial"/>
          <w:kern w:val="0"/>
          <w:szCs w:val="24"/>
          <w:lang w:val="en-GB"/>
        </w:rPr>
        <w:footnoteReference w:id="538"/>
      </w:r>
      <w:r w:rsidR="00E773F6" w:rsidRPr="0028108F">
        <w:rPr>
          <w:rFonts w:ascii="Arial" w:hAnsi="Arial" w:cs="Arial"/>
          <w:kern w:val="0"/>
          <w:szCs w:val="24"/>
          <w:lang w:val="en-GB"/>
        </w:rPr>
        <w:t xml:space="preserve"> </w:t>
      </w:r>
      <w:r w:rsidR="00387FA1" w:rsidRPr="0028108F">
        <w:rPr>
          <w:rFonts w:ascii="Arial" w:hAnsi="Arial" w:cs="Arial"/>
          <w:kern w:val="0"/>
          <w:szCs w:val="24"/>
          <w:lang w:val="en-GB"/>
        </w:rPr>
        <w:t xml:space="preserve"> </w:t>
      </w:r>
      <w:r w:rsidRPr="0028108F">
        <w:rPr>
          <w:rFonts w:ascii="Arial" w:hAnsi="Arial" w:cs="Arial"/>
          <w:kern w:val="0"/>
          <w:szCs w:val="24"/>
          <w:lang w:val="en-GB"/>
        </w:rPr>
        <w:t>Elsewhere in the US,</w:t>
      </w:r>
      <w:r w:rsidR="00107B15" w:rsidRPr="0028108F">
        <w:rPr>
          <w:rFonts w:ascii="Arial" w:hAnsi="Arial" w:cs="Arial"/>
          <w:kern w:val="0"/>
          <w:szCs w:val="24"/>
          <w:lang w:val="en-GB"/>
        </w:rPr>
        <w:t xml:space="preserve"> the dispute</w:t>
      </w:r>
      <w:r w:rsidR="00387FA1" w:rsidRPr="0028108F">
        <w:rPr>
          <w:rFonts w:ascii="Arial" w:hAnsi="Arial" w:cs="Arial"/>
          <w:kern w:val="0"/>
          <w:szCs w:val="24"/>
          <w:lang w:val="en-GB"/>
        </w:rPr>
        <w:t xml:space="preserve"> has continued</w:t>
      </w:r>
      <w:r w:rsidR="00107B15" w:rsidRPr="0028108F">
        <w:rPr>
          <w:rFonts w:ascii="Arial" w:hAnsi="Arial" w:cs="Arial"/>
          <w:kern w:val="0"/>
          <w:szCs w:val="24"/>
          <w:lang w:val="en-GB"/>
        </w:rPr>
        <w:t xml:space="preserve"> and similar debates</w:t>
      </w:r>
      <w:r w:rsidR="00387FA1" w:rsidRPr="0028108F">
        <w:rPr>
          <w:rFonts w:ascii="Arial" w:hAnsi="Arial" w:cs="Arial"/>
          <w:kern w:val="0"/>
          <w:szCs w:val="24"/>
          <w:lang w:val="en-GB"/>
        </w:rPr>
        <w:t xml:space="preserve"> over “Bathroom B</w:t>
      </w:r>
      <w:r w:rsidR="00107B15" w:rsidRPr="0028108F">
        <w:rPr>
          <w:rFonts w:ascii="Arial" w:hAnsi="Arial" w:cs="Arial"/>
          <w:kern w:val="0"/>
          <w:szCs w:val="24"/>
          <w:lang w:val="en-GB"/>
        </w:rPr>
        <w:t xml:space="preserve">ills” </w:t>
      </w:r>
      <w:r w:rsidR="0057385A" w:rsidRPr="0028108F">
        <w:rPr>
          <w:rFonts w:ascii="Arial" w:hAnsi="Arial" w:cs="Arial"/>
          <w:kern w:val="0"/>
          <w:szCs w:val="24"/>
          <w:lang w:val="en-GB"/>
        </w:rPr>
        <w:t>(restricting access to sex-segregated facilities on the basis of a definition of sex assigned at birth)</w:t>
      </w:r>
      <w:r w:rsidR="00387FA1" w:rsidRPr="0028108F">
        <w:rPr>
          <w:rFonts w:ascii="Arial" w:hAnsi="Arial" w:cs="Arial"/>
          <w:kern w:val="0"/>
          <w:szCs w:val="24"/>
          <w:lang w:val="en-GB"/>
        </w:rPr>
        <w:t xml:space="preserve"> have come to the </w:t>
      </w:r>
      <w:r w:rsidR="002E0B07" w:rsidRPr="0028108F">
        <w:rPr>
          <w:rFonts w:ascii="Arial" w:hAnsi="Arial" w:cs="Arial"/>
          <w:kern w:val="0"/>
          <w:szCs w:val="24"/>
          <w:lang w:val="en-GB"/>
        </w:rPr>
        <w:t xml:space="preserve">fore </w:t>
      </w:r>
      <w:r w:rsidR="00107B15" w:rsidRPr="0028108F">
        <w:rPr>
          <w:rFonts w:ascii="Arial" w:hAnsi="Arial" w:cs="Arial"/>
          <w:kern w:val="0"/>
          <w:szCs w:val="24"/>
          <w:lang w:val="en-GB"/>
        </w:rPr>
        <w:t>in other states</w:t>
      </w:r>
      <w:r w:rsidR="002E0B07" w:rsidRPr="0028108F">
        <w:rPr>
          <w:rFonts w:ascii="Arial" w:hAnsi="Arial" w:cs="Arial"/>
          <w:kern w:val="0"/>
          <w:szCs w:val="24"/>
          <w:lang w:val="en-GB"/>
        </w:rPr>
        <w:t>,</w:t>
      </w:r>
      <w:r w:rsidR="00107B15" w:rsidRPr="0028108F">
        <w:rPr>
          <w:rFonts w:ascii="Arial" w:hAnsi="Arial" w:cs="Arial"/>
          <w:kern w:val="0"/>
          <w:szCs w:val="24"/>
          <w:lang w:val="en-GB"/>
        </w:rPr>
        <w:t xml:space="preserve"> </w:t>
      </w:r>
      <w:r w:rsidR="0057385A" w:rsidRPr="0028108F">
        <w:rPr>
          <w:rFonts w:ascii="Arial" w:hAnsi="Arial" w:cs="Arial"/>
          <w:kern w:val="0"/>
          <w:szCs w:val="24"/>
          <w:lang w:val="en-GB"/>
        </w:rPr>
        <w:t xml:space="preserve">and some of them are pondering </w:t>
      </w:r>
      <w:r w:rsidR="00387FA1" w:rsidRPr="0028108F">
        <w:rPr>
          <w:rFonts w:ascii="Arial" w:hAnsi="Arial" w:cs="Arial"/>
          <w:kern w:val="0"/>
          <w:szCs w:val="24"/>
          <w:lang w:val="en-GB"/>
        </w:rPr>
        <w:t xml:space="preserve">the </w:t>
      </w:r>
      <w:r w:rsidR="0057385A" w:rsidRPr="0028108F">
        <w:rPr>
          <w:rFonts w:ascii="Arial" w:hAnsi="Arial" w:cs="Arial"/>
          <w:kern w:val="0"/>
          <w:szCs w:val="24"/>
          <w:lang w:val="en-GB"/>
        </w:rPr>
        <w:t>enactment of s</w:t>
      </w:r>
      <w:r w:rsidR="00387FA1" w:rsidRPr="0028108F">
        <w:rPr>
          <w:rFonts w:ascii="Arial" w:hAnsi="Arial" w:cs="Arial"/>
          <w:kern w:val="0"/>
          <w:szCs w:val="24"/>
          <w:lang w:val="en-GB"/>
        </w:rPr>
        <w:t>imilar</w:t>
      </w:r>
      <w:r w:rsidR="0057385A" w:rsidRPr="0028108F">
        <w:rPr>
          <w:rFonts w:ascii="Arial" w:hAnsi="Arial" w:cs="Arial"/>
          <w:kern w:val="0"/>
          <w:szCs w:val="24"/>
          <w:lang w:val="en-GB"/>
        </w:rPr>
        <w:t xml:space="preserve"> </w:t>
      </w:r>
      <w:r w:rsidR="00387FA1" w:rsidRPr="0028108F">
        <w:rPr>
          <w:rFonts w:ascii="Arial" w:hAnsi="Arial" w:cs="Arial"/>
          <w:kern w:val="0"/>
          <w:szCs w:val="24"/>
          <w:lang w:val="en-GB"/>
        </w:rPr>
        <w:t>B</w:t>
      </w:r>
      <w:r w:rsidR="0057385A" w:rsidRPr="0028108F">
        <w:rPr>
          <w:rFonts w:ascii="Arial" w:hAnsi="Arial" w:cs="Arial"/>
          <w:kern w:val="0"/>
          <w:szCs w:val="24"/>
          <w:lang w:val="en-GB"/>
        </w:rPr>
        <w:t>ills</w:t>
      </w:r>
      <w:r w:rsidR="00107B15" w:rsidRPr="0028108F">
        <w:rPr>
          <w:rFonts w:ascii="Arial" w:hAnsi="Arial" w:cs="Arial"/>
          <w:kern w:val="0"/>
          <w:szCs w:val="24"/>
          <w:lang w:val="en-GB"/>
        </w:rPr>
        <w:t>.</w:t>
      </w:r>
      <w:r w:rsidR="0057385A" w:rsidRPr="0028108F">
        <w:rPr>
          <w:rStyle w:val="FootnoteReference"/>
          <w:rFonts w:ascii="Arial" w:hAnsi="Arial" w:cs="Arial"/>
          <w:kern w:val="0"/>
          <w:szCs w:val="24"/>
          <w:lang w:val="en-GB"/>
        </w:rPr>
        <w:footnoteReference w:id="539"/>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kern w:val="0"/>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i/>
          <w:kern w:val="0"/>
          <w:szCs w:val="24"/>
          <w:lang w:val="en-GB"/>
        </w:rPr>
      </w:pPr>
      <w:r w:rsidRPr="0028108F">
        <w:rPr>
          <w:rFonts w:ascii="Arial" w:hAnsi="Arial" w:cs="Arial"/>
          <w:kern w:val="0"/>
          <w:szCs w:val="24"/>
          <w:lang w:val="en-GB"/>
        </w:rPr>
        <w:t xml:space="preserve">There </w:t>
      </w:r>
      <w:r w:rsidR="002E0B07" w:rsidRPr="0028108F">
        <w:rPr>
          <w:rFonts w:ascii="Arial" w:hAnsi="Arial" w:cs="Arial"/>
          <w:kern w:val="0"/>
          <w:szCs w:val="24"/>
          <w:lang w:val="en-GB"/>
        </w:rPr>
        <w:t>have been</w:t>
      </w:r>
      <w:r w:rsidRPr="0028108F">
        <w:rPr>
          <w:rFonts w:ascii="Arial" w:hAnsi="Arial" w:cs="Arial"/>
          <w:kern w:val="0"/>
          <w:szCs w:val="24"/>
          <w:lang w:val="en-GB"/>
        </w:rPr>
        <w:t xml:space="preserve"> court cases holding that denying equal access to transgender people in sex-segregated facilities does not constitute unlawful discrimination.  For example, in </w:t>
      </w:r>
      <w:r w:rsidRPr="0028108F">
        <w:rPr>
          <w:rFonts w:ascii="Arial" w:hAnsi="Arial" w:cs="Arial"/>
          <w:i/>
          <w:kern w:val="0"/>
          <w:szCs w:val="24"/>
          <w:lang w:val="en-GB"/>
        </w:rPr>
        <w:t>Goins v West Group</w:t>
      </w:r>
      <w:r w:rsidR="001A0443" w:rsidRPr="0028108F">
        <w:rPr>
          <w:rFonts w:ascii="Arial" w:hAnsi="Arial" w:cs="Arial"/>
          <w:kern w:val="0"/>
          <w:szCs w:val="24"/>
          <w:lang w:val="en-GB"/>
        </w:rPr>
        <w:t>,</w:t>
      </w:r>
      <w:r w:rsidRPr="0028108F">
        <w:rPr>
          <w:rStyle w:val="FootnoteReference"/>
          <w:rFonts w:ascii="Arial" w:hAnsi="Arial" w:cs="Arial"/>
          <w:kern w:val="0"/>
          <w:szCs w:val="24"/>
          <w:lang w:val="en-GB"/>
        </w:rPr>
        <w:footnoteReference w:id="540"/>
      </w:r>
      <w:r w:rsidRPr="00C57CE1">
        <w:rPr>
          <w:rFonts w:ascii="Arial" w:hAnsi="Arial" w:cs="Arial"/>
          <w:kern w:val="0"/>
          <w:szCs w:val="24"/>
          <w:lang w:val="en-GB"/>
        </w:rPr>
        <w:t xml:space="preserve"> the court in Minnesota held that an employer</w:t>
      </w:r>
      <w:r w:rsidR="00A333C6">
        <w:rPr>
          <w:rFonts w:ascii="Arial" w:hAnsi="Arial" w:cs="Arial" w:hint="eastAsia"/>
          <w:kern w:val="0"/>
          <w:szCs w:val="24"/>
          <w:lang w:val="en-GB"/>
        </w:rPr>
        <w:t>, which</w:t>
      </w:r>
      <w:r w:rsidR="00A333C6" w:rsidRPr="00A333C6">
        <w:rPr>
          <w:rFonts w:ascii="Arial" w:hAnsi="Arial" w:cs="Arial"/>
          <w:kern w:val="0"/>
          <w:szCs w:val="24"/>
          <w:lang w:val="en-GB"/>
        </w:rPr>
        <w:t xml:space="preserve"> designat</w:t>
      </w:r>
      <w:r w:rsidR="00A333C6">
        <w:rPr>
          <w:rFonts w:ascii="Arial" w:hAnsi="Arial" w:cs="Arial" w:hint="eastAsia"/>
          <w:kern w:val="0"/>
          <w:szCs w:val="24"/>
          <w:lang w:val="en-GB"/>
        </w:rPr>
        <w:t>ed</w:t>
      </w:r>
      <w:r w:rsidR="00A333C6" w:rsidRPr="00A333C6">
        <w:rPr>
          <w:rFonts w:ascii="Arial" w:hAnsi="Arial" w:cs="Arial"/>
          <w:kern w:val="0"/>
          <w:szCs w:val="24"/>
          <w:lang w:val="en-GB"/>
        </w:rPr>
        <w:t xml:space="preserve"> restrooms and restroom use on the basis of biological gender</w:t>
      </w:r>
      <w:r w:rsidR="00A333C6">
        <w:rPr>
          <w:rFonts w:ascii="Arial" w:hAnsi="Arial" w:cs="Arial" w:hint="eastAsia"/>
          <w:kern w:val="0"/>
          <w:szCs w:val="24"/>
          <w:lang w:val="en-GB"/>
        </w:rPr>
        <w:t>,</w:t>
      </w:r>
      <w:r w:rsidRPr="00C57CE1">
        <w:rPr>
          <w:rFonts w:ascii="Arial" w:hAnsi="Arial" w:cs="Arial"/>
          <w:kern w:val="0"/>
          <w:szCs w:val="24"/>
          <w:lang w:val="en-GB"/>
        </w:rPr>
        <w:t xml:space="preserve"> did not violate Minnesota’s law prohibiting discrimination based on sexual orientation which was defined to include gender identity.  The court ruled tha</w:t>
      </w:r>
      <w:r w:rsidRPr="0028108F">
        <w:rPr>
          <w:rFonts w:ascii="Arial" w:hAnsi="Arial" w:cs="Arial"/>
          <w:kern w:val="0"/>
          <w:szCs w:val="24"/>
          <w:lang w:val="en-GB"/>
        </w:rPr>
        <w:t>t the legislature could not have intended to upset what it termed “</w:t>
      </w:r>
      <w:r w:rsidRPr="0028108F">
        <w:rPr>
          <w:rFonts w:ascii="Arial" w:hAnsi="Arial" w:cs="Arial"/>
          <w:i/>
          <w:kern w:val="0"/>
          <w:szCs w:val="24"/>
          <w:lang w:val="en-GB"/>
        </w:rPr>
        <w:t>the cultural preference for restroom designation based on biological gender.</w:t>
      </w:r>
      <w:r w:rsidRPr="0028108F">
        <w:rPr>
          <w:rFonts w:ascii="Arial" w:hAnsi="Arial" w:cs="Arial"/>
          <w:kern w:val="0"/>
          <w:szCs w:val="24"/>
          <w:lang w:val="en-GB"/>
        </w:rPr>
        <w:t>”</w:t>
      </w:r>
      <w:r w:rsidRPr="0028108F">
        <w:rPr>
          <w:rStyle w:val="FootnoteReference"/>
          <w:rFonts w:ascii="Arial" w:hAnsi="Arial" w:cs="Arial"/>
          <w:kern w:val="0"/>
          <w:szCs w:val="24"/>
          <w:lang w:val="en-GB"/>
        </w:rPr>
        <w:footnoteReference w:id="541"/>
      </w:r>
      <w:r w:rsidRPr="0028108F">
        <w:rPr>
          <w:rFonts w:ascii="Arial" w:hAnsi="Arial" w:cs="Arial"/>
          <w:kern w:val="0"/>
          <w:szCs w:val="24"/>
          <w:lang w:val="en-GB"/>
        </w:rPr>
        <w:t xml:space="preserve">  In another </w:t>
      </w:r>
      <w:r w:rsidR="001A0443" w:rsidRPr="0028108F">
        <w:rPr>
          <w:rFonts w:ascii="Arial" w:hAnsi="Arial" w:cs="Arial"/>
          <w:kern w:val="0"/>
          <w:szCs w:val="24"/>
          <w:lang w:val="en-GB"/>
        </w:rPr>
        <w:t xml:space="preserve">US </w:t>
      </w:r>
      <w:r w:rsidRPr="0028108F">
        <w:rPr>
          <w:rFonts w:ascii="Arial" w:hAnsi="Arial" w:cs="Arial"/>
          <w:kern w:val="0"/>
          <w:szCs w:val="24"/>
          <w:lang w:val="en-GB"/>
        </w:rPr>
        <w:t>lawsuit</w:t>
      </w:r>
      <w:r w:rsidR="001A0443" w:rsidRPr="0028108F">
        <w:rPr>
          <w:rFonts w:ascii="Arial" w:hAnsi="Arial" w:cs="Arial"/>
          <w:kern w:val="0"/>
          <w:szCs w:val="24"/>
          <w:lang w:val="en-GB"/>
        </w:rPr>
        <w:t>,</w:t>
      </w:r>
      <w:r w:rsidRPr="0028108F">
        <w:rPr>
          <w:rFonts w:ascii="Arial" w:hAnsi="Arial" w:cs="Arial"/>
          <w:kern w:val="0"/>
          <w:szCs w:val="24"/>
          <w:lang w:val="en-GB"/>
        </w:rPr>
        <w:t xml:space="preserve"> in</w:t>
      </w:r>
      <w:r w:rsidRPr="0028108F">
        <w:rPr>
          <w:rFonts w:ascii="Arial" w:hAnsi="Arial" w:cs="Arial"/>
          <w:lang w:val="en-GB"/>
        </w:rPr>
        <w:t xml:space="preserve"> </w:t>
      </w:r>
      <w:r w:rsidRPr="0028108F">
        <w:rPr>
          <w:rFonts w:ascii="Arial" w:hAnsi="Arial" w:cs="Arial"/>
          <w:kern w:val="0"/>
          <w:szCs w:val="24"/>
          <w:lang w:val="en-GB"/>
        </w:rPr>
        <w:t>Massachusetts, the District Court ruled on 17 September 2015</w:t>
      </w:r>
      <w:r w:rsidR="001A0443" w:rsidRPr="0028108F">
        <w:rPr>
          <w:rFonts w:ascii="Arial" w:hAnsi="Arial" w:cs="Arial"/>
          <w:kern w:val="0"/>
          <w:szCs w:val="24"/>
          <w:lang w:val="en-GB"/>
        </w:rPr>
        <w:t xml:space="preserve"> to</w:t>
      </w:r>
      <w:r w:rsidRPr="0028108F">
        <w:rPr>
          <w:rFonts w:ascii="Arial" w:hAnsi="Arial" w:cs="Arial"/>
          <w:kern w:val="0"/>
          <w:szCs w:val="24"/>
          <w:lang w:val="en-GB"/>
        </w:rPr>
        <w:t xml:space="preserve"> deny the US Eastern District Court’s injunction that would </w:t>
      </w:r>
      <w:r w:rsidR="001A0443" w:rsidRPr="0028108F">
        <w:rPr>
          <w:rFonts w:ascii="Arial" w:hAnsi="Arial" w:cs="Arial"/>
          <w:kern w:val="0"/>
          <w:szCs w:val="24"/>
          <w:lang w:val="en-GB"/>
        </w:rPr>
        <w:t xml:space="preserve">have </w:t>
      </w:r>
      <w:r w:rsidRPr="0028108F">
        <w:rPr>
          <w:rFonts w:ascii="Arial" w:hAnsi="Arial" w:cs="Arial"/>
          <w:kern w:val="0"/>
          <w:szCs w:val="24"/>
          <w:lang w:val="en-GB"/>
        </w:rPr>
        <w:t>require</w:t>
      </w:r>
      <w:r w:rsidR="001A0443" w:rsidRPr="0028108F">
        <w:rPr>
          <w:rFonts w:ascii="Arial" w:hAnsi="Arial" w:cs="Arial"/>
          <w:kern w:val="0"/>
          <w:szCs w:val="24"/>
          <w:lang w:val="en-GB"/>
        </w:rPr>
        <w:t>d</w:t>
      </w:r>
      <w:r w:rsidRPr="0028108F">
        <w:rPr>
          <w:rFonts w:ascii="Arial" w:hAnsi="Arial" w:cs="Arial"/>
          <w:kern w:val="0"/>
          <w:szCs w:val="24"/>
          <w:lang w:val="en-GB"/>
        </w:rPr>
        <w:t xml:space="preserve"> Gloucester County Public Schools to allow a 16</w:t>
      </w:r>
      <w:r w:rsidR="001A0443" w:rsidRPr="0028108F">
        <w:rPr>
          <w:rFonts w:ascii="Arial" w:hAnsi="Arial" w:cs="Arial"/>
          <w:kern w:val="0"/>
          <w:szCs w:val="24"/>
          <w:lang w:val="en-GB"/>
        </w:rPr>
        <w:t xml:space="preserve"> </w:t>
      </w:r>
      <w:r w:rsidRPr="0028108F">
        <w:rPr>
          <w:rFonts w:ascii="Arial" w:hAnsi="Arial" w:cs="Arial"/>
          <w:kern w:val="0"/>
          <w:szCs w:val="24"/>
          <w:lang w:val="en-GB"/>
        </w:rPr>
        <w:t>year-old female-to-male transgender student</w:t>
      </w:r>
      <w:r w:rsidR="001A0443" w:rsidRPr="0028108F">
        <w:rPr>
          <w:rFonts w:ascii="Arial" w:hAnsi="Arial" w:cs="Arial"/>
          <w:kern w:val="0"/>
          <w:szCs w:val="24"/>
          <w:lang w:val="en-GB"/>
        </w:rPr>
        <w:t xml:space="preserve"> to use male restrooms. </w:t>
      </w:r>
      <w:r w:rsidRPr="0028108F">
        <w:rPr>
          <w:rFonts w:ascii="Arial" w:hAnsi="Arial" w:cs="Arial"/>
          <w:kern w:val="0"/>
          <w:szCs w:val="24"/>
          <w:lang w:val="en-GB"/>
        </w:rPr>
        <w:t xml:space="preserve"> </w:t>
      </w:r>
      <w:r w:rsidR="001A0443" w:rsidRPr="0028108F">
        <w:rPr>
          <w:rFonts w:ascii="Arial" w:hAnsi="Arial" w:cs="Arial"/>
          <w:kern w:val="0"/>
          <w:szCs w:val="24"/>
          <w:lang w:val="en-GB"/>
        </w:rPr>
        <w:t xml:space="preserve">The student, </w:t>
      </w:r>
      <w:r w:rsidRPr="0028108F">
        <w:rPr>
          <w:rFonts w:ascii="Arial" w:hAnsi="Arial" w:cs="Arial"/>
          <w:kern w:val="0"/>
          <w:szCs w:val="24"/>
          <w:lang w:val="en-GB"/>
        </w:rPr>
        <w:t>Gavin Grimm</w:t>
      </w:r>
      <w:r w:rsidR="001A0443" w:rsidRPr="0028108F">
        <w:rPr>
          <w:rFonts w:ascii="Arial" w:hAnsi="Arial" w:cs="Arial"/>
          <w:kern w:val="0"/>
          <w:szCs w:val="24"/>
          <w:lang w:val="en-GB"/>
        </w:rPr>
        <w:t>,</w:t>
      </w:r>
      <w:r w:rsidRPr="0028108F">
        <w:rPr>
          <w:rFonts w:ascii="Arial" w:hAnsi="Arial" w:cs="Arial"/>
          <w:kern w:val="0"/>
          <w:szCs w:val="24"/>
          <w:lang w:val="en-GB"/>
        </w:rPr>
        <w:t xml:space="preserve"> was diagnosed to have gender dysphoria and had been living as a boy with medical and therapeutic treatment</w:t>
      </w:r>
      <w:r w:rsidR="001A0443" w:rsidRPr="0028108F">
        <w:rPr>
          <w:rFonts w:ascii="Arial" w:hAnsi="Arial" w:cs="Arial"/>
          <w:kern w:val="0"/>
          <w:szCs w:val="24"/>
          <w:lang w:val="en-GB"/>
        </w:rPr>
        <w:t>,</w:t>
      </w:r>
      <w:r w:rsidRPr="0028108F">
        <w:rPr>
          <w:rFonts w:ascii="Arial" w:hAnsi="Arial" w:cs="Arial"/>
          <w:kern w:val="0"/>
          <w:szCs w:val="24"/>
          <w:lang w:val="en-GB"/>
        </w:rPr>
        <w:t xml:space="preserve"> </w:t>
      </w:r>
      <w:r w:rsidR="001A0443" w:rsidRPr="0028108F">
        <w:rPr>
          <w:rFonts w:ascii="Arial" w:hAnsi="Arial" w:cs="Arial"/>
          <w:kern w:val="0"/>
          <w:szCs w:val="24"/>
          <w:lang w:val="en-GB"/>
        </w:rPr>
        <w:t>but</w:t>
      </w:r>
      <w:r w:rsidRPr="0028108F">
        <w:rPr>
          <w:rFonts w:ascii="Arial" w:hAnsi="Arial" w:cs="Arial"/>
          <w:kern w:val="0"/>
          <w:szCs w:val="24"/>
          <w:lang w:val="en-GB"/>
        </w:rPr>
        <w:t xml:space="preserve"> no SRS had been </w:t>
      </w:r>
      <w:r w:rsidR="001A0443" w:rsidRPr="0028108F">
        <w:rPr>
          <w:rFonts w:ascii="Arial" w:hAnsi="Arial" w:cs="Arial"/>
          <w:kern w:val="0"/>
          <w:szCs w:val="24"/>
          <w:lang w:val="en-GB"/>
        </w:rPr>
        <w:t>performed</w:t>
      </w:r>
      <w:r w:rsidR="003548E7" w:rsidRPr="0028108F">
        <w:rPr>
          <w:rFonts w:ascii="Arial" w:hAnsi="Arial" w:cs="Arial"/>
          <w:kern w:val="0"/>
          <w:szCs w:val="24"/>
          <w:lang w:val="en-GB"/>
        </w:rPr>
        <w:t xml:space="preserve">. </w:t>
      </w:r>
      <w:r w:rsidRPr="0028108F">
        <w:rPr>
          <w:rFonts w:ascii="Arial" w:hAnsi="Arial" w:cs="Arial"/>
          <w:kern w:val="0"/>
          <w:szCs w:val="24"/>
          <w:lang w:val="en-GB"/>
        </w:rPr>
        <w:t xml:space="preserve"> The Judge</w:t>
      </w:r>
      <w:r w:rsidR="003548E7" w:rsidRPr="0028108F">
        <w:rPr>
          <w:rFonts w:ascii="Arial" w:hAnsi="Arial" w:cs="Arial"/>
          <w:kern w:val="0"/>
          <w:szCs w:val="24"/>
          <w:lang w:val="en-GB"/>
        </w:rPr>
        <w:t>,</w:t>
      </w:r>
      <w:r w:rsidRPr="0028108F">
        <w:rPr>
          <w:rFonts w:ascii="Arial" w:hAnsi="Arial" w:cs="Arial"/>
          <w:kern w:val="0"/>
          <w:szCs w:val="24"/>
          <w:lang w:val="en-GB"/>
        </w:rPr>
        <w:t xml:space="preserve"> in </w:t>
      </w:r>
      <w:r w:rsidR="00A333C6">
        <w:rPr>
          <w:rFonts w:ascii="Arial" w:hAnsi="Arial" w:cs="Arial" w:hint="eastAsia"/>
          <w:kern w:val="0"/>
          <w:szCs w:val="24"/>
          <w:lang w:val="en-GB"/>
        </w:rPr>
        <w:t>denying that injunction</w:t>
      </w:r>
      <w:r w:rsidR="003548E7" w:rsidRPr="0028108F">
        <w:rPr>
          <w:rFonts w:ascii="Arial" w:hAnsi="Arial" w:cs="Arial"/>
          <w:kern w:val="0"/>
          <w:szCs w:val="24"/>
          <w:lang w:val="en-GB"/>
        </w:rPr>
        <w:t>,</w:t>
      </w:r>
      <w:r w:rsidRPr="0028108F">
        <w:rPr>
          <w:rFonts w:ascii="Arial" w:hAnsi="Arial" w:cs="Arial"/>
          <w:kern w:val="0"/>
          <w:szCs w:val="24"/>
          <w:lang w:val="en-GB"/>
        </w:rPr>
        <w:t xml:space="preserve"> wrote in the issued opinion that “</w:t>
      </w:r>
      <w:r w:rsidRPr="0028108F">
        <w:rPr>
          <w:rFonts w:ascii="Arial" w:hAnsi="Arial" w:cs="Arial"/>
          <w:i/>
          <w:kern w:val="0"/>
          <w:szCs w:val="24"/>
          <w:lang w:val="en-GB"/>
        </w:rPr>
        <w:t>society demands that male and female restrooms be separate because of privacy concerns…</w:t>
      </w:r>
      <w:r w:rsidR="00BE25EC" w:rsidRPr="0028108F">
        <w:rPr>
          <w:rFonts w:ascii="Arial" w:hAnsi="Arial" w:cs="Arial"/>
          <w:i/>
          <w:kern w:val="0"/>
          <w:szCs w:val="24"/>
          <w:lang w:val="en-GB"/>
        </w:rPr>
        <w:t xml:space="preserve"> </w:t>
      </w:r>
      <w:r w:rsidRPr="0028108F">
        <w:rPr>
          <w:rFonts w:ascii="Arial" w:hAnsi="Arial" w:cs="Arial"/>
          <w:i/>
          <w:kern w:val="0"/>
          <w:szCs w:val="24"/>
          <w:lang w:val="en-GB"/>
        </w:rPr>
        <w:t xml:space="preserve">Not only is bodily privacy a constitutional right, the need for privacy is even more pronounced in the state educational system.  The students are almost all minors, and public school education is a protective environment. </w:t>
      </w:r>
      <w:r w:rsidR="00625D62" w:rsidRPr="0028108F">
        <w:rPr>
          <w:rFonts w:ascii="Arial" w:hAnsi="Arial" w:cs="Arial"/>
          <w:i/>
          <w:kern w:val="0"/>
          <w:szCs w:val="24"/>
          <w:lang w:val="en-GB"/>
        </w:rPr>
        <w:t xml:space="preserve"> </w:t>
      </w:r>
      <w:r w:rsidRPr="0028108F">
        <w:rPr>
          <w:rFonts w:ascii="Arial" w:hAnsi="Arial" w:cs="Arial"/>
          <w:i/>
          <w:kern w:val="0"/>
          <w:szCs w:val="24"/>
          <w:lang w:val="en-GB"/>
        </w:rPr>
        <w:t>Furthermore, the School Board is tasked with providing safe and appropriate facilities for these students.</w:t>
      </w:r>
      <w:r w:rsidRPr="0028108F">
        <w:rPr>
          <w:rFonts w:ascii="Arial" w:hAnsi="Arial" w:cs="Arial"/>
          <w:kern w:val="0"/>
          <w:szCs w:val="24"/>
          <w:lang w:val="en-GB"/>
        </w:rPr>
        <w:t>”</w:t>
      </w:r>
      <w:r w:rsidRPr="0028108F">
        <w:rPr>
          <w:rStyle w:val="FootnoteReference"/>
          <w:rFonts w:ascii="Arial" w:hAnsi="Arial" w:cs="Arial"/>
          <w:kern w:val="0"/>
          <w:szCs w:val="24"/>
          <w:lang w:val="en-GB"/>
        </w:rPr>
        <w:footnoteReference w:id="542"/>
      </w:r>
      <w:r w:rsidR="00625D62" w:rsidRPr="0028108F">
        <w:rPr>
          <w:rFonts w:ascii="Arial" w:hAnsi="Arial" w:cs="Arial"/>
          <w:kern w:val="0"/>
          <w:szCs w:val="24"/>
          <w:lang w:val="en-GB"/>
        </w:rPr>
        <w:t xml:space="preserve">  Grimm’s appeal was allowed by the Court of Appeals for the Fourth Circuit in April 2016, but the school board appealed to the Supreme Court</w:t>
      </w:r>
      <w:r w:rsidR="00A25D6F">
        <w:rPr>
          <w:rFonts w:ascii="Arial" w:hAnsi="Arial" w:cs="Arial" w:hint="eastAsia"/>
          <w:kern w:val="0"/>
          <w:szCs w:val="24"/>
          <w:lang w:val="en-GB"/>
        </w:rPr>
        <w:t>.</w:t>
      </w:r>
      <w:r w:rsidR="00A25D6F" w:rsidRPr="0028108F">
        <w:rPr>
          <w:rStyle w:val="FootnoteReference"/>
          <w:rFonts w:ascii="Arial" w:hAnsi="Arial" w:cs="Arial"/>
          <w:kern w:val="0"/>
          <w:szCs w:val="24"/>
          <w:lang w:val="en-GB"/>
        </w:rPr>
        <w:footnoteReference w:id="543"/>
      </w:r>
      <w:r w:rsidR="00A25D6F">
        <w:rPr>
          <w:rFonts w:ascii="Arial" w:hAnsi="Arial" w:cs="Arial" w:hint="eastAsia"/>
          <w:kern w:val="0"/>
          <w:szCs w:val="24"/>
          <w:lang w:val="en-GB"/>
        </w:rPr>
        <w:t xml:space="preserve">  </w:t>
      </w:r>
      <w:r w:rsidR="00CC7691" w:rsidRPr="00CC7691">
        <w:rPr>
          <w:rFonts w:ascii="Arial" w:hAnsi="Arial" w:cs="Arial"/>
          <w:kern w:val="0"/>
          <w:szCs w:val="24"/>
          <w:lang w:val="en-GB"/>
        </w:rPr>
        <w:t>In February 2017, the Department of Justice and Department of Education under the Trump administration withdrew the guidance on gender identity issued by the Obama administration</w:t>
      </w:r>
      <w:r w:rsidR="00CC7691">
        <w:rPr>
          <w:rFonts w:ascii="Arial" w:hAnsi="Arial" w:cs="Arial" w:hint="eastAsia"/>
          <w:kern w:val="0"/>
          <w:szCs w:val="24"/>
          <w:lang w:val="en-GB"/>
        </w:rPr>
        <w:t xml:space="preserve"> (requiring transgender students to have unfettered access to bathrooms and locker rooms matching their gender identity)</w:t>
      </w:r>
      <w:r w:rsidR="00CC7691" w:rsidRPr="00CC7691">
        <w:rPr>
          <w:rFonts w:ascii="Arial" w:hAnsi="Arial" w:cs="Arial"/>
          <w:kern w:val="0"/>
          <w:szCs w:val="24"/>
          <w:lang w:val="en-GB"/>
        </w:rPr>
        <w:t>.</w:t>
      </w:r>
      <w:r w:rsidR="00CC7691">
        <w:rPr>
          <w:rStyle w:val="FootnoteReference"/>
          <w:rFonts w:ascii="Arial" w:hAnsi="Arial" w:cs="Arial"/>
          <w:kern w:val="0"/>
          <w:szCs w:val="24"/>
          <w:lang w:val="en-GB"/>
        </w:rPr>
        <w:footnoteReference w:id="544"/>
      </w:r>
      <w:r w:rsidR="00CC7691" w:rsidRPr="00CC7691">
        <w:rPr>
          <w:kern w:val="0"/>
          <w:szCs w:val="24"/>
          <w:lang w:val="en-GB"/>
        </w:rPr>
        <w:t> </w:t>
      </w:r>
      <w:r w:rsidR="00CC7691">
        <w:rPr>
          <w:rFonts w:hint="eastAsia"/>
          <w:kern w:val="0"/>
          <w:szCs w:val="24"/>
          <w:lang w:val="en-GB"/>
        </w:rPr>
        <w:t xml:space="preserve"> </w:t>
      </w:r>
      <w:r w:rsidR="00CC7691" w:rsidRPr="00CC7691">
        <w:rPr>
          <w:rFonts w:ascii="Arial" w:hAnsi="Arial" w:cs="Arial"/>
          <w:kern w:val="0"/>
          <w:szCs w:val="24"/>
          <w:lang w:val="en-GB"/>
        </w:rPr>
        <w:t xml:space="preserve">A letter issued by the departments cited a need to </w:t>
      </w:r>
      <w:r w:rsidR="00CC7691">
        <w:rPr>
          <w:rFonts w:ascii="Arial" w:hAnsi="Arial" w:cs="Arial"/>
          <w:kern w:val="0"/>
          <w:szCs w:val="24"/>
          <w:lang w:val="en-GB"/>
        </w:rPr>
        <w:t>“</w:t>
      </w:r>
      <w:r w:rsidR="00CC7691" w:rsidRPr="00CC7691">
        <w:rPr>
          <w:rFonts w:ascii="Arial" w:hAnsi="Arial" w:cs="Arial"/>
          <w:kern w:val="0"/>
          <w:szCs w:val="24"/>
          <w:lang w:val="en-GB"/>
        </w:rPr>
        <w:t>more completely consider the legal issues involved</w:t>
      </w:r>
      <w:r w:rsidR="00CC7691">
        <w:rPr>
          <w:rFonts w:ascii="Arial" w:hAnsi="Arial" w:cs="Arial"/>
          <w:kern w:val="0"/>
          <w:szCs w:val="24"/>
          <w:lang w:val="en-GB"/>
        </w:rPr>
        <w:t>”</w:t>
      </w:r>
      <w:r w:rsidR="00CC7691" w:rsidRPr="00CC7691">
        <w:rPr>
          <w:rFonts w:ascii="Arial" w:hAnsi="Arial" w:cs="Arial"/>
          <w:kern w:val="0"/>
          <w:szCs w:val="24"/>
          <w:lang w:val="en-GB"/>
        </w:rPr>
        <w:t xml:space="preserve">, and stated that </w:t>
      </w:r>
      <w:r w:rsidR="00CC7691">
        <w:rPr>
          <w:rFonts w:ascii="Arial" w:hAnsi="Arial" w:cs="Arial"/>
          <w:kern w:val="0"/>
          <w:szCs w:val="24"/>
          <w:lang w:val="en-GB"/>
        </w:rPr>
        <w:t>“</w:t>
      </w:r>
      <w:r w:rsidR="00CC7691" w:rsidRPr="00CC7691">
        <w:rPr>
          <w:rFonts w:ascii="Arial" w:hAnsi="Arial" w:cs="Arial"/>
          <w:kern w:val="0"/>
          <w:szCs w:val="24"/>
          <w:lang w:val="en-GB"/>
        </w:rPr>
        <w:t>there must be due regard for the primary role of the States and local school districts in establishing education policy</w:t>
      </w:r>
      <w:r w:rsidR="00CC7691">
        <w:rPr>
          <w:rFonts w:ascii="Arial" w:hAnsi="Arial" w:cs="Arial" w:hint="eastAsia"/>
          <w:kern w:val="0"/>
          <w:szCs w:val="24"/>
          <w:lang w:val="en-GB"/>
        </w:rPr>
        <w:t>.</w:t>
      </w:r>
      <w:r w:rsidR="00CC7691">
        <w:rPr>
          <w:rFonts w:ascii="Arial" w:hAnsi="Arial" w:cs="Arial"/>
          <w:kern w:val="0"/>
          <w:szCs w:val="24"/>
          <w:lang w:val="en-GB"/>
        </w:rPr>
        <w:t>”</w:t>
      </w:r>
      <w:r w:rsidR="00CC7691">
        <w:rPr>
          <w:rFonts w:ascii="Arial" w:hAnsi="Arial" w:cs="Arial" w:hint="eastAsia"/>
          <w:kern w:val="0"/>
          <w:szCs w:val="24"/>
          <w:lang w:val="en-GB"/>
        </w:rPr>
        <w:t xml:space="preserve">  </w:t>
      </w:r>
      <w:r w:rsidR="00A25D6F">
        <w:rPr>
          <w:rFonts w:ascii="Arial" w:hAnsi="Arial" w:cs="Arial" w:hint="eastAsia"/>
          <w:kern w:val="0"/>
          <w:szCs w:val="24"/>
          <w:lang w:val="en-GB"/>
        </w:rPr>
        <w:t xml:space="preserve">In March 2017, the Supreme Court announced that it was sending </w:t>
      </w:r>
      <w:r w:rsidR="00813111">
        <w:rPr>
          <w:rFonts w:ascii="Arial" w:hAnsi="Arial" w:cs="Arial" w:hint="eastAsia"/>
          <w:kern w:val="0"/>
          <w:szCs w:val="24"/>
          <w:lang w:val="en-GB"/>
        </w:rPr>
        <w:t>Grimm</w:t>
      </w:r>
      <w:r w:rsidR="00A25D6F">
        <w:rPr>
          <w:rFonts w:ascii="Arial" w:hAnsi="Arial" w:cs="Arial"/>
          <w:kern w:val="0"/>
          <w:szCs w:val="24"/>
          <w:lang w:val="en-GB"/>
        </w:rPr>
        <w:t>’</w:t>
      </w:r>
      <w:r w:rsidR="00A25D6F">
        <w:rPr>
          <w:rFonts w:ascii="Arial" w:hAnsi="Arial" w:cs="Arial" w:hint="eastAsia"/>
          <w:kern w:val="0"/>
          <w:szCs w:val="24"/>
          <w:lang w:val="en-GB"/>
        </w:rPr>
        <w:t xml:space="preserve">s case back to the Fourth Circuit Court of Appeals to be reconsidered in light of the </w:t>
      </w:r>
      <w:r w:rsidR="00CC7691">
        <w:rPr>
          <w:rFonts w:ascii="Arial" w:hAnsi="Arial" w:cs="Arial" w:hint="eastAsia"/>
          <w:kern w:val="0"/>
          <w:szCs w:val="24"/>
          <w:lang w:val="en-GB"/>
        </w:rPr>
        <w:t>new guidance from the Trump administration</w:t>
      </w:r>
      <w:r w:rsidR="00A25D6F">
        <w:rPr>
          <w:rFonts w:ascii="Arial" w:hAnsi="Arial" w:cs="Arial" w:hint="eastAsia"/>
          <w:kern w:val="0"/>
          <w:szCs w:val="24"/>
          <w:lang w:val="en-GB"/>
        </w:rPr>
        <w:t>.</w:t>
      </w:r>
      <w:r w:rsidR="00CC7691">
        <w:rPr>
          <w:rStyle w:val="FootnoteReference"/>
          <w:rFonts w:ascii="Arial" w:hAnsi="Arial" w:cs="Arial"/>
          <w:kern w:val="0"/>
          <w:szCs w:val="24"/>
          <w:lang w:val="en-GB"/>
        </w:rPr>
        <w:footnoteReference w:id="545"/>
      </w:r>
      <w:r w:rsidR="00A25D6F">
        <w:rPr>
          <w:rFonts w:ascii="Arial" w:hAnsi="Arial" w:cs="Arial" w:hint="eastAsia"/>
          <w:kern w:val="0"/>
          <w:szCs w:val="24"/>
          <w:lang w:val="en-GB"/>
        </w:rPr>
        <w:t xml:space="preserve">  The legal position of </w:t>
      </w:r>
      <w:r w:rsidR="00CC7691">
        <w:rPr>
          <w:rFonts w:ascii="Arial" w:hAnsi="Arial" w:cs="Arial" w:hint="eastAsia"/>
          <w:kern w:val="0"/>
          <w:szCs w:val="24"/>
          <w:lang w:val="en-GB"/>
        </w:rPr>
        <w:t xml:space="preserve">cases </w:t>
      </w:r>
      <w:r w:rsidR="00C24C2B">
        <w:rPr>
          <w:rFonts w:ascii="Arial" w:hAnsi="Arial" w:cs="Arial" w:hint="eastAsia"/>
          <w:kern w:val="0"/>
          <w:szCs w:val="24"/>
          <w:lang w:val="en-GB"/>
        </w:rPr>
        <w:t xml:space="preserve">alike </w:t>
      </w:r>
      <w:r w:rsidR="00CC7691">
        <w:rPr>
          <w:rFonts w:ascii="Arial" w:hAnsi="Arial" w:cs="Arial" w:hint="eastAsia"/>
          <w:kern w:val="0"/>
          <w:szCs w:val="24"/>
          <w:lang w:val="en-GB"/>
        </w:rPr>
        <w:t>is yet to be determined in not only Massachusetts but the whole US.</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kern w:val="0"/>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28108F">
        <w:rPr>
          <w:rFonts w:ascii="Arial" w:hAnsi="Arial" w:cs="Arial"/>
          <w:kern w:val="0"/>
          <w:szCs w:val="24"/>
          <w:lang w:val="en-GB"/>
        </w:rPr>
        <w:t xml:space="preserve">Some people may therefore argue that women and girls should, at a minimum, have the right to be free from potential male nudity in all public spaces and this right should be backed by strong legal protections.  In the larger context, </w:t>
      </w:r>
      <w:r w:rsidR="00625D62" w:rsidRPr="0028108F">
        <w:rPr>
          <w:rFonts w:ascii="Arial" w:hAnsi="Arial" w:cs="Arial"/>
          <w:kern w:val="0"/>
          <w:szCs w:val="24"/>
          <w:lang w:val="en-GB"/>
        </w:rPr>
        <w:t xml:space="preserve">the argument is that </w:t>
      </w:r>
      <w:r w:rsidRPr="0028108F">
        <w:rPr>
          <w:rFonts w:ascii="Arial" w:hAnsi="Arial" w:cs="Arial"/>
          <w:kern w:val="0"/>
          <w:szCs w:val="24"/>
          <w:lang w:val="en-GB"/>
        </w:rPr>
        <w:t>women and girls should not have to bear the burden of determining the difference between sexual fetishists, sexual predators, and males who believe they are expressing an alternative gender identity desired or acquired.</w:t>
      </w:r>
    </w:p>
    <w:p w:rsidR="00E773F6"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u w:val="single"/>
          <w:lang w:val="en-GB"/>
        </w:rPr>
      </w:pPr>
    </w:p>
    <w:p w:rsidR="0095452E" w:rsidRDefault="0095452E"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u w:val="single"/>
          <w:lang w:val="en-GB"/>
        </w:rPr>
      </w:pPr>
    </w:p>
    <w:p w:rsidR="0095452E" w:rsidRPr="0028108F" w:rsidRDefault="0095452E"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u w:val="single"/>
          <w:lang w:val="en-GB"/>
        </w:rPr>
      </w:pPr>
    </w:p>
    <w:p w:rsidR="00E773F6" w:rsidRPr="0028108F" w:rsidRDefault="00E773F6" w:rsidP="00E773F6">
      <w:pPr>
        <w:tabs>
          <w:tab w:val="left" w:pos="851"/>
        </w:tabs>
        <w:adjustRightInd w:val="0"/>
        <w:snapToGrid w:val="0"/>
        <w:jc w:val="both"/>
        <w:rPr>
          <w:rFonts w:ascii="Arial" w:hAnsi="Arial" w:cs="Arial"/>
          <w:i/>
          <w:szCs w:val="24"/>
          <w:lang w:val="en-GB"/>
        </w:rPr>
      </w:pPr>
      <w:r w:rsidRPr="0028108F">
        <w:rPr>
          <w:rFonts w:ascii="Arial" w:hAnsi="Arial" w:cs="Arial"/>
          <w:i/>
          <w:color w:val="000000" w:themeColor="text1"/>
          <w:szCs w:val="24"/>
          <w:lang w:val="en-GB"/>
        </w:rPr>
        <w:t>Argument (3): SRS is a medical necessity and does not constitute torture or cruel, inhuman or degrading treatment</w:t>
      </w:r>
    </w:p>
    <w:p w:rsidR="00E773F6" w:rsidRPr="0028108F" w:rsidRDefault="00E773F6" w:rsidP="00E773F6">
      <w:pPr>
        <w:tabs>
          <w:tab w:val="left" w:pos="851"/>
        </w:tabs>
        <w:adjustRightInd w:val="0"/>
        <w:snapToGrid w:val="0"/>
        <w:jc w:val="both"/>
        <w:rPr>
          <w:rFonts w:ascii="Arial" w:hAnsi="Arial" w:cs="Arial"/>
          <w:color w:val="000000" w:themeColor="text1"/>
          <w:szCs w:val="24"/>
          <w:u w:val="single"/>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Some people contend that transgender people </w:t>
      </w:r>
      <w:r w:rsidR="00513E4A">
        <w:rPr>
          <w:rFonts w:ascii="Arial" w:hAnsi="Arial" w:cs="Arial" w:hint="eastAsia"/>
          <w:szCs w:val="24"/>
          <w:lang w:val="en-GB"/>
        </w:rPr>
        <w:t>having</w:t>
      </w:r>
      <w:r w:rsidRPr="0028108F">
        <w:rPr>
          <w:rFonts w:ascii="Arial" w:hAnsi="Arial" w:cs="Arial"/>
          <w:szCs w:val="24"/>
          <w:lang w:val="en-GB"/>
        </w:rPr>
        <w:t xml:space="preserve"> gender dysphoria or </w:t>
      </w:r>
      <w:r w:rsidR="00334997" w:rsidRPr="0028108F">
        <w:rPr>
          <w:rFonts w:ascii="Arial" w:hAnsi="Arial" w:cs="Arial"/>
          <w:szCs w:val="24"/>
          <w:lang w:val="en-GB"/>
        </w:rPr>
        <w:t>gender identity disorder</w:t>
      </w:r>
      <w:r w:rsidRPr="0028108F">
        <w:rPr>
          <w:rFonts w:ascii="Arial" w:hAnsi="Arial" w:cs="Arial"/>
          <w:szCs w:val="24"/>
          <w:lang w:val="en-GB"/>
        </w:rPr>
        <w:t xml:space="preserve"> </w:t>
      </w:r>
      <w:r w:rsidR="00BE25EC" w:rsidRPr="0028108F">
        <w:rPr>
          <w:rFonts w:ascii="Arial" w:hAnsi="Arial" w:cs="Arial"/>
          <w:szCs w:val="24"/>
          <w:lang w:val="en-GB"/>
        </w:rPr>
        <w:t>find the sexual characteristics they were born with to be unbearable</w:t>
      </w:r>
      <w:r w:rsidRPr="0028108F">
        <w:rPr>
          <w:rFonts w:ascii="Arial" w:hAnsi="Arial" w:cs="Arial"/>
          <w:szCs w:val="24"/>
          <w:lang w:val="en-GB"/>
        </w:rPr>
        <w:t xml:space="preserve">, and they would </w:t>
      </w:r>
      <w:r w:rsidR="00BE25EC" w:rsidRPr="0028108F">
        <w:rPr>
          <w:rFonts w:ascii="Arial" w:hAnsi="Arial" w:cs="Arial"/>
          <w:szCs w:val="24"/>
          <w:lang w:val="en-GB"/>
        </w:rPr>
        <w:t xml:space="preserve">have a strong desire </w:t>
      </w:r>
      <w:r w:rsidRPr="0028108F">
        <w:rPr>
          <w:rFonts w:ascii="Arial" w:hAnsi="Arial" w:cs="Arial"/>
          <w:szCs w:val="24"/>
          <w:lang w:val="en-GB"/>
        </w:rPr>
        <w:t xml:space="preserve">to receive hormonal therapy and SRS.  Therefore, it has been argued that SRS is a medical necessity to treat gender dysphoria or </w:t>
      </w:r>
      <w:r w:rsidR="00334997" w:rsidRPr="0028108F">
        <w:rPr>
          <w:rFonts w:ascii="Arial" w:hAnsi="Arial" w:cs="Arial"/>
          <w:szCs w:val="24"/>
          <w:lang w:val="en-GB"/>
        </w:rPr>
        <w:t>gender identity disorder</w:t>
      </w:r>
      <w:r w:rsidRPr="0028108F">
        <w:rPr>
          <w:rFonts w:ascii="Arial" w:hAnsi="Arial" w:cs="Arial"/>
          <w:szCs w:val="24"/>
          <w:lang w:val="en-GB"/>
        </w:rPr>
        <w:t>, and transgender people consciously agree to undergo SRS on the advice of their doctors</w:t>
      </w:r>
      <w:r w:rsidR="00BE25EC" w:rsidRPr="0028108F">
        <w:rPr>
          <w:rFonts w:ascii="Arial" w:hAnsi="Arial" w:cs="Arial"/>
          <w:szCs w:val="24"/>
          <w:lang w:val="en-GB"/>
        </w:rPr>
        <w:t>,</w:t>
      </w:r>
      <w:r w:rsidRPr="0028108F">
        <w:rPr>
          <w:rFonts w:ascii="Arial" w:hAnsi="Arial" w:cs="Arial"/>
          <w:szCs w:val="24"/>
          <w:lang w:val="en-GB"/>
        </w:rPr>
        <w:t xml:space="preserve"> and they are not forced by anyone to do so.  Such arguments are backed by the assertion that SRS has been found to improve the quality of life and mental health outcomes of transgender people,</w:t>
      </w:r>
      <w:r w:rsidRPr="00181CF2">
        <w:rPr>
          <w:rStyle w:val="FootnoteReference"/>
          <w:rFonts w:ascii="Arial" w:hAnsi="Arial" w:cs="Arial"/>
          <w:szCs w:val="24"/>
          <w:lang w:val="en-GB"/>
        </w:rPr>
        <w:footnoteReference w:id="546"/>
      </w:r>
      <w:r w:rsidRPr="00181CF2">
        <w:rPr>
          <w:rFonts w:ascii="Arial" w:hAnsi="Arial" w:cs="Arial"/>
          <w:szCs w:val="24"/>
          <w:lang w:val="en-GB"/>
        </w:rPr>
        <w:t xml:space="preserve"> and identified </w:t>
      </w:r>
      <w:r w:rsidR="000036AC" w:rsidRPr="00C57CE1">
        <w:rPr>
          <w:rFonts w:ascii="Arial" w:hAnsi="Arial" w:cs="Arial"/>
          <w:szCs w:val="24"/>
          <w:lang w:val="en-GB"/>
        </w:rPr>
        <w:t xml:space="preserve">by the WPATH </w:t>
      </w:r>
      <w:r w:rsidRPr="0028108F">
        <w:rPr>
          <w:rFonts w:ascii="Arial" w:hAnsi="Arial" w:cs="Arial"/>
          <w:szCs w:val="24"/>
          <w:lang w:val="en-GB"/>
        </w:rPr>
        <w:t xml:space="preserve">as </w:t>
      </w:r>
      <w:r w:rsidR="00DA12AB" w:rsidRPr="0028108F">
        <w:rPr>
          <w:rFonts w:ascii="Arial" w:hAnsi="Arial" w:cs="Arial"/>
          <w:szCs w:val="24"/>
          <w:lang w:val="en-GB"/>
        </w:rPr>
        <w:t xml:space="preserve">playing </w:t>
      </w:r>
      <w:r w:rsidR="00DA12AB" w:rsidRPr="00181CF2">
        <w:rPr>
          <w:rFonts w:ascii="Arial" w:hAnsi="Arial" w:cs="Arial"/>
          <w:szCs w:val="24"/>
          <w:lang w:val="en-GB"/>
        </w:rPr>
        <w:t>“</w:t>
      </w:r>
      <w:r w:rsidR="00DA12AB" w:rsidRPr="0028108F">
        <w:rPr>
          <w:rFonts w:ascii="Arial" w:hAnsi="Arial" w:cs="Arial"/>
          <w:i/>
          <w:szCs w:val="24"/>
          <w:lang w:val="en-GB"/>
        </w:rPr>
        <w:t>an undisputed role in contributing towards favorable outcomes</w:t>
      </w:r>
      <w:r w:rsidR="00DA12AB" w:rsidRPr="0028108F">
        <w:rPr>
          <w:rFonts w:ascii="Arial" w:hAnsi="Arial" w:cs="Arial"/>
          <w:szCs w:val="24"/>
          <w:lang w:val="en-GB"/>
        </w:rPr>
        <w:t>”</w:t>
      </w:r>
      <w:r w:rsidRPr="0028108F">
        <w:rPr>
          <w:rFonts w:ascii="Arial" w:hAnsi="Arial" w:cs="Arial"/>
          <w:szCs w:val="24"/>
          <w:lang w:val="en-GB"/>
        </w:rPr>
        <w:t xml:space="preserve"> </w:t>
      </w:r>
      <w:r w:rsidR="00DA12AB" w:rsidRPr="0028108F">
        <w:rPr>
          <w:rFonts w:ascii="Arial" w:hAnsi="Arial" w:cs="Arial"/>
          <w:szCs w:val="24"/>
          <w:lang w:val="en-GB"/>
        </w:rPr>
        <w:t>for many transgender and transsexual persons</w:t>
      </w:r>
      <w:r w:rsidR="00DA12AB" w:rsidRPr="0028108F" w:rsidDel="00DA12AB">
        <w:rPr>
          <w:rFonts w:ascii="Arial" w:hAnsi="Arial" w:cs="Arial"/>
          <w:szCs w:val="24"/>
          <w:lang w:val="en-GB"/>
        </w:rPr>
        <w:t xml:space="preserve"> </w:t>
      </w:r>
      <w:r w:rsidRPr="0028108F">
        <w:rPr>
          <w:rFonts w:ascii="Arial" w:hAnsi="Arial" w:cs="Arial"/>
          <w:szCs w:val="24"/>
          <w:lang w:val="en-GB"/>
        </w:rPr>
        <w:t xml:space="preserve">to treat </w:t>
      </w:r>
      <w:r w:rsidR="00DA12AB" w:rsidRPr="0028108F">
        <w:rPr>
          <w:rFonts w:ascii="Arial" w:hAnsi="Arial" w:cs="Arial"/>
          <w:szCs w:val="24"/>
          <w:lang w:val="en-GB"/>
        </w:rPr>
        <w:t xml:space="preserve">their </w:t>
      </w:r>
      <w:r w:rsidRPr="0028108F">
        <w:rPr>
          <w:rFonts w:ascii="Arial" w:hAnsi="Arial" w:cs="Arial"/>
          <w:szCs w:val="24"/>
          <w:lang w:val="en-GB"/>
        </w:rPr>
        <w:t xml:space="preserve">gender dysphoria or </w:t>
      </w:r>
      <w:r w:rsidR="00334997" w:rsidRPr="0028108F">
        <w:rPr>
          <w:rFonts w:ascii="Arial" w:hAnsi="Arial" w:cs="Arial"/>
          <w:szCs w:val="24"/>
          <w:lang w:val="en-GB"/>
        </w:rPr>
        <w:t>gender identity disorder</w:t>
      </w:r>
      <w:r w:rsidRPr="0028108F">
        <w:rPr>
          <w:rFonts w:ascii="Arial" w:hAnsi="Arial" w:cs="Arial"/>
          <w:szCs w:val="24"/>
          <w:lang w:val="en-GB"/>
        </w:rPr>
        <w:t>.</w:t>
      </w:r>
      <w:r w:rsidRPr="0028108F">
        <w:rPr>
          <w:rStyle w:val="FootnoteReference"/>
          <w:rFonts w:ascii="Arial" w:hAnsi="Arial" w:cs="Arial"/>
          <w:szCs w:val="24"/>
          <w:lang w:val="en-GB"/>
        </w:rPr>
        <w:footnoteReference w:id="547"/>
      </w:r>
      <w:r w:rsidRPr="0028108F">
        <w:rPr>
          <w:rFonts w:ascii="Arial" w:hAnsi="Arial" w:cs="Arial"/>
          <w:szCs w:val="24"/>
          <w:lang w:val="en-GB"/>
        </w:rPr>
        <w:t xml:space="preserve"> </w:t>
      </w:r>
      <w:r w:rsidRPr="0028108F" w:rsidDel="001A5E8E">
        <w:rPr>
          <w:rFonts w:ascii="Arial" w:hAnsi="Arial" w:cs="Arial"/>
          <w:szCs w:val="24"/>
          <w:lang w:val="en-GB"/>
        </w:rPr>
        <w:t xml:space="preserve"> </w:t>
      </w:r>
    </w:p>
    <w:p w:rsidR="00E773F6" w:rsidRPr="0028108F" w:rsidRDefault="00E773F6" w:rsidP="00E773F6">
      <w:pPr>
        <w:tabs>
          <w:tab w:val="left" w:pos="1418"/>
          <w:tab w:val="left" w:pos="2552"/>
        </w:tabs>
        <w:autoSpaceDE w:val="0"/>
        <w:autoSpaceDN w:val="0"/>
        <w:adjustRightInd w:val="0"/>
        <w:snapToGrid w:val="0"/>
        <w:jc w:val="both"/>
        <w:rPr>
          <w:rFonts w:ascii="Arial" w:hAnsi="Arial" w:cs="Arial"/>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eastAsiaTheme="minorEastAsia" w:hAnsi="Arial" w:cs="Arial"/>
          <w:kern w:val="0"/>
          <w:szCs w:val="24"/>
          <w:lang w:val="en-GB"/>
        </w:rPr>
        <w:t xml:space="preserve">The issue </w:t>
      </w:r>
      <w:r w:rsidR="00765072" w:rsidRPr="0028108F">
        <w:rPr>
          <w:rFonts w:ascii="Arial" w:eastAsiaTheme="minorEastAsia" w:hAnsi="Arial" w:cs="Arial"/>
          <w:kern w:val="0"/>
          <w:szCs w:val="24"/>
          <w:lang w:val="en-GB"/>
        </w:rPr>
        <w:t xml:space="preserve">of </w:t>
      </w:r>
      <w:r w:rsidRPr="0028108F">
        <w:rPr>
          <w:rFonts w:ascii="Arial" w:eastAsiaTheme="minorEastAsia" w:hAnsi="Arial" w:cs="Arial"/>
          <w:kern w:val="0"/>
          <w:szCs w:val="24"/>
          <w:lang w:val="en-GB"/>
        </w:rPr>
        <w:t xml:space="preserve">whether </w:t>
      </w:r>
      <w:r w:rsidR="00F63B37" w:rsidRPr="0028108F">
        <w:rPr>
          <w:rFonts w:ascii="Arial" w:eastAsiaTheme="minorEastAsia" w:hAnsi="Arial" w:cs="Arial"/>
          <w:kern w:val="0"/>
          <w:szCs w:val="24"/>
          <w:lang w:val="en-GB"/>
        </w:rPr>
        <w:t>a</w:t>
      </w:r>
      <w:r w:rsidR="00765072" w:rsidRPr="0028108F">
        <w:rPr>
          <w:rFonts w:ascii="Arial" w:eastAsiaTheme="minorEastAsia" w:hAnsi="Arial" w:cs="Arial"/>
          <w:kern w:val="0"/>
          <w:szCs w:val="24"/>
          <w:lang w:val="en-GB"/>
        </w:rPr>
        <w:t xml:space="preserve"> </w:t>
      </w:r>
      <w:r w:rsidRPr="0028108F">
        <w:rPr>
          <w:rFonts w:ascii="Arial" w:eastAsiaTheme="minorEastAsia" w:hAnsi="Arial" w:cs="Arial"/>
          <w:kern w:val="0"/>
          <w:szCs w:val="24"/>
          <w:lang w:val="en-GB"/>
        </w:rPr>
        <w:t xml:space="preserve">SRS requirement would constitute torture or cruel, inhuman or degrading treatment was hotly debated at the time </w:t>
      </w:r>
      <w:r w:rsidR="00765072" w:rsidRPr="0028108F">
        <w:rPr>
          <w:rFonts w:ascii="Arial" w:eastAsiaTheme="minorEastAsia" w:hAnsi="Arial" w:cs="Arial"/>
          <w:kern w:val="0"/>
          <w:szCs w:val="24"/>
          <w:lang w:val="en-GB"/>
        </w:rPr>
        <w:t>that</w:t>
      </w:r>
      <w:r w:rsidRPr="0028108F">
        <w:rPr>
          <w:rFonts w:ascii="Arial" w:eastAsiaTheme="minorEastAsia" w:hAnsi="Arial" w:cs="Arial"/>
          <w:kern w:val="0"/>
          <w:szCs w:val="24"/>
          <w:lang w:val="en-GB"/>
        </w:rPr>
        <w:t xml:space="preserve"> the Marriage (Amendment) Bill 2014 was deliberated </w:t>
      </w:r>
      <w:r w:rsidR="00765072" w:rsidRPr="0028108F">
        <w:rPr>
          <w:rFonts w:ascii="Arial" w:eastAsiaTheme="minorEastAsia" w:hAnsi="Arial" w:cs="Arial"/>
          <w:kern w:val="0"/>
          <w:szCs w:val="24"/>
          <w:lang w:val="en-GB"/>
        </w:rPr>
        <w:t xml:space="preserve">on </w:t>
      </w:r>
      <w:r w:rsidRPr="0028108F">
        <w:rPr>
          <w:rFonts w:ascii="Arial" w:eastAsiaTheme="minorEastAsia" w:hAnsi="Arial" w:cs="Arial"/>
          <w:kern w:val="0"/>
          <w:szCs w:val="24"/>
          <w:lang w:val="en-GB"/>
        </w:rPr>
        <w:t>in Hong Kong, where the SRS requirement under the Bill had attracted criticisms from various interested parties</w:t>
      </w:r>
      <w:r w:rsidRPr="0028108F">
        <w:rPr>
          <w:rFonts w:ascii="Arial" w:hAnsi="Arial" w:cs="Arial"/>
          <w:szCs w:val="24"/>
          <w:lang w:val="en-GB"/>
        </w:rPr>
        <w:t>.  Dr Albert Yuen, former Consultant Surgeon of the Ruttonjee and Tang Shiu Kin Hospitals</w:t>
      </w:r>
      <w:r w:rsidR="000036AC" w:rsidRPr="0028108F">
        <w:rPr>
          <w:rFonts w:ascii="Arial" w:hAnsi="Arial" w:cs="Arial"/>
          <w:szCs w:val="24"/>
          <w:lang w:val="en-GB"/>
        </w:rPr>
        <w:t>,</w:t>
      </w:r>
      <w:r w:rsidRPr="0028108F">
        <w:rPr>
          <w:rFonts w:ascii="Arial" w:hAnsi="Arial" w:cs="Arial"/>
          <w:szCs w:val="24"/>
          <w:lang w:val="en-GB"/>
        </w:rPr>
        <w:t xml:space="preserve"> who had been specialising in SRS, delivered a speech pertinent to SRS performed by him in Hong Kong over the past 30 years in one of the meetings of the Bills Committee on th</w:t>
      </w:r>
      <w:r w:rsidR="00765072" w:rsidRPr="0028108F">
        <w:rPr>
          <w:rFonts w:ascii="Arial" w:hAnsi="Arial" w:cs="Arial"/>
          <w:szCs w:val="24"/>
          <w:lang w:val="en-GB"/>
        </w:rPr>
        <w:t>e</w:t>
      </w:r>
      <w:r w:rsidR="00F63B37" w:rsidRPr="0028108F">
        <w:rPr>
          <w:rFonts w:ascii="Arial" w:hAnsi="Arial" w:cs="Arial"/>
          <w:szCs w:val="24"/>
          <w:lang w:val="en-GB"/>
        </w:rPr>
        <w:t xml:space="preserve"> </w:t>
      </w:r>
      <w:r w:rsidR="00464A7C" w:rsidRPr="0028108F">
        <w:rPr>
          <w:rFonts w:ascii="Arial" w:hAnsi="Arial" w:cs="Arial"/>
          <w:szCs w:val="24"/>
          <w:lang w:val="en-GB"/>
        </w:rPr>
        <w:t>Bill</w:t>
      </w:r>
      <w:r w:rsidRPr="0028108F">
        <w:rPr>
          <w:rFonts w:ascii="Arial" w:hAnsi="Arial" w:cs="Arial"/>
          <w:szCs w:val="24"/>
          <w:lang w:val="en-GB"/>
        </w:rPr>
        <w:t xml:space="preserve">.  In response to the query that the full SRS requirement proposed in the Bill was a form of torture or cruel and inhuman treatment, Dr Yuen </w:t>
      </w:r>
      <w:r w:rsidR="000036AC" w:rsidRPr="0028108F">
        <w:rPr>
          <w:rFonts w:ascii="Arial" w:hAnsi="Arial" w:cs="Arial"/>
          <w:szCs w:val="24"/>
          <w:lang w:val="en-GB"/>
        </w:rPr>
        <w:t>stated</w:t>
      </w:r>
      <w:r w:rsidRPr="0028108F">
        <w:rPr>
          <w:rFonts w:ascii="Arial" w:hAnsi="Arial" w:cs="Arial"/>
          <w:szCs w:val="24"/>
          <w:lang w:val="en-GB"/>
        </w:rPr>
        <w:t xml:space="preserve"> that SRS was carried out at the request of patients with </w:t>
      </w:r>
      <w:r w:rsidR="00334997" w:rsidRPr="0028108F">
        <w:rPr>
          <w:rFonts w:ascii="Arial" w:hAnsi="Arial" w:cs="Arial"/>
          <w:szCs w:val="24"/>
          <w:lang w:val="en-GB"/>
        </w:rPr>
        <w:t>gender identity disorder</w:t>
      </w:r>
      <w:r w:rsidRPr="0028108F">
        <w:rPr>
          <w:rFonts w:ascii="Arial" w:hAnsi="Arial" w:cs="Arial"/>
          <w:szCs w:val="24"/>
          <w:lang w:val="en-GB"/>
        </w:rPr>
        <w:t xml:space="preserve"> so as to relieve them from their psychiatric distress, and therefore such a requirement should not be deemed </w:t>
      </w:r>
      <w:r w:rsidR="000036AC" w:rsidRPr="0028108F">
        <w:rPr>
          <w:rFonts w:ascii="Arial" w:hAnsi="Arial" w:cs="Arial"/>
          <w:szCs w:val="24"/>
          <w:lang w:val="en-GB"/>
        </w:rPr>
        <w:t xml:space="preserve">as </w:t>
      </w:r>
      <w:r w:rsidRPr="0028108F">
        <w:rPr>
          <w:rFonts w:ascii="Arial" w:hAnsi="Arial" w:cs="Arial"/>
          <w:szCs w:val="24"/>
          <w:lang w:val="en-GB"/>
        </w:rPr>
        <w:t>any form of torture.</w:t>
      </w:r>
      <w:r w:rsidRPr="0028108F">
        <w:rPr>
          <w:rStyle w:val="FootnoteReference"/>
          <w:rFonts w:ascii="Arial" w:hAnsi="Arial" w:cs="Arial"/>
          <w:szCs w:val="24"/>
          <w:lang w:val="en-GB"/>
        </w:rPr>
        <w:footnoteReference w:id="548"/>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6E09CB" w:rsidP="0028108F">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eastAsiaTheme="minorEastAsia" w:hAnsi="Arial" w:cs="Arial"/>
          <w:kern w:val="0"/>
          <w:szCs w:val="24"/>
          <w:u w:val="single"/>
          <w:lang w:val="en-GB"/>
        </w:rPr>
      </w:pPr>
      <w:r w:rsidRPr="0028108F">
        <w:rPr>
          <w:rFonts w:ascii="Arial" w:eastAsiaTheme="minorEastAsia" w:hAnsi="Arial" w:cs="Arial"/>
          <w:kern w:val="0"/>
          <w:szCs w:val="24"/>
          <w:lang w:val="en-GB"/>
        </w:rPr>
        <w:t>These</w:t>
      </w:r>
      <w:r w:rsidR="00E773F6" w:rsidRPr="00181CF2">
        <w:rPr>
          <w:rFonts w:ascii="Arial" w:hAnsi="Arial" w:cs="Arial"/>
          <w:color w:val="0D0D0D" w:themeColor="text1" w:themeTint="F2"/>
          <w:szCs w:val="24"/>
          <w:lang w:val="en-GB"/>
        </w:rPr>
        <w:t xml:space="preserve"> view</w:t>
      </w:r>
      <w:r w:rsidR="00464A7C" w:rsidRPr="00C57CE1">
        <w:rPr>
          <w:rFonts w:ascii="Arial" w:hAnsi="Arial" w:cs="Arial"/>
          <w:color w:val="0D0D0D" w:themeColor="text1" w:themeTint="F2"/>
          <w:szCs w:val="24"/>
          <w:lang w:val="en-GB"/>
        </w:rPr>
        <w:t>s</w:t>
      </w:r>
      <w:r w:rsidR="00E773F6" w:rsidRPr="0028108F">
        <w:rPr>
          <w:rFonts w:ascii="Arial" w:hAnsi="Arial" w:cs="Arial"/>
          <w:color w:val="0D0D0D" w:themeColor="text1" w:themeTint="F2"/>
          <w:szCs w:val="24"/>
          <w:lang w:val="en-GB"/>
        </w:rPr>
        <w:t xml:space="preserve"> </w:t>
      </w:r>
      <w:r w:rsidRPr="0028108F">
        <w:rPr>
          <w:rFonts w:ascii="Arial" w:hAnsi="Arial" w:cs="Arial"/>
          <w:color w:val="0D0D0D" w:themeColor="text1" w:themeTint="F2"/>
          <w:szCs w:val="24"/>
          <w:lang w:val="en-GB"/>
        </w:rPr>
        <w:t xml:space="preserve">are </w:t>
      </w:r>
      <w:r w:rsidR="00E773F6" w:rsidRPr="0028108F">
        <w:rPr>
          <w:rFonts w:ascii="Arial" w:hAnsi="Arial" w:cs="Arial"/>
          <w:color w:val="0D0D0D" w:themeColor="text1" w:themeTint="F2"/>
          <w:szCs w:val="24"/>
          <w:lang w:val="en-GB"/>
        </w:rPr>
        <w:t>shared by some traditional value concern groups who are in support of the SRS requirement.</w:t>
      </w:r>
      <w:r w:rsidR="00E773F6" w:rsidRPr="00181CF2">
        <w:rPr>
          <w:rStyle w:val="FootnoteReference"/>
          <w:rFonts w:ascii="Arial" w:hAnsi="Arial" w:cs="Arial"/>
          <w:color w:val="0D0D0D" w:themeColor="text1" w:themeTint="F2"/>
          <w:szCs w:val="24"/>
          <w:lang w:val="en-GB"/>
        </w:rPr>
        <w:footnoteReference w:id="549"/>
      </w:r>
      <w:r w:rsidR="00E773F6" w:rsidRPr="00181CF2">
        <w:rPr>
          <w:rFonts w:ascii="Arial" w:hAnsi="Arial" w:cs="Arial"/>
          <w:color w:val="0D0D0D" w:themeColor="text1" w:themeTint="F2"/>
          <w:szCs w:val="24"/>
          <w:lang w:val="en-GB"/>
        </w:rPr>
        <w:t xml:space="preserve">  For </w:t>
      </w:r>
      <w:r w:rsidR="00765072" w:rsidRPr="00C57CE1">
        <w:rPr>
          <w:rFonts w:ascii="Arial" w:hAnsi="Arial" w:cs="Arial"/>
          <w:color w:val="0D0D0D" w:themeColor="text1" w:themeTint="F2"/>
          <w:szCs w:val="24"/>
          <w:lang w:val="en-GB"/>
        </w:rPr>
        <w:t>example</w:t>
      </w:r>
      <w:r w:rsidR="00E773F6" w:rsidRPr="0028108F">
        <w:rPr>
          <w:rFonts w:ascii="Arial" w:hAnsi="Arial" w:cs="Arial"/>
          <w:color w:val="0D0D0D" w:themeColor="text1" w:themeTint="F2"/>
          <w:szCs w:val="24"/>
          <w:lang w:val="en-GB"/>
        </w:rPr>
        <w:t>, some took the view that t</w:t>
      </w:r>
      <w:r w:rsidR="00E773F6" w:rsidRPr="0028108F">
        <w:rPr>
          <w:rFonts w:ascii="Arial" w:hAnsi="Arial" w:cs="Arial"/>
          <w:szCs w:val="24"/>
          <w:lang w:val="en-GB"/>
        </w:rPr>
        <w:t xml:space="preserve">he criticism that the Bill was meant to compel transgender persons to complete full SRS </w:t>
      </w:r>
      <w:r w:rsidR="00765072" w:rsidRPr="0028108F">
        <w:rPr>
          <w:rFonts w:ascii="Arial" w:hAnsi="Arial" w:cs="Arial"/>
          <w:szCs w:val="24"/>
          <w:lang w:val="en-GB"/>
        </w:rPr>
        <w:t>was</w:t>
      </w:r>
      <w:r w:rsidR="00E773F6" w:rsidRPr="0028108F">
        <w:rPr>
          <w:rFonts w:ascii="Arial" w:hAnsi="Arial" w:cs="Arial"/>
          <w:szCs w:val="24"/>
          <w:lang w:val="en-GB"/>
        </w:rPr>
        <w:t xml:space="preserve"> misconceived</w:t>
      </w:r>
      <w:r w:rsidR="00765072" w:rsidRPr="0028108F">
        <w:rPr>
          <w:rFonts w:ascii="Arial" w:hAnsi="Arial" w:cs="Arial"/>
          <w:szCs w:val="24"/>
          <w:lang w:val="en-GB"/>
        </w:rPr>
        <w:t>,</w:t>
      </w:r>
      <w:r w:rsidR="00E773F6" w:rsidRPr="0028108F">
        <w:rPr>
          <w:rFonts w:ascii="Arial" w:hAnsi="Arial" w:cs="Arial"/>
          <w:szCs w:val="24"/>
          <w:lang w:val="en-GB"/>
        </w:rPr>
        <w:t xml:space="preserve"> as it </w:t>
      </w:r>
      <w:r w:rsidR="00765072" w:rsidRPr="0028108F">
        <w:rPr>
          <w:rFonts w:ascii="Arial" w:hAnsi="Arial" w:cs="Arial"/>
          <w:szCs w:val="24"/>
          <w:lang w:val="en-GB"/>
        </w:rPr>
        <w:t>was</w:t>
      </w:r>
      <w:r w:rsidR="00E773F6" w:rsidRPr="0028108F">
        <w:rPr>
          <w:rFonts w:ascii="Arial" w:hAnsi="Arial" w:cs="Arial"/>
          <w:szCs w:val="24"/>
          <w:lang w:val="en-GB"/>
        </w:rPr>
        <w:t xml:space="preserve"> ultimately</w:t>
      </w:r>
      <w:r w:rsidR="00765072" w:rsidRPr="0028108F">
        <w:rPr>
          <w:rFonts w:ascii="Arial" w:hAnsi="Arial" w:cs="Arial"/>
          <w:szCs w:val="24"/>
          <w:lang w:val="en-GB"/>
        </w:rPr>
        <w:t xml:space="preserve"> their</w:t>
      </w:r>
      <w:r w:rsidR="00E773F6" w:rsidRPr="0028108F">
        <w:rPr>
          <w:rFonts w:ascii="Arial" w:hAnsi="Arial" w:cs="Arial"/>
          <w:szCs w:val="24"/>
          <w:lang w:val="en-GB"/>
        </w:rPr>
        <w:t xml:space="preserve"> free choice to undergo or not undergo any surgical procedures.  </w:t>
      </w:r>
      <w:r w:rsidR="00765072" w:rsidRPr="0028108F">
        <w:rPr>
          <w:rFonts w:ascii="Arial" w:hAnsi="Arial" w:cs="Arial"/>
          <w:szCs w:val="24"/>
          <w:lang w:val="en-GB"/>
        </w:rPr>
        <w:t>The concern groups</w:t>
      </w:r>
      <w:r w:rsidR="00E773F6" w:rsidRPr="0028108F">
        <w:rPr>
          <w:rFonts w:ascii="Arial" w:hAnsi="Arial" w:cs="Arial"/>
          <w:szCs w:val="24"/>
          <w:lang w:val="en-GB"/>
        </w:rPr>
        <w:t xml:space="preserve"> questioned</w:t>
      </w:r>
      <w:r w:rsidR="00765072" w:rsidRPr="0028108F">
        <w:rPr>
          <w:rFonts w:ascii="Arial" w:hAnsi="Arial" w:cs="Arial"/>
          <w:szCs w:val="24"/>
          <w:lang w:val="en-GB"/>
        </w:rPr>
        <w:t xml:space="preserve"> why</w:t>
      </w:r>
      <w:r w:rsidR="00E773F6" w:rsidRPr="0028108F">
        <w:rPr>
          <w:rFonts w:ascii="Arial" w:hAnsi="Arial" w:cs="Arial"/>
          <w:szCs w:val="24"/>
          <w:lang w:val="en-GB"/>
        </w:rPr>
        <w:t xml:space="preserve">, if surgical intervention to treat transgender persons is itself a torture or cruel or degrading treatment, so many transgender persons </w:t>
      </w:r>
      <w:r w:rsidR="00765072" w:rsidRPr="0028108F">
        <w:rPr>
          <w:rFonts w:ascii="Arial" w:hAnsi="Arial" w:cs="Arial"/>
          <w:szCs w:val="24"/>
          <w:lang w:val="en-GB"/>
        </w:rPr>
        <w:t>undertook</w:t>
      </w:r>
      <w:r w:rsidR="00E773F6" w:rsidRPr="0028108F">
        <w:rPr>
          <w:rFonts w:ascii="Arial" w:hAnsi="Arial" w:cs="Arial"/>
          <w:szCs w:val="24"/>
          <w:lang w:val="en-GB"/>
        </w:rPr>
        <w:t xml:space="preserve"> it.</w:t>
      </w:r>
    </w:p>
    <w:p w:rsidR="00E773F6" w:rsidRPr="0028108F" w:rsidRDefault="00E773F6" w:rsidP="00E773F6">
      <w:pPr>
        <w:pStyle w:val="ListParagraph"/>
        <w:tabs>
          <w:tab w:val="left" w:pos="851"/>
          <w:tab w:val="left" w:pos="1418"/>
          <w:tab w:val="left" w:pos="2552"/>
        </w:tabs>
        <w:autoSpaceDE w:val="0"/>
        <w:autoSpaceDN w:val="0"/>
        <w:adjustRightInd w:val="0"/>
        <w:snapToGrid w:val="0"/>
        <w:ind w:leftChars="0" w:left="0"/>
        <w:jc w:val="both"/>
        <w:rPr>
          <w:rFonts w:ascii="Arial" w:eastAsiaTheme="minorEastAsia" w:hAnsi="Arial" w:cs="Arial"/>
          <w:kern w:val="0"/>
          <w:szCs w:val="24"/>
          <w:u w:val="single"/>
          <w:lang w:val="en-GB"/>
        </w:rPr>
      </w:pPr>
    </w:p>
    <w:p w:rsidR="00E773F6" w:rsidRPr="0028108F" w:rsidRDefault="00E773F6" w:rsidP="00E773F6">
      <w:pPr>
        <w:tabs>
          <w:tab w:val="left" w:pos="851"/>
        </w:tabs>
        <w:adjustRightInd w:val="0"/>
        <w:snapToGrid w:val="0"/>
        <w:jc w:val="both"/>
        <w:rPr>
          <w:rFonts w:ascii="Arial" w:hAnsi="Arial" w:cs="Arial"/>
          <w:i/>
          <w:kern w:val="0"/>
          <w:szCs w:val="24"/>
          <w:lang w:val="en-GB"/>
        </w:rPr>
      </w:pPr>
      <w:r w:rsidRPr="0028108F">
        <w:rPr>
          <w:rFonts w:ascii="Arial" w:hAnsi="Arial" w:cs="Arial"/>
          <w:i/>
          <w:kern w:val="0"/>
          <w:szCs w:val="24"/>
          <w:lang w:val="en-GB"/>
        </w:rPr>
        <w:t>Argument (4): Permanence of the transition</w:t>
      </w:r>
    </w:p>
    <w:p w:rsidR="00E773F6" w:rsidRPr="0028108F" w:rsidRDefault="00E773F6" w:rsidP="00E773F6">
      <w:pPr>
        <w:tabs>
          <w:tab w:val="left" w:pos="851"/>
        </w:tabs>
        <w:adjustRightInd w:val="0"/>
        <w:snapToGrid w:val="0"/>
        <w:jc w:val="both"/>
        <w:rPr>
          <w:rFonts w:ascii="Arial" w:hAnsi="Arial" w:cs="Arial"/>
          <w:kern w:val="0"/>
          <w:szCs w:val="24"/>
          <w:u w:val="single"/>
          <w:lang w:val="en-GB"/>
        </w:rPr>
      </w:pPr>
    </w:p>
    <w:p w:rsidR="00E773F6" w:rsidRPr="007D5BF3" w:rsidRDefault="00E773F6" w:rsidP="007D5BF3">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D0D0D" w:themeColor="text1" w:themeTint="F2"/>
          <w:szCs w:val="24"/>
          <w:lang w:val="en-GB"/>
        </w:rPr>
      </w:pPr>
      <w:r w:rsidRPr="007D5BF3">
        <w:rPr>
          <w:rFonts w:ascii="Arial" w:hAnsi="Arial" w:cs="Arial"/>
          <w:color w:val="0D0D0D" w:themeColor="text1" w:themeTint="F2"/>
          <w:szCs w:val="24"/>
          <w:lang w:val="en-GB"/>
        </w:rPr>
        <w:t xml:space="preserve">An argument in support of the SRS requirement is that such </w:t>
      </w:r>
      <w:r w:rsidR="006E09CB" w:rsidRPr="007D5BF3">
        <w:rPr>
          <w:rFonts w:ascii="Arial" w:hAnsi="Arial" w:cs="Arial"/>
          <w:color w:val="0D0D0D" w:themeColor="text1" w:themeTint="F2"/>
          <w:szCs w:val="24"/>
          <w:lang w:val="en-GB"/>
        </w:rPr>
        <w:t xml:space="preserve">a </w:t>
      </w:r>
      <w:r w:rsidRPr="007D5BF3">
        <w:rPr>
          <w:rFonts w:ascii="Arial" w:hAnsi="Arial" w:cs="Arial"/>
          <w:color w:val="0D0D0D" w:themeColor="text1" w:themeTint="F2"/>
          <w:szCs w:val="24"/>
          <w:lang w:val="en-GB"/>
        </w:rPr>
        <w:t xml:space="preserve">requirement may ensure permanence or irreversibility of the transition, so that the applicant would not </w:t>
      </w:r>
      <w:r w:rsidRPr="007D5BF3">
        <w:rPr>
          <w:rFonts w:ascii="Arial" w:hAnsi="Arial" w:cs="Arial"/>
          <w:i/>
          <w:color w:val="0D0D0D" w:themeColor="text1" w:themeTint="F2"/>
          <w:szCs w:val="24"/>
          <w:lang w:val="en-GB"/>
        </w:rPr>
        <w:t>“switch back”</w:t>
      </w:r>
      <w:r w:rsidRPr="007D5BF3">
        <w:rPr>
          <w:rFonts w:ascii="Arial" w:hAnsi="Arial" w:cs="Arial"/>
          <w:color w:val="0D0D0D" w:themeColor="text1" w:themeTint="F2"/>
          <w:szCs w:val="24"/>
          <w:lang w:val="en-GB"/>
        </w:rPr>
        <w:t xml:space="preserve"> after </w:t>
      </w:r>
      <w:r w:rsidR="00042B78" w:rsidRPr="007D5BF3">
        <w:rPr>
          <w:rFonts w:ascii="Arial" w:hAnsi="Arial" w:cs="Arial"/>
          <w:color w:val="0D0D0D" w:themeColor="text1" w:themeTint="F2"/>
          <w:szCs w:val="24"/>
          <w:lang w:val="en-GB"/>
        </w:rPr>
        <w:t xml:space="preserve">legally </w:t>
      </w:r>
      <w:r w:rsidRPr="007D5BF3">
        <w:rPr>
          <w:rFonts w:ascii="Arial" w:hAnsi="Arial" w:cs="Arial"/>
          <w:color w:val="0D0D0D" w:themeColor="text1" w:themeTint="F2"/>
          <w:szCs w:val="24"/>
          <w:lang w:val="en-GB"/>
        </w:rPr>
        <w:t>changing their gender</w:t>
      </w:r>
      <w:r w:rsidR="00042B78" w:rsidRPr="007D5BF3">
        <w:rPr>
          <w:rFonts w:ascii="Arial" w:hAnsi="Arial" w:cs="Arial"/>
          <w:color w:val="0D0D0D" w:themeColor="text1" w:themeTint="F2"/>
          <w:szCs w:val="24"/>
          <w:lang w:val="en-GB"/>
        </w:rPr>
        <w:t xml:space="preserve"> identity under the gender recognition scheme</w:t>
      </w:r>
      <w:r w:rsidRPr="007D5BF3">
        <w:rPr>
          <w:rFonts w:ascii="Arial" w:hAnsi="Arial" w:cs="Arial"/>
          <w:color w:val="0D0D0D" w:themeColor="text1" w:themeTint="F2"/>
          <w:szCs w:val="24"/>
          <w:lang w:val="en-GB"/>
        </w:rPr>
        <w:t xml:space="preserve">.  This would </w:t>
      </w:r>
      <w:r w:rsidR="00F323EC" w:rsidRPr="007D5BF3">
        <w:rPr>
          <w:rFonts w:ascii="Arial" w:hAnsi="Arial" w:cs="Arial"/>
          <w:color w:val="0D0D0D" w:themeColor="text1" w:themeTint="F2"/>
          <w:szCs w:val="24"/>
          <w:lang w:val="en-GB"/>
        </w:rPr>
        <w:t xml:space="preserve">arguably </w:t>
      </w:r>
      <w:r w:rsidRPr="007D5BF3">
        <w:rPr>
          <w:rFonts w:ascii="Arial" w:hAnsi="Arial" w:cs="Arial"/>
          <w:color w:val="0D0D0D" w:themeColor="text1" w:themeTint="F2"/>
          <w:szCs w:val="24"/>
          <w:lang w:val="en-GB"/>
        </w:rPr>
        <w:t>avoid multiple corrections of gender on a person’s identification documents or records</w:t>
      </w:r>
      <w:r w:rsidR="00A57CAD" w:rsidRPr="007D5BF3">
        <w:rPr>
          <w:rFonts w:ascii="Arial" w:hAnsi="Arial" w:cs="Arial"/>
          <w:color w:val="0D0D0D" w:themeColor="text1" w:themeTint="F2"/>
          <w:szCs w:val="24"/>
          <w:lang w:val="en-GB"/>
        </w:rPr>
        <w:t>,</w:t>
      </w:r>
      <w:r w:rsidRPr="007D5BF3">
        <w:rPr>
          <w:rFonts w:ascii="Arial" w:hAnsi="Arial" w:cs="Arial"/>
          <w:color w:val="0D0D0D" w:themeColor="text1" w:themeTint="F2"/>
          <w:szCs w:val="24"/>
          <w:lang w:val="en-GB"/>
        </w:rPr>
        <w:t xml:space="preserve"> which </w:t>
      </w:r>
      <w:r w:rsidR="006E09CB" w:rsidRPr="007D5BF3">
        <w:rPr>
          <w:rFonts w:ascii="Arial" w:hAnsi="Arial" w:cs="Arial"/>
          <w:color w:val="0D0D0D" w:themeColor="text1" w:themeTint="F2"/>
          <w:szCs w:val="24"/>
          <w:lang w:val="en-GB"/>
        </w:rPr>
        <w:t>may</w:t>
      </w:r>
      <w:r w:rsidRPr="007D5BF3">
        <w:rPr>
          <w:rFonts w:ascii="Arial" w:hAnsi="Arial" w:cs="Arial"/>
          <w:color w:val="0D0D0D" w:themeColor="text1" w:themeTint="F2"/>
          <w:szCs w:val="24"/>
          <w:lang w:val="en-GB"/>
        </w:rPr>
        <w:t xml:space="preserve"> cause </w:t>
      </w:r>
      <w:r w:rsidR="006E09CB" w:rsidRPr="007D5BF3">
        <w:rPr>
          <w:rFonts w:ascii="Arial" w:hAnsi="Arial" w:cs="Arial"/>
          <w:color w:val="0D0D0D" w:themeColor="text1" w:themeTint="F2"/>
          <w:szCs w:val="24"/>
          <w:lang w:val="en-GB"/>
        </w:rPr>
        <w:t xml:space="preserve">in others confusion and </w:t>
      </w:r>
      <w:r w:rsidRPr="007D5BF3">
        <w:rPr>
          <w:rFonts w:ascii="Arial" w:hAnsi="Arial" w:cs="Arial"/>
          <w:color w:val="0D0D0D" w:themeColor="text1" w:themeTint="F2"/>
          <w:szCs w:val="24"/>
          <w:lang w:val="en-GB"/>
        </w:rPr>
        <w:t xml:space="preserve">anxiety about privacy and safety </w:t>
      </w:r>
      <w:r w:rsidR="006E09CB" w:rsidRPr="007D5BF3">
        <w:rPr>
          <w:rFonts w:ascii="Arial" w:hAnsi="Arial" w:cs="Arial"/>
          <w:color w:val="0D0D0D" w:themeColor="text1" w:themeTint="F2"/>
          <w:szCs w:val="24"/>
          <w:lang w:val="en-GB"/>
        </w:rPr>
        <w:t>when</w:t>
      </w:r>
      <w:r w:rsidRPr="007D5BF3">
        <w:rPr>
          <w:rFonts w:ascii="Arial" w:hAnsi="Arial" w:cs="Arial"/>
          <w:color w:val="0D0D0D" w:themeColor="text1" w:themeTint="F2"/>
          <w:szCs w:val="24"/>
          <w:lang w:val="en-GB"/>
        </w:rPr>
        <w:t xml:space="preserve"> dealing with </w:t>
      </w:r>
      <w:r w:rsidR="006E09CB" w:rsidRPr="007D5BF3">
        <w:rPr>
          <w:rFonts w:ascii="Arial" w:hAnsi="Arial" w:cs="Arial"/>
          <w:color w:val="0D0D0D" w:themeColor="text1" w:themeTint="F2"/>
          <w:szCs w:val="24"/>
          <w:lang w:val="en-GB"/>
        </w:rPr>
        <w:t xml:space="preserve">persons who manifest </w:t>
      </w:r>
      <w:r w:rsidRPr="007D5BF3">
        <w:rPr>
          <w:rFonts w:ascii="Arial" w:hAnsi="Arial" w:cs="Arial"/>
          <w:color w:val="0D0D0D" w:themeColor="text1" w:themeTint="F2"/>
          <w:szCs w:val="24"/>
          <w:lang w:val="en-GB"/>
        </w:rPr>
        <w:t>different legal gender</w:t>
      </w:r>
      <w:r w:rsidR="00A57CAD" w:rsidRPr="007D5BF3">
        <w:rPr>
          <w:rFonts w:ascii="Arial" w:hAnsi="Arial" w:cs="Arial"/>
          <w:color w:val="0D0D0D" w:themeColor="text1" w:themeTint="F2"/>
          <w:szCs w:val="24"/>
          <w:lang w:val="en-GB"/>
        </w:rPr>
        <w:t>s</w:t>
      </w:r>
      <w:r w:rsidRPr="007D5BF3">
        <w:rPr>
          <w:rFonts w:ascii="Arial" w:hAnsi="Arial" w:cs="Arial"/>
          <w:color w:val="0D0D0D" w:themeColor="text1" w:themeTint="F2"/>
          <w:szCs w:val="24"/>
          <w:lang w:val="en-GB"/>
        </w:rPr>
        <w:t xml:space="preserve"> at different time</w:t>
      </w:r>
      <w:r w:rsidR="00F323EC" w:rsidRPr="007D5BF3">
        <w:rPr>
          <w:rFonts w:ascii="Arial" w:hAnsi="Arial" w:cs="Arial"/>
          <w:color w:val="0D0D0D" w:themeColor="text1" w:themeTint="F2"/>
          <w:szCs w:val="24"/>
          <w:lang w:val="en-GB"/>
        </w:rPr>
        <w:t>s</w:t>
      </w:r>
      <w:r w:rsidRPr="007D5BF3">
        <w:rPr>
          <w:rFonts w:ascii="Arial" w:hAnsi="Arial" w:cs="Arial"/>
          <w:color w:val="0D0D0D" w:themeColor="text1" w:themeTint="F2"/>
          <w:szCs w:val="24"/>
          <w:lang w:val="en-GB"/>
        </w:rPr>
        <w:t xml:space="preserve">.  In this regard, it has been argued that </w:t>
      </w:r>
      <w:r w:rsidR="007D5BF3">
        <w:rPr>
          <w:rFonts w:ascii="Arial" w:hAnsi="Arial" w:cs="Arial" w:hint="eastAsia"/>
          <w:color w:val="0D0D0D" w:themeColor="text1" w:themeTint="F2"/>
          <w:szCs w:val="24"/>
          <w:lang w:val="en-GB"/>
        </w:rPr>
        <w:t>there has been data showing that</w:t>
      </w:r>
      <w:r w:rsidR="008662EB" w:rsidRPr="007D5BF3">
        <w:rPr>
          <w:rFonts w:ascii="Arial" w:hAnsi="Arial" w:cs="Arial" w:hint="eastAsia"/>
          <w:color w:val="0D0D0D" w:themeColor="text1" w:themeTint="F2"/>
          <w:szCs w:val="24"/>
          <w:lang w:val="en-GB"/>
        </w:rPr>
        <w:t xml:space="preserve"> </w:t>
      </w:r>
      <w:r w:rsidR="007D5BF3" w:rsidRPr="007D5BF3">
        <w:rPr>
          <w:rFonts w:ascii="Arial" w:hAnsi="Arial" w:cs="Arial"/>
          <w:color w:val="0D0D0D" w:themeColor="text1" w:themeTint="F2"/>
          <w:szCs w:val="24"/>
          <w:lang w:val="en-GB"/>
        </w:rPr>
        <w:t>a return to previous gender</w:t>
      </w:r>
      <w:r w:rsidR="007D5BF3" w:rsidRPr="007D5BF3">
        <w:rPr>
          <w:rFonts w:ascii="Arial" w:hAnsi="Arial" w:cs="Arial" w:hint="eastAsia"/>
          <w:color w:val="0D0D0D" w:themeColor="text1" w:themeTint="F2"/>
          <w:szCs w:val="24"/>
          <w:lang w:val="en-GB"/>
        </w:rPr>
        <w:t xml:space="preserve"> </w:t>
      </w:r>
      <w:r w:rsidR="007D5BF3" w:rsidRPr="007D5BF3">
        <w:rPr>
          <w:rFonts w:ascii="Arial" w:hAnsi="Arial" w:cs="Arial"/>
          <w:color w:val="0D0D0D" w:themeColor="text1" w:themeTint="F2"/>
          <w:szCs w:val="24"/>
          <w:lang w:val="en-GB"/>
        </w:rPr>
        <w:t>happens extremely rarely and is generally a result of discrimination and rejection</w:t>
      </w:r>
      <w:r w:rsidR="007D5BF3">
        <w:rPr>
          <w:rFonts w:ascii="Arial" w:hAnsi="Arial" w:cs="Arial" w:hint="eastAsia"/>
          <w:color w:val="0D0D0D" w:themeColor="text1" w:themeTint="F2"/>
          <w:szCs w:val="24"/>
          <w:lang w:val="en-GB"/>
        </w:rPr>
        <w:t xml:space="preserve"> </w:t>
      </w:r>
      <w:r w:rsidR="007D5BF3" w:rsidRPr="007D5BF3">
        <w:rPr>
          <w:rFonts w:ascii="Arial" w:hAnsi="Arial" w:cs="Arial"/>
          <w:color w:val="0D0D0D" w:themeColor="text1" w:themeTint="F2"/>
          <w:szCs w:val="24"/>
          <w:lang w:val="en-GB"/>
        </w:rPr>
        <w:t>from family, friends, and colleagues</w:t>
      </w:r>
      <w:r w:rsidR="007D5BF3">
        <w:rPr>
          <w:rFonts w:ascii="Arial" w:hAnsi="Arial" w:cs="Arial" w:hint="eastAsia"/>
          <w:color w:val="0D0D0D" w:themeColor="text1" w:themeTint="F2"/>
          <w:szCs w:val="24"/>
          <w:lang w:val="en-GB"/>
        </w:rPr>
        <w:t xml:space="preserve">, and </w:t>
      </w:r>
      <w:r w:rsidRPr="007D5BF3">
        <w:rPr>
          <w:rFonts w:ascii="Arial" w:hAnsi="Arial" w:cs="Arial"/>
          <w:color w:val="0D0D0D" w:themeColor="text1" w:themeTint="F2"/>
          <w:szCs w:val="24"/>
          <w:lang w:val="en-GB"/>
        </w:rPr>
        <w:t>a person is no less likely to transition back to the originally assigned gender after surgery as opposed to before surgery.</w:t>
      </w:r>
      <w:r w:rsidRPr="00181CF2">
        <w:rPr>
          <w:rStyle w:val="FootnoteReference"/>
          <w:rFonts w:ascii="Arial" w:eastAsia="Times New Roman" w:hAnsi="Arial" w:cs="Arial"/>
          <w:kern w:val="0"/>
          <w:szCs w:val="24"/>
          <w:lang w:val="en-GB"/>
        </w:rPr>
        <w:footnoteReference w:id="550"/>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D0D0D" w:themeColor="text1" w:themeTint="F2"/>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D0D0D" w:themeColor="text1" w:themeTint="F2"/>
          <w:szCs w:val="24"/>
          <w:lang w:val="en-GB"/>
        </w:rPr>
      </w:pPr>
      <w:r w:rsidRPr="0028108F">
        <w:rPr>
          <w:rFonts w:ascii="Arial" w:hAnsi="Arial" w:cs="Arial"/>
          <w:color w:val="0D0D0D" w:themeColor="text1" w:themeTint="F2"/>
          <w:szCs w:val="24"/>
          <w:lang w:val="en-GB"/>
        </w:rPr>
        <w:t xml:space="preserve">Dr Anne Lawrence, an American psychologist and sexologist, </w:t>
      </w:r>
      <w:r w:rsidRPr="0028108F">
        <w:rPr>
          <w:rFonts w:ascii="Arial" w:hAnsi="Arial" w:cs="Arial"/>
          <w:szCs w:val="24"/>
          <w:lang w:val="en-GB"/>
        </w:rPr>
        <w:t>examined factors associated with satisfaction or regret following SRS in 232 male-to-female transsexuals operated on between 1994 and 2000 by one surgeon using a consistent technique.  She reported</w:t>
      </w:r>
      <w:r w:rsidRPr="00181CF2">
        <w:rPr>
          <w:rStyle w:val="FootnoteReference"/>
          <w:rFonts w:ascii="Arial" w:hAnsi="Arial" w:cs="Arial"/>
          <w:szCs w:val="24"/>
          <w:lang w:val="en-GB"/>
        </w:rPr>
        <w:footnoteReference w:id="551"/>
      </w:r>
      <w:r w:rsidRPr="00181CF2">
        <w:rPr>
          <w:rFonts w:ascii="Arial" w:hAnsi="Arial" w:cs="Arial"/>
          <w:szCs w:val="24"/>
          <w:lang w:val="en-GB"/>
        </w:rPr>
        <w:t xml:space="preserve"> that participants in the study reported overwhelmingly that they were happy with their SRS results and that SRS had greatly improved the quality of their lives.  None reported outright regret and only a few (1 to 2%) expressed occasional regre</w:t>
      </w:r>
      <w:r w:rsidRPr="00C57CE1">
        <w:rPr>
          <w:rFonts w:ascii="Arial" w:hAnsi="Arial" w:cs="Arial"/>
          <w:szCs w:val="24"/>
          <w:lang w:val="en-GB"/>
        </w:rPr>
        <w:t xml:space="preserve">t.  Dissatisfaction was most strongly associated with unsatisfactory physical and functional results of surgery.  </w:t>
      </w:r>
      <w:r w:rsidR="00A57CAD" w:rsidRPr="0028108F">
        <w:rPr>
          <w:rFonts w:ascii="Arial" w:hAnsi="Arial" w:cs="Arial"/>
          <w:szCs w:val="24"/>
          <w:lang w:val="en-GB"/>
        </w:rPr>
        <w:t>It was reported that m</w:t>
      </w:r>
      <w:r w:rsidRPr="0028108F">
        <w:rPr>
          <w:rFonts w:ascii="Arial" w:hAnsi="Arial" w:cs="Arial"/>
          <w:szCs w:val="24"/>
          <w:lang w:val="en-GB"/>
        </w:rPr>
        <w:t xml:space="preserve">ost indicators of transsexual typology, such as age at surgery, previous marriage or parenthood, and sexual orientation, were not significantly associated with subjective outcomes.  </w:t>
      </w:r>
    </w:p>
    <w:p w:rsidR="00E773F6" w:rsidRPr="0028108F" w:rsidRDefault="00E773F6" w:rsidP="00E773F6">
      <w:pPr>
        <w:tabs>
          <w:tab w:val="left" w:pos="1418"/>
          <w:tab w:val="left" w:pos="2552"/>
        </w:tabs>
        <w:autoSpaceDE w:val="0"/>
        <w:autoSpaceDN w:val="0"/>
        <w:adjustRightInd w:val="0"/>
        <w:snapToGrid w:val="0"/>
        <w:jc w:val="both"/>
        <w:rPr>
          <w:rFonts w:ascii="Arial" w:hAnsi="Arial" w:cs="Arial"/>
          <w:color w:val="0D0D0D" w:themeColor="text1" w:themeTint="F2"/>
          <w:szCs w:val="24"/>
          <w:lang w:val="en-GB"/>
        </w:rPr>
      </w:pPr>
    </w:p>
    <w:p w:rsidR="00E773F6" w:rsidRPr="0028108F" w:rsidRDefault="00E773F6" w:rsidP="00E773F6">
      <w:pPr>
        <w:tabs>
          <w:tab w:val="left" w:pos="851"/>
        </w:tabs>
        <w:adjustRightInd w:val="0"/>
        <w:snapToGrid w:val="0"/>
        <w:jc w:val="both"/>
        <w:rPr>
          <w:rFonts w:ascii="Arial" w:hAnsi="Arial" w:cs="Arial"/>
          <w:i/>
          <w:kern w:val="0"/>
          <w:szCs w:val="24"/>
          <w:lang w:val="en-GB"/>
        </w:rPr>
      </w:pPr>
      <w:r w:rsidRPr="0028108F">
        <w:rPr>
          <w:rFonts w:ascii="Arial" w:hAnsi="Arial" w:cs="Arial"/>
          <w:i/>
          <w:kern w:val="0"/>
          <w:szCs w:val="24"/>
          <w:lang w:val="en-GB"/>
        </w:rPr>
        <w:t xml:space="preserve">Argument (5): Concerns about </w:t>
      </w:r>
      <w:r w:rsidR="005E6528">
        <w:rPr>
          <w:rFonts w:ascii="Arial" w:hAnsi="Arial" w:cs="Arial" w:hint="eastAsia"/>
          <w:i/>
          <w:kern w:val="0"/>
          <w:szCs w:val="24"/>
          <w:lang w:val="en-GB"/>
        </w:rPr>
        <w:t xml:space="preserve">possible </w:t>
      </w:r>
      <w:r w:rsidRPr="0028108F">
        <w:rPr>
          <w:rFonts w:ascii="Arial" w:hAnsi="Arial" w:cs="Arial"/>
          <w:i/>
          <w:kern w:val="0"/>
          <w:szCs w:val="24"/>
          <w:lang w:val="en-GB"/>
        </w:rPr>
        <w:t>fraud or security</w:t>
      </w:r>
    </w:p>
    <w:p w:rsidR="00E773F6" w:rsidRPr="0028108F" w:rsidRDefault="00E773F6" w:rsidP="00E773F6">
      <w:pPr>
        <w:tabs>
          <w:tab w:val="left" w:pos="1418"/>
          <w:tab w:val="left" w:pos="2552"/>
        </w:tabs>
        <w:autoSpaceDE w:val="0"/>
        <w:autoSpaceDN w:val="0"/>
        <w:adjustRightInd w:val="0"/>
        <w:snapToGrid w:val="0"/>
        <w:jc w:val="both"/>
        <w:rPr>
          <w:rFonts w:ascii="Arial" w:hAnsi="Arial" w:cs="Arial"/>
          <w:color w:val="0D0D0D" w:themeColor="text1" w:themeTint="F2"/>
          <w:szCs w:val="24"/>
          <w:lang w:val="en-GB"/>
        </w:rPr>
      </w:pPr>
    </w:p>
    <w:p w:rsidR="00E773F6" w:rsidRPr="00181CF2" w:rsidRDefault="00E773F6" w:rsidP="00C03887">
      <w:pPr>
        <w:pStyle w:val="ListParagraph"/>
        <w:widowControl/>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D0D0D" w:themeColor="text1" w:themeTint="F2"/>
          <w:szCs w:val="24"/>
          <w:lang w:val="en-GB"/>
        </w:rPr>
      </w:pPr>
      <w:r w:rsidRPr="0028108F">
        <w:rPr>
          <w:rFonts w:ascii="Arial" w:hAnsi="Arial" w:cs="Arial"/>
          <w:szCs w:val="24"/>
          <w:lang w:val="en-GB"/>
        </w:rPr>
        <w:t xml:space="preserve">Another argument for </w:t>
      </w:r>
      <w:r w:rsidR="00B2700C" w:rsidRPr="0028108F">
        <w:rPr>
          <w:rFonts w:ascii="Arial" w:hAnsi="Arial" w:cs="Arial"/>
          <w:szCs w:val="24"/>
          <w:lang w:val="en-GB"/>
        </w:rPr>
        <w:t xml:space="preserve">an </w:t>
      </w:r>
      <w:r w:rsidRPr="0028108F">
        <w:rPr>
          <w:rFonts w:ascii="Arial" w:hAnsi="Arial" w:cs="Arial"/>
          <w:szCs w:val="24"/>
          <w:lang w:val="en-GB"/>
        </w:rPr>
        <w:t xml:space="preserve">SRS requirement is that a gender recognition scheme without </w:t>
      </w:r>
      <w:r w:rsidR="00B2700C" w:rsidRPr="0028108F">
        <w:rPr>
          <w:rFonts w:ascii="Arial" w:hAnsi="Arial" w:cs="Arial"/>
          <w:szCs w:val="24"/>
          <w:lang w:val="en-GB"/>
        </w:rPr>
        <w:t>a</w:t>
      </w:r>
      <w:r w:rsidR="00A57CAD" w:rsidRPr="0028108F">
        <w:rPr>
          <w:rFonts w:ascii="Arial" w:hAnsi="Arial" w:cs="Arial"/>
          <w:szCs w:val="24"/>
          <w:lang w:val="en-GB"/>
        </w:rPr>
        <w:t xml:space="preserve">n </w:t>
      </w:r>
      <w:r w:rsidRPr="0028108F">
        <w:rPr>
          <w:rFonts w:ascii="Arial" w:hAnsi="Arial" w:cs="Arial"/>
          <w:szCs w:val="24"/>
          <w:lang w:val="en-GB"/>
        </w:rPr>
        <w:t>SRS requirement may give rise to</w:t>
      </w:r>
      <w:r w:rsidR="00797125">
        <w:rPr>
          <w:rFonts w:ascii="Arial" w:hAnsi="Arial" w:cs="Arial" w:hint="eastAsia"/>
          <w:szCs w:val="24"/>
          <w:lang w:val="en-GB"/>
        </w:rPr>
        <w:t xml:space="preserve"> possible</w:t>
      </w:r>
      <w:r w:rsidRPr="0028108F">
        <w:rPr>
          <w:rFonts w:ascii="Arial" w:hAnsi="Arial" w:cs="Arial"/>
          <w:szCs w:val="24"/>
          <w:lang w:val="en-GB"/>
        </w:rPr>
        <w:t xml:space="preserve"> fraudulent or dishonest changes of identity.  By effectively becoming different persons, people might assume new identities in order to escape family or other legal obligations, and consequently the risk of fraud in the use of the transfer of gender identity might become a public security</w:t>
      </w:r>
      <w:r w:rsidR="00A57CAD" w:rsidRPr="0028108F">
        <w:rPr>
          <w:rFonts w:ascii="Arial" w:hAnsi="Arial" w:cs="Arial"/>
          <w:szCs w:val="24"/>
          <w:lang w:val="en-GB"/>
        </w:rPr>
        <w:t xml:space="preserve"> concern</w:t>
      </w:r>
      <w:r w:rsidRPr="0028108F">
        <w:rPr>
          <w:rFonts w:ascii="Arial" w:hAnsi="Arial" w:cs="Arial"/>
          <w:szCs w:val="24"/>
          <w:lang w:val="en-GB"/>
        </w:rPr>
        <w:t>.  Some worry that people might disguise their gender in order to marry another person of the same biological sex.</w:t>
      </w:r>
      <w:r w:rsidRPr="00181CF2">
        <w:rPr>
          <w:rStyle w:val="FootnoteReference"/>
          <w:rFonts w:ascii="Arial" w:hAnsi="Arial" w:cs="Arial"/>
          <w:szCs w:val="24"/>
          <w:lang w:val="en-GB"/>
        </w:rPr>
        <w:footnoteReference w:id="552"/>
      </w:r>
      <w:r w:rsidRPr="00181CF2">
        <w:rPr>
          <w:rFonts w:ascii="Arial" w:hAnsi="Arial" w:cs="Arial"/>
          <w:szCs w:val="24"/>
          <w:lang w:val="en-GB"/>
        </w:rPr>
        <w:t xml:space="preserve">  There has also been the suggestion that terrorists could take advantage of the ability to alter gender markers on birth certificates.</w:t>
      </w:r>
      <w:r w:rsidRPr="00181CF2">
        <w:rPr>
          <w:rStyle w:val="FootnoteReference"/>
          <w:rFonts w:ascii="Arial" w:hAnsi="Arial" w:cs="Arial"/>
          <w:szCs w:val="24"/>
          <w:lang w:val="en-GB"/>
        </w:rPr>
        <w:footnoteReference w:id="553"/>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D0D0D" w:themeColor="text1" w:themeTint="F2"/>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D0D0D" w:themeColor="text1" w:themeTint="F2"/>
          <w:szCs w:val="24"/>
          <w:lang w:val="en-GB"/>
        </w:rPr>
        <w:t xml:space="preserve">Kenji Yoshino, the Chief Justice Earl Warren Professor of Constitutional Law at New York University School of Law, </w:t>
      </w:r>
      <w:r w:rsidR="00A87DC2" w:rsidRPr="0028108F">
        <w:rPr>
          <w:rFonts w:ascii="Arial" w:hAnsi="Arial" w:cs="Arial"/>
          <w:color w:val="0D0D0D" w:themeColor="text1" w:themeTint="F2"/>
          <w:szCs w:val="24"/>
          <w:lang w:val="en-GB"/>
        </w:rPr>
        <w:t xml:space="preserve">has </w:t>
      </w:r>
      <w:r w:rsidRPr="0028108F">
        <w:rPr>
          <w:rFonts w:ascii="Arial" w:hAnsi="Arial" w:cs="Arial"/>
          <w:szCs w:val="24"/>
          <w:lang w:val="en-GB"/>
        </w:rPr>
        <w:t>noted a potential objection</w:t>
      </w:r>
      <w:r w:rsidR="004F1E6D" w:rsidRPr="0028108F">
        <w:rPr>
          <w:rFonts w:ascii="Arial" w:hAnsi="Arial" w:cs="Arial"/>
          <w:szCs w:val="24"/>
          <w:lang w:val="en-GB"/>
        </w:rPr>
        <w:t xml:space="preserve"> in this regard</w:t>
      </w:r>
      <w:r w:rsidRPr="0028108F">
        <w:rPr>
          <w:rFonts w:ascii="Arial" w:hAnsi="Arial" w:cs="Arial"/>
          <w:szCs w:val="24"/>
          <w:lang w:val="en-GB"/>
        </w:rPr>
        <w:t>: “</w:t>
      </w:r>
      <w:r w:rsidR="00A87DC2" w:rsidRPr="0028108F">
        <w:rPr>
          <w:rFonts w:ascii="Arial" w:hAnsi="Arial" w:cs="Arial"/>
          <w:i/>
          <w:szCs w:val="24"/>
          <w:lang w:val="en-GB"/>
        </w:rPr>
        <w:t>[</w:t>
      </w:r>
      <w:r w:rsidR="004F1E6D" w:rsidRPr="0028108F">
        <w:rPr>
          <w:rFonts w:ascii="Arial" w:hAnsi="Arial" w:cs="Arial"/>
          <w:i/>
          <w:szCs w:val="24"/>
          <w:lang w:val="en-GB"/>
        </w:rPr>
        <w:t>l</w:t>
      </w:r>
      <w:r w:rsidR="00A87DC2" w:rsidRPr="0028108F">
        <w:rPr>
          <w:rFonts w:ascii="Arial" w:hAnsi="Arial" w:cs="Arial"/>
          <w:i/>
          <w:szCs w:val="24"/>
          <w:lang w:val="en-GB"/>
        </w:rPr>
        <w:t>]</w:t>
      </w:r>
      <w:r w:rsidRPr="0028108F">
        <w:rPr>
          <w:rFonts w:ascii="Arial" w:hAnsi="Arial" w:cs="Arial"/>
          <w:i/>
          <w:szCs w:val="24"/>
          <w:lang w:val="en-GB"/>
        </w:rPr>
        <w:t>owering the barriers to sex reassignment increases the incentive for individuals who have no sincere desire to change their sex to do so for opportunistic reasons.</w:t>
      </w:r>
      <w:r w:rsidRPr="0028108F">
        <w:rPr>
          <w:rFonts w:ascii="Arial" w:hAnsi="Arial" w:cs="Arial"/>
          <w:szCs w:val="24"/>
          <w:lang w:val="en-GB"/>
        </w:rPr>
        <w:t>”</w:t>
      </w:r>
      <w:r w:rsidRPr="00181CF2">
        <w:rPr>
          <w:rStyle w:val="FootnoteReference"/>
          <w:rFonts w:ascii="Arial" w:hAnsi="Arial" w:cs="Arial"/>
          <w:szCs w:val="24"/>
          <w:lang w:val="en-GB"/>
        </w:rPr>
        <w:footnoteReference w:id="554"/>
      </w:r>
      <w:r w:rsidRPr="00181CF2">
        <w:rPr>
          <w:rFonts w:ascii="Arial" w:hAnsi="Arial" w:cs="Arial"/>
          <w:szCs w:val="24"/>
          <w:lang w:val="en-GB"/>
        </w:rPr>
        <w:t xml:space="preserve">  Even for Denmark</w:t>
      </w:r>
      <w:r w:rsidR="00A87DC2" w:rsidRPr="00C57CE1">
        <w:rPr>
          <w:rFonts w:ascii="Arial" w:hAnsi="Arial" w:cs="Arial"/>
          <w:szCs w:val="24"/>
          <w:lang w:val="en-GB"/>
        </w:rPr>
        <w:t>,</w:t>
      </w:r>
      <w:r w:rsidRPr="0028108F">
        <w:rPr>
          <w:rFonts w:ascii="Arial" w:hAnsi="Arial" w:cs="Arial"/>
          <w:szCs w:val="24"/>
          <w:lang w:val="en-GB"/>
        </w:rPr>
        <w:t xml:space="preserve"> which recognises a person’s self-determined gender identity</w:t>
      </w:r>
      <w:r w:rsidRPr="00181CF2">
        <w:rPr>
          <w:rFonts w:ascii="Arial" w:hAnsi="Arial" w:cs="Arial"/>
          <w:szCs w:val="24"/>
          <w:lang w:val="en-GB"/>
        </w:rPr>
        <w:t xml:space="preserve">, there is a </w:t>
      </w:r>
      <w:r w:rsidRPr="00C57CE1">
        <w:rPr>
          <w:rFonts w:ascii="Arial" w:hAnsi="Arial" w:cs="Arial"/>
          <w:i/>
          <w:szCs w:val="24"/>
          <w:lang w:val="en-GB"/>
        </w:rPr>
        <w:t>“reflection period”</w:t>
      </w:r>
      <w:r w:rsidRPr="0028108F">
        <w:rPr>
          <w:rFonts w:ascii="Arial" w:hAnsi="Arial" w:cs="Arial"/>
          <w:szCs w:val="24"/>
          <w:lang w:val="en-GB"/>
        </w:rPr>
        <w:t xml:space="preserve"> of 6 months between the time of the application and the registration of the changed gender</w:t>
      </w:r>
      <w:r w:rsidR="00A87DC2" w:rsidRPr="0028108F">
        <w:rPr>
          <w:rFonts w:ascii="Arial" w:hAnsi="Arial" w:cs="Arial"/>
          <w:szCs w:val="24"/>
          <w:lang w:val="en-GB"/>
        </w:rPr>
        <w:t>,</w:t>
      </w:r>
      <w:r w:rsidRPr="0028108F">
        <w:rPr>
          <w:rFonts w:ascii="Arial" w:hAnsi="Arial" w:cs="Arial"/>
          <w:szCs w:val="24"/>
          <w:lang w:val="en-GB"/>
        </w:rPr>
        <w:t xml:space="preserve"> ostensibly for the purpose of ensuring that the application is not based on impulse and to protect against potential abuse or fraud.</w:t>
      </w:r>
      <w:r w:rsidRPr="00181CF2">
        <w:rPr>
          <w:rStyle w:val="FootnoteReference"/>
          <w:rFonts w:ascii="Arial" w:hAnsi="Arial" w:cs="Arial"/>
          <w:szCs w:val="24"/>
          <w:lang w:val="en-GB"/>
        </w:rPr>
        <w:footnoteReference w:id="555"/>
      </w:r>
    </w:p>
    <w:p w:rsidR="00E773F6" w:rsidRPr="00C57CE1" w:rsidRDefault="00E773F6" w:rsidP="008813DE">
      <w:pPr>
        <w:pStyle w:val="ListParagraph"/>
        <w:snapToGrid w:val="0"/>
        <w:ind w:leftChars="0" w:left="360"/>
        <w:rPr>
          <w:rFonts w:ascii="Arial" w:hAnsi="Arial" w:cs="Arial"/>
          <w:color w:val="0D0D0D" w:themeColor="text1" w:themeTint="F2"/>
          <w:szCs w:val="24"/>
          <w:lang w:val="en-GB"/>
        </w:rPr>
      </w:pPr>
    </w:p>
    <w:p w:rsidR="00E773F6" w:rsidRPr="0028108F" w:rsidRDefault="00E773F6" w:rsidP="00E773F6">
      <w:pPr>
        <w:tabs>
          <w:tab w:val="left" w:pos="1418"/>
          <w:tab w:val="left" w:pos="2552"/>
        </w:tabs>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 xml:space="preserve">Argument (6): The </w:t>
      </w:r>
      <w:r w:rsidR="00A87DC2" w:rsidRPr="0028108F">
        <w:rPr>
          <w:rFonts w:ascii="Arial" w:hAnsi="Arial" w:cs="Arial"/>
          <w:i/>
          <w:szCs w:val="24"/>
          <w:lang w:val="en-GB"/>
        </w:rPr>
        <w:t>i</w:t>
      </w:r>
      <w:r w:rsidRPr="0028108F">
        <w:rPr>
          <w:rFonts w:ascii="Arial" w:hAnsi="Arial" w:cs="Arial"/>
          <w:i/>
          <w:szCs w:val="24"/>
          <w:lang w:val="en-GB"/>
        </w:rPr>
        <w:t>nternational trend is not overwhelming and some Asian jurisdictions’ approach</w:t>
      </w:r>
      <w:r w:rsidR="00B2700C" w:rsidRPr="0028108F">
        <w:rPr>
          <w:rFonts w:ascii="Arial" w:hAnsi="Arial" w:cs="Arial"/>
          <w:i/>
          <w:szCs w:val="24"/>
          <w:lang w:val="en-GB"/>
        </w:rPr>
        <w:t>es</w:t>
      </w:r>
      <w:r w:rsidRPr="0028108F">
        <w:rPr>
          <w:rFonts w:ascii="Arial" w:hAnsi="Arial" w:cs="Arial"/>
          <w:i/>
          <w:szCs w:val="24"/>
          <w:lang w:val="en-GB"/>
        </w:rPr>
        <w:t xml:space="preserve"> should be of higher reference value </w:t>
      </w:r>
      <w:r w:rsidR="00A87DC2" w:rsidRPr="0028108F">
        <w:rPr>
          <w:rFonts w:ascii="Arial" w:hAnsi="Arial" w:cs="Arial"/>
          <w:i/>
          <w:szCs w:val="24"/>
          <w:lang w:val="en-GB"/>
        </w:rPr>
        <w:t>for</w:t>
      </w:r>
      <w:r w:rsidRPr="0028108F">
        <w:rPr>
          <w:rFonts w:ascii="Arial" w:hAnsi="Arial" w:cs="Arial"/>
          <w:i/>
          <w:szCs w:val="24"/>
          <w:lang w:val="en-GB"/>
        </w:rPr>
        <w:t xml:space="preserve"> Hong Kong</w:t>
      </w:r>
    </w:p>
    <w:p w:rsidR="00E773F6" w:rsidRPr="0028108F" w:rsidRDefault="00E773F6" w:rsidP="00E773F6">
      <w:pPr>
        <w:pStyle w:val="ListParagraph"/>
        <w:snapToGrid w:val="0"/>
        <w:ind w:leftChars="0" w:left="360"/>
        <w:rPr>
          <w:rFonts w:ascii="Arial" w:hAnsi="Arial" w:cs="Arial"/>
          <w:szCs w:val="24"/>
          <w:u w:val="single"/>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In recent years</w:t>
      </w:r>
      <w:r w:rsidR="00A87DC2" w:rsidRPr="0028108F">
        <w:rPr>
          <w:rFonts w:ascii="Arial" w:hAnsi="Arial" w:cs="Arial"/>
          <w:szCs w:val="24"/>
          <w:lang w:val="en-GB"/>
        </w:rPr>
        <w:t>,</w:t>
      </w:r>
      <w:r w:rsidRPr="0028108F">
        <w:rPr>
          <w:rFonts w:ascii="Arial" w:hAnsi="Arial" w:cs="Arial"/>
          <w:szCs w:val="24"/>
          <w:lang w:val="en-GB"/>
        </w:rPr>
        <w:t xml:space="preserve"> there seems to </w:t>
      </w:r>
      <w:r w:rsidR="00A87DC2" w:rsidRPr="0028108F">
        <w:rPr>
          <w:rFonts w:ascii="Arial" w:hAnsi="Arial" w:cs="Arial"/>
          <w:szCs w:val="24"/>
          <w:lang w:val="en-GB"/>
        </w:rPr>
        <w:t xml:space="preserve">have </w:t>
      </w:r>
      <w:r w:rsidRPr="0028108F">
        <w:rPr>
          <w:rFonts w:ascii="Arial" w:hAnsi="Arial" w:cs="Arial"/>
          <w:szCs w:val="24"/>
          <w:lang w:val="en-GB"/>
        </w:rPr>
        <w:t>be</w:t>
      </w:r>
      <w:r w:rsidR="00A87DC2" w:rsidRPr="0028108F">
        <w:rPr>
          <w:rFonts w:ascii="Arial" w:hAnsi="Arial" w:cs="Arial"/>
          <w:szCs w:val="24"/>
          <w:lang w:val="en-GB"/>
        </w:rPr>
        <w:t>en</w:t>
      </w:r>
      <w:r w:rsidRPr="0028108F">
        <w:rPr>
          <w:rFonts w:ascii="Arial" w:hAnsi="Arial" w:cs="Arial"/>
          <w:szCs w:val="24"/>
          <w:lang w:val="en-GB"/>
        </w:rPr>
        <w:t xml:space="preserve"> an international trend in the judicial and political sectors </w:t>
      </w:r>
      <w:r w:rsidR="00A87DC2" w:rsidRPr="0028108F">
        <w:rPr>
          <w:rFonts w:ascii="Arial" w:hAnsi="Arial" w:cs="Arial"/>
          <w:szCs w:val="24"/>
          <w:lang w:val="en-GB"/>
        </w:rPr>
        <w:t xml:space="preserve">to </w:t>
      </w:r>
      <w:r w:rsidRPr="0028108F">
        <w:rPr>
          <w:rFonts w:ascii="Arial" w:hAnsi="Arial" w:cs="Arial"/>
          <w:szCs w:val="24"/>
          <w:lang w:val="en-GB"/>
        </w:rPr>
        <w:t>eliminat</w:t>
      </w:r>
      <w:r w:rsidR="00A87DC2" w:rsidRPr="0028108F">
        <w:rPr>
          <w:rFonts w:ascii="Arial" w:hAnsi="Arial" w:cs="Arial"/>
          <w:szCs w:val="24"/>
          <w:lang w:val="en-GB"/>
        </w:rPr>
        <w:t>e</w:t>
      </w:r>
      <w:r w:rsidRPr="0028108F">
        <w:rPr>
          <w:rFonts w:ascii="Arial" w:hAnsi="Arial" w:cs="Arial"/>
          <w:szCs w:val="24"/>
          <w:lang w:val="en-GB"/>
        </w:rPr>
        <w:t xml:space="preserve"> irreversible surgery and sterilisation as precondition</w:t>
      </w:r>
      <w:r w:rsidR="00A87DC2" w:rsidRPr="0028108F">
        <w:rPr>
          <w:rFonts w:ascii="Arial" w:hAnsi="Arial" w:cs="Arial"/>
          <w:szCs w:val="24"/>
          <w:lang w:val="en-GB"/>
        </w:rPr>
        <w:t>s</w:t>
      </w:r>
      <w:r w:rsidRPr="0028108F">
        <w:rPr>
          <w:rFonts w:ascii="Arial" w:hAnsi="Arial" w:cs="Arial"/>
          <w:szCs w:val="24"/>
          <w:lang w:val="en-GB"/>
        </w:rPr>
        <w:t xml:space="preserve"> for </w:t>
      </w:r>
      <w:r w:rsidR="00A87DC2" w:rsidRPr="0028108F">
        <w:rPr>
          <w:rFonts w:ascii="Arial" w:hAnsi="Arial" w:cs="Arial"/>
          <w:szCs w:val="24"/>
          <w:lang w:val="en-GB"/>
        </w:rPr>
        <w:t xml:space="preserve">the recognition of a </w:t>
      </w:r>
      <w:r w:rsidRPr="0028108F">
        <w:rPr>
          <w:rFonts w:ascii="Arial" w:hAnsi="Arial" w:cs="Arial"/>
          <w:szCs w:val="24"/>
          <w:lang w:val="en-GB"/>
        </w:rPr>
        <w:t>transgender person</w:t>
      </w:r>
      <w:r w:rsidR="00A87DC2" w:rsidRPr="0028108F">
        <w:rPr>
          <w:rFonts w:ascii="Arial" w:hAnsi="Arial" w:cs="Arial"/>
          <w:szCs w:val="24"/>
          <w:lang w:val="en-GB"/>
        </w:rPr>
        <w:t>’</w:t>
      </w:r>
      <w:r w:rsidRPr="0028108F">
        <w:rPr>
          <w:rFonts w:ascii="Arial" w:hAnsi="Arial" w:cs="Arial"/>
          <w:szCs w:val="24"/>
          <w:lang w:val="en-GB"/>
        </w:rPr>
        <w:t xml:space="preserve">s desired or acquired gender (see a more detailed analysis in paragraphs </w:t>
      </w:r>
      <w:r w:rsidR="009A0B79" w:rsidRPr="008813DE">
        <w:rPr>
          <w:rFonts w:ascii="Arial" w:hAnsi="Arial" w:cs="Arial"/>
          <w:szCs w:val="24"/>
          <w:lang w:val="en-GB"/>
        </w:rPr>
        <w:t>6.55</w:t>
      </w:r>
      <w:r w:rsidRPr="008813DE">
        <w:rPr>
          <w:rFonts w:ascii="Arial" w:hAnsi="Arial" w:cs="Arial"/>
          <w:szCs w:val="24"/>
          <w:lang w:val="en-GB"/>
        </w:rPr>
        <w:t xml:space="preserve"> to </w:t>
      </w:r>
      <w:r w:rsidR="009A0B79" w:rsidRPr="008813DE">
        <w:rPr>
          <w:rFonts w:ascii="Arial" w:hAnsi="Arial" w:cs="Arial"/>
          <w:szCs w:val="24"/>
          <w:lang w:val="en-GB"/>
        </w:rPr>
        <w:t>6.57</w:t>
      </w:r>
      <w:r w:rsidRPr="008813DE">
        <w:rPr>
          <w:rFonts w:ascii="Arial" w:hAnsi="Arial" w:cs="Arial"/>
          <w:szCs w:val="24"/>
          <w:lang w:val="en-GB"/>
        </w:rPr>
        <w:t xml:space="preserve"> of this </w:t>
      </w:r>
      <w:r w:rsidR="00D41803">
        <w:rPr>
          <w:rFonts w:ascii="Arial" w:hAnsi="Arial" w:cs="Arial" w:hint="eastAsia"/>
          <w:szCs w:val="24"/>
          <w:lang w:val="en-GB"/>
        </w:rPr>
        <w:t>c</w:t>
      </w:r>
      <w:r w:rsidR="00D41803" w:rsidRPr="008813DE">
        <w:rPr>
          <w:rFonts w:ascii="Arial" w:hAnsi="Arial" w:cs="Arial"/>
          <w:szCs w:val="24"/>
          <w:lang w:val="en-GB"/>
        </w:rPr>
        <w:t>hapter</w:t>
      </w:r>
      <w:r w:rsidRPr="0028108F">
        <w:rPr>
          <w:rFonts w:ascii="Arial" w:hAnsi="Arial" w:cs="Arial"/>
          <w:szCs w:val="24"/>
          <w:lang w:val="en-GB"/>
        </w:rPr>
        <w:t xml:space="preserve">).  In spite of this, requirements of surgery and sterilisation </w:t>
      </w:r>
      <w:r w:rsidR="00103CED" w:rsidRPr="0028108F">
        <w:rPr>
          <w:rFonts w:ascii="Arial" w:hAnsi="Arial" w:cs="Arial"/>
          <w:szCs w:val="24"/>
          <w:lang w:val="en-GB"/>
        </w:rPr>
        <w:t xml:space="preserve">for gender recognition </w:t>
      </w:r>
      <w:r w:rsidRPr="0028108F">
        <w:rPr>
          <w:rFonts w:ascii="Arial" w:hAnsi="Arial" w:cs="Arial"/>
          <w:szCs w:val="24"/>
          <w:lang w:val="en-GB"/>
        </w:rPr>
        <w:t xml:space="preserve">remain commonplace in many countries.  For example, the pan-European advocacy group, Transgender Europe, reported in </w:t>
      </w:r>
      <w:r w:rsidR="00710C85">
        <w:rPr>
          <w:rFonts w:ascii="Arial" w:hAnsi="Arial" w:cs="Arial" w:hint="eastAsia"/>
          <w:szCs w:val="24"/>
          <w:lang w:val="en-GB"/>
        </w:rPr>
        <w:t xml:space="preserve">April </w:t>
      </w:r>
      <w:r w:rsidR="00710C85" w:rsidRPr="0028108F">
        <w:rPr>
          <w:rFonts w:ascii="Arial" w:hAnsi="Arial" w:cs="Arial"/>
          <w:szCs w:val="24"/>
          <w:lang w:val="en-GB"/>
        </w:rPr>
        <w:t>201</w:t>
      </w:r>
      <w:r w:rsidR="00710C85">
        <w:rPr>
          <w:rFonts w:ascii="Arial" w:hAnsi="Arial" w:cs="Arial" w:hint="eastAsia"/>
          <w:szCs w:val="24"/>
          <w:lang w:val="en-GB"/>
        </w:rPr>
        <w:t>7</w:t>
      </w:r>
      <w:r w:rsidR="00710C85" w:rsidRPr="00181CF2">
        <w:rPr>
          <w:rFonts w:ascii="Arial" w:hAnsi="Arial" w:cs="Arial"/>
          <w:szCs w:val="24"/>
          <w:lang w:val="en-GB"/>
        </w:rPr>
        <w:t xml:space="preserve"> </w:t>
      </w:r>
      <w:r w:rsidRPr="00C57CE1">
        <w:rPr>
          <w:rFonts w:ascii="Arial" w:hAnsi="Arial" w:cs="Arial"/>
          <w:szCs w:val="24"/>
          <w:lang w:val="en-GB"/>
        </w:rPr>
        <w:t xml:space="preserve">that at least </w:t>
      </w:r>
      <w:r w:rsidR="00710C85" w:rsidRPr="00C57CE1">
        <w:rPr>
          <w:rFonts w:ascii="Arial" w:hAnsi="Arial" w:cs="Arial"/>
          <w:szCs w:val="24"/>
          <w:lang w:val="en-GB"/>
        </w:rPr>
        <w:t>2</w:t>
      </w:r>
      <w:r w:rsidR="00710C85">
        <w:rPr>
          <w:rFonts w:ascii="Arial" w:hAnsi="Arial" w:cs="Arial" w:hint="eastAsia"/>
          <w:szCs w:val="24"/>
          <w:lang w:val="en-GB"/>
        </w:rPr>
        <w:t>0</w:t>
      </w:r>
      <w:r w:rsidR="00710C85" w:rsidRPr="00C57CE1">
        <w:rPr>
          <w:rFonts w:ascii="Arial" w:hAnsi="Arial" w:cs="Arial"/>
          <w:szCs w:val="24"/>
          <w:lang w:val="en-GB"/>
        </w:rPr>
        <w:t xml:space="preserve"> </w:t>
      </w:r>
      <w:r w:rsidRPr="00C57CE1">
        <w:rPr>
          <w:rFonts w:ascii="Arial" w:hAnsi="Arial" w:cs="Arial"/>
          <w:szCs w:val="24"/>
          <w:lang w:val="en-GB"/>
        </w:rPr>
        <w:t xml:space="preserve">countries </w:t>
      </w:r>
      <w:r w:rsidR="00435FD2" w:rsidRPr="0028108F">
        <w:rPr>
          <w:rFonts w:ascii="Arial" w:hAnsi="Arial" w:cs="Arial"/>
          <w:szCs w:val="24"/>
          <w:lang w:val="en-GB"/>
        </w:rPr>
        <w:t xml:space="preserve">in Europe </w:t>
      </w:r>
      <w:r w:rsidRPr="00C57CE1">
        <w:rPr>
          <w:rFonts w:ascii="Arial" w:hAnsi="Arial" w:cs="Arial"/>
          <w:szCs w:val="24"/>
          <w:lang w:val="en-GB"/>
        </w:rPr>
        <w:t>still mandate sterilisation</w:t>
      </w:r>
      <w:r w:rsidR="00435FD2" w:rsidRPr="0028108F">
        <w:rPr>
          <w:rFonts w:ascii="Arial" w:hAnsi="Arial" w:cs="Arial"/>
          <w:szCs w:val="24"/>
          <w:lang w:val="en-GB"/>
        </w:rPr>
        <w:t xml:space="preserve"> for gender recognition</w:t>
      </w:r>
      <w:r w:rsidRPr="00181CF2">
        <w:rPr>
          <w:rFonts w:ascii="Arial" w:hAnsi="Arial" w:cs="Arial"/>
          <w:szCs w:val="24"/>
          <w:lang w:val="en-GB"/>
        </w:rPr>
        <w:t>.</w:t>
      </w:r>
      <w:r w:rsidRPr="00181CF2">
        <w:rPr>
          <w:rStyle w:val="FootnoteReference"/>
          <w:rFonts w:ascii="Arial" w:hAnsi="Arial" w:cs="Arial"/>
          <w:szCs w:val="24"/>
          <w:lang w:val="en-GB"/>
        </w:rPr>
        <w:footnoteReference w:id="556"/>
      </w:r>
      <w:r w:rsidRPr="00181CF2">
        <w:rPr>
          <w:rFonts w:ascii="Arial" w:hAnsi="Arial" w:cs="Arial"/>
          <w:szCs w:val="24"/>
          <w:lang w:val="en-GB"/>
        </w:rPr>
        <w:t xml:space="preserve">  On the other hand, </w:t>
      </w:r>
      <w:r w:rsidR="00A87DC2" w:rsidRPr="00C57CE1">
        <w:rPr>
          <w:rFonts w:ascii="Arial" w:hAnsi="Arial" w:cs="Arial"/>
          <w:szCs w:val="24"/>
          <w:lang w:val="en-GB"/>
        </w:rPr>
        <w:t xml:space="preserve">the latest </w:t>
      </w:r>
      <w:r w:rsidRPr="0028108F">
        <w:rPr>
          <w:rFonts w:ascii="Arial" w:hAnsi="Arial" w:cs="Arial"/>
          <w:szCs w:val="24"/>
          <w:lang w:val="en-GB"/>
        </w:rPr>
        <w:t xml:space="preserve">developments are not always </w:t>
      </w:r>
      <w:r w:rsidRPr="0028108F">
        <w:rPr>
          <w:rFonts w:ascii="Arial" w:hAnsi="Arial" w:cs="Arial"/>
          <w:i/>
          <w:szCs w:val="24"/>
          <w:lang w:val="en-GB"/>
        </w:rPr>
        <w:t>“avant-garde”</w:t>
      </w:r>
      <w:r w:rsidRPr="0028108F">
        <w:rPr>
          <w:rFonts w:ascii="Arial" w:hAnsi="Arial" w:cs="Arial"/>
          <w:szCs w:val="24"/>
          <w:lang w:val="en-GB"/>
        </w:rPr>
        <w:t xml:space="preserve">.  For instance, the newly adopted Civil Code 2014 in the Czech Republic has expressly introduced </w:t>
      </w:r>
      <w:r w:rsidR="00CD18D9" w:rsidRPr="0028108F">
        <w:rPr>
          <w:rFonts w:ascii="Arial" w:hAnsi="Arial" w:cs="Arial"/>
          <w:szCs w:val="24"/>
          <w:lang w:val="en-GB"/>
        </w:rPr>
        <w:t xml:space="preserve">into national law for the first time </w:t>
      </w:r>
      <w:r w:rsidRPr="0028108F">
        <w:rPr>
          <w:rFonts w:ascii="Arial" w:hAnsi="Arial" w:cs="Arial"/>
          <w:szCs w:val="24"/>
          <w:lang w:val="en-GB"/>
        </w:rPr>
        <w:t xml:space="preserve">a </w:t>
      </w:r>
      <w:r w:rsidRPr="0028108F">
        <w:rPr>
          <w:rFonts w:ascii="Arial" w:hAnsi="Arial" w:cs="Arial"/>
          <w:i/>
          <w:szCs w:val="24"/>
          <w:lang w:val="en-GB"/>
        </w:rPr>
        <w:t>“sex change”</w:t>
      </w:r>
      <w:r w:rsidRPr="0028108F">
        <w:rPr>
          <w:rFonts w:ascii="Arial" w:hAnsi="Arial" w:cs="Arial"/>
          <w:szCs w:val="24"/>
          <w:lang w:val="en-GB"/>
        </w:rPr>
        <w:t xml:space="preserve"> requirement which includes both surgery and sterilisation.</w:t>
      </w:r>
      <w:r w:rsidRPr="00181CF2">
        <w:rPr>
          <w:rStyle w:val="FootnoteReference"/>
          <w:rFonts w:ascii="Arial" w:hAnsi="Arial" w:cs="Arial"/>
          <w:szCs w:val="24"/>
          <w:lang w:val="en-GB"/>
        </w:rPr>
        <w:footnoteReference w:id="557"/>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Asian countries such as Singapore, Japan</w:t>
      </w:r>
      <w:r w:rsidR="00EF4C0C">
        <w:rPr>
          <w:rFonts w:ascii="Arial" w:hAnsi="Arial" w:cs="Arial" w:hint="eastAsia"/>
          <w:szCs w:val="24"/>
          <w:lang w:val="en-GB"/>
        </w:rPr>
        <w:t xml:space="preserve"> and</w:t>
      </w:r>
      <w:r w:rsidR="00EF4C0C">
        <w:rPr>
          <w:rFonts w:ascii="Arial" w:hAnsi="Arial" w:cs="Arial"/>
          <w:szCs w:val="24"/>
          <w:lang w:val="en-GB"/>
        </w:rPr>
        <w:t xml:space="preserve"> South Korea </w:t>
      </w:r>
      <w:r w:rsidR="00A87DC2" w:rsidRPr="0028108F">
        <w:rPr>
          <w:rFonts w:ascii="Arial" w:hAnsi="Arial" w:cs="Arial"/>
          <w:szCs w:val="24"/>
          <w:lang w:val="en-GB"/>
        </w:rPr>
        <w:t>are</w:t>
      </w:r>
      <w:r w:rsidRPr="0028108F">
        <w:rPr>
          <w:rFonts w:ascii="Arial" w:hAnsi="Arial" w:cs="Arial"/>
          <w:szCs w:val="24"/>
          <w:lang w:val="en-GB"/>
        </w:rPr>
        <w:t xml:space="preserve"> frequently </w:t>
      </w:r>
      <w:r w:rsidR="00A87DC2" w:rsidRPr="0028108F">
        <w:rPr>
          <w:rFonts w:ascii="Arial" w:hAnsi="Arial" w:cs="Arial"/>
          <w:szCs w:val="24"/>
          <w:lang w:val="en-GB"/>
        </w:rPr>
        <w:t>cited</w:t>
      </w:r>
      <w:r w:rsidRPr="0028108F">
        <w:rPr>
          <w:rFonts w:ascii="Arial" w:hAnsi="Arial" w:cs="Arial"/>
          <w:szCs w:val="24"/>
          <w:lang w:val="en-GB"/>
        </w:rPr>
        <w:t xml:space="preserve"> by people advocating </w:t>
      </w:r>
      <w:r w:rsidR="00A87DC2" w:rsidRPr="0028108F">
        <w:rPr>
          <w:rFonts w:ascii="Arial" w:hAnsi="Arial" w:cs="Arial"/>
          <w:szCs w:val="24"/>
          <w:lang w:val="en-GB"/>
        </w:rPr>
        <w:t>the</w:t>
      </w:r>
      <w:r w:rsidRPr="0028108F">
        <w:rPr>
          <w:rFonts w:ascii="Arial" w:hAnsi="Arial" w:cs="Arial"/>
          <w:szCs w:val="24"/>
          <w:lang w:val="en-GB"/>
        </w:rPr>
        <w:t xml:space="preserve"> maintaining </w:t>
      </w:r>
      <w:r w:rsidR="00A87DC2" w:rsidRPr="0028108F">
        <w:rPr>
          <w:rFonts w:ascii="Arial" w:hAnsi="Arial" w:cs="Arial"/>
          <w:szCs w:val="24"/>
          <w:lang w:val="en-GB"/>
        </w:rPr>
        <w:t xml:space="preserve">of </w:t>
      </w:r>
      <w:r w:rsidRPr="0028108F">
        <w:rPr>
          <w:rFonts w:ascii="Arial" w:hAnsi="Arial" w:cs="Arial"/>
          <w:szCs w:val="24"/>
          <w:lang w:val="en-GB"/>
        </w:rPr>
        <w:t xml:space="preserve">SRS-based </w:t>
      </w:r>
      <w:r w:rsidR="00A87DC2" w:rsidRPr="0028108F">
        <w:rPr>
          <w:rFonts w:ascii="Arial" w:hAnsi="Arial" w:cs="Arial"/>
          <w:szCs w:val="24"/>
          <w:lang w:val="en-GB"/>
        </w:rPr>
        <w:t xml:space="preserve">requirements for </w:t>
      </w:r>
      <w:r w:rsidRPr="0028108F">
        <w:rPr>
          <w:rFonts w:ascii="Arial" w:hAnsi="Arial" w:cs="Arial"/>
          <w:szCs w:val="24"/>
          <w:lang w:val="en-GB"/>
        </w:rPr>
        <w:t>gender recognition</w:t>
      </w:r>
      <w:r w:rsidR="00A87DC2" w:rsidRPr="0028108F">
        <w:rPr>
          <w:rFonts w:ascii="Arial" w:hAnsi="Arial" w:cs="Arial"/>
          <w:szCs w:val="24"/>
          <w:lang w:val="en-GB"/>
        </w:rPr>
        <w:t>,</w:t>
      </w:r>
      <w:r w:rsidRPr="0028108F">
        <w:rPr>
          <w:rFonts w:ascii="Arial" w:hAnsi="Arial" w:cs="Arial"/>
          <w:szCs w:val="24"/>
          <w:lang w:val="en-GB"/>
        </w:rPr>
        <w:t xml:space="preserve"> </w:t>
      </w:r>
      <w:r w:rsidR="00A87DC2" w:rsidRPr="0028108F">
        <w:rPr>
          <w:rFonts w:ascii="Arial" w:hAnsi="Arial" w:cs="Arial"/>
          <w:szCs w:val="24"/>
          <w:lang w:val="en-GB"/>
        </w:rPr>
        <w:t>as the argument is made</w:t>
      </w:r>
      <w:r w:rsidRPr="0028108F">
        <w:rPr>
          <w:rFonts w:ascii="Arial" w:hAnsi="Arial" w:cs="Arial"/>
          <w:szCs w:val="24"/>
          <w:lang w:val="en-GB"/>
        </w:rPr>
        <w:t xml:space="preserve"> that these jurisdictions’ approach</w:t>
      </w:r>
      <w:r w:rsidR="00881D5F" w:rsidRPr="0028108F">
        <w:rPr>
          <w:rFonts w:ascii="Arial" w:hAnsi="Arial" w:cs="Arial"/>
          <w:szCs w:val="24"/>
          <w:lang w:val="en-GB"/>
        </w:rPr>
        <w:t>es</w:t>
      </w:r>
      <w:r w:rsidRPr="0028108F">
        <w:rPr>
          <w:rFonts w:ascii="Arial" w:hAnsi="Arial" w:cs="Arial"/>
          <w:szCs w:val="24"/>
          <w:lang w:val="en-GB"/>
        </w:rPr>
        <w:t xml:space="preserve"> concerning gender recognition have more reference value than those of European countries</w:t>
      </w:r>
      <w:r w:rsidR="00881D5F" w:rsidRPr="0028108F">
        <w:rPr>
          <w:rFonts w:ascii="Arial" w:hAnsi="Arial" w:cs="Arial"/>
          <w:szCs w:val="24"/>
          <w:lang w:val="en-GB"/>
        </w:rPr>
        <w:t xml:space="preserve"> </w:t>
      </w:r>
      <w:r w:rsidR="00C01054" w:rsidRPr="0028108F">
        <w:rPr>
          <w:rFonts w:ascii="Arial" w:hAnsi="Arial" w:cs="Arial"/>
          <w:szCs w:val="24"/>
          <w:lang w:val="en-GB"/>
        </w:rPr>
        <w:t xml:space="preserve">when considering </w:t>
      </w:r>
      <w:r w:rsidR="00881D5F" w:rsidRPr="0028108F">
        <w:rPr>
          <w:rFonts w:ascii="Arial" w:hAnsi="Arial" w:cs="Arial"/>
          <w:szCs w:val="24"/>
          <w:lang w:val="en-GB"/>
        </w:rPr>
        <w:t>a gender recognition scheme in Hong Kong</w:t>
      </w:r>
      <w:r w:rsidRPr="0028108F">
        <w:rPr>
          <w:rFonts w:ascii="Arial" w:hAnsi="Arial" w:cs="Arial"/>
          <w:szCs w:val="24"/>
          <w:lang w:val="en-GB"/>
        </w:rPr>
        <w:t>.  For example, it has been argued that the society in Singapore or Mainland China</w:t>
      </w:r>
      <w:r w:rsidR="00EF4C0C">
        <w:rPr>
          <w:rFonts w:ascii="Arial" w:hAnsi="Arial" w:cs="Arial" w:hint="eastAsia"/>
          <w:szCs w:val="24"/>
          <w:lang w:val="en-GB"/>
        </w:rPr>
        <w:t xml:space="preserve"> </w:t>
      </w:r>
      <w:r w:rsidRPr="0028108F">
        <w:rPr>
          <w:rFonts w:ascii="Arial" w:hAnsi="Arial" w:cs="Arial"/>
          <w:szCs w:val="24"/>
          <w:lang w:val="en-GB"/>
        </w:rPr>
        <w:t>is relatively similar to that of Hong Kong, and their gender recognition laws and policies</w:t>
      </w:r>
      <w:r w:rsidR="00C01054" w:rsidRPr="0028108F">
        <w:rPr>
          <w:rFonts w:ascii="Arial" w:hAnsi="Arial" w:cs="Arial"/>
          <w:szCs w:val="24"/>
          <w:lang w:val="en-GB"/>
        </w:rPr>
        <w:t>,</w:t>
      </w:r>
      <w:r w:rsidRPr="0028108F">
        <w:rPr>
          <w:rFonts w:ascii="Arial" w:hAnsi="Arial" w:cs="Arial"/>
          <w:szCs w:val="24"/>
          <w:lang w:val="en-GB"/>
        </w:rPr>
        <w:t xml:space="preserve"> that require a person to complete SRS before he or she can change the sex entry on his or her household register or identification document</w:t>
      </w:r>
      <w:r w:rsidR="00C01054" w:rsidRPr="0028108F">
        <w:rPr>
          <w:rFonts w:ascii="Arial" w:hAnsi="Arial" w:cs="Arial"/>
          <w:szCs w:val="24"/>
          <w:lang w:val="en-GB"/>
        </w:rPr>
        <w:t>,</w:t>
      </w:r>
      <w:r w:rsidRPr="0028108F">
        <w:rPr>
          <w:rFonts w:ascii="Arial" w:hAnsi="Arial" w:cs="Arial"/>
          <w:szCs w:val="24"/>
          <w:lang w:val="en-GB"/>
        </w:rPr>
        <w:t xml:space="preserve"> should be followed in Hong Kong.</w:t>
      </w:r>
      <w:r w:rsidRPr="00181CF2">
        <w:rPr>
          <w:rStyle w:val="FootnoteReference"/>
          <w:rFonts w:ascii="Arial" w:hAnsi="Arial" w:cs="Arial"/>
          <w:szCs w:val="24"/>
          <w:lang w:val="en-GB"/>
        </w:rPr>
        <w:footnoteReference w:id="558"/>
      </w:r>
      <w:r w:rsidRPr="00181CF2">
        <w:rPr>
          <w:rFonts w:ascii="Arial" w:hAnsi="Arial" w:cs="Arial"/>
          <w:szCs w:val="24"/>
          <w:lang w:val="en-GB"/>
        </w:rPr>
        <w:t xml:space="preserve">  Notably</w:t>
      </w:r>
      <w:r w:rsidR="00C01054" w:rsidRPr="00C57CE1">
        <w:rPr>
          <w:rFonts w:ascii="Arial" w:hAnsi="Arial" w:cs="Arial"/>
          <w:szCs w:val="24"/>
          <w:lang w:val="en-GB"/>
        </w:rPr>
        <w:t>,</w:t>
      </w:r>
      <w:r w:rsidRPr="0028108F">
        <w:rPr>
          <w:rFonts w:ascii="Arial" w:hAnsi="Arial" w:cs="Arial"/>
          <w:szCs w:val="24"/>
          <w:lang w:val="en-GB"/>
        </w:rPr>
        <w:t xml:space="preserve"> Vietnam has</w:t>
      </w:r>
      <w:r w:rsidR="00C01054" w:rsidRPr="0028108F">
        <w:rPr>
          <w:rFonts w:ascii="Arial" w:hAnsi="Arial" w:cs="Arial"/>
          <w:szCs w:val="24"/>
          <w:lang w:val="en-GB"/>
        </w:rPr>
        <w:t>,</w:t>
      </w:r>
      <w:r w:rsidRPr="0028108F">
        <w:rPr>
          <w:rFonts w:ascii="Arial" w:hAnsi="Arial" w:cs="Arial"/>
          <w:szCs w:val="24"/>
          <w:lang w:val="en-GB"/>
        </w:rPr>
        <w:t xml:space="preserve"> </w:t>
      </w:r>
      <w:r w:rsidR="00881D5F" w:rsidRPr="0028108F">
        <w:rPr>
          <w:rFonts w:ascii="Arial" w:hAnsi="Arial" w:cs="Arial"/>
          <w:szCs w:val="24"/>
          <w:lang w:val="en-GB"/>
        </w:rPr>
        <w:t>in late 2015</w:t>
      </w:r>
      <w:r w:rsidR="00C01054" w:rsidRPr="0028108F">
        <w:rPr>
          <w:rFonts w:ascii="Arial" w:hAnsi="Arial" w:cs="Arial"/>
          <w:szCs w:val="24"/>
          <w:lang w:val="en-GB"/>
        </w:rPr>
        <w:t>,</w:t>
      </w:r>
      <w:r w:rsidR="00881D5F" w:rsidRPr="0028108F">
        <w:rPr>
          <w:rFonts w:ascii="Arial" w:hAnsi="Arial" w:cs="Arial"/>
          <w:szCs w:val="24"/>
          <w:lang w:val="en-GB"/>
        </w:rPr>
        <w:t xml:space="preserve"> </w:t>
      </w:r>
      <w:r w:rsidRPr="0028108F">
        <w:rPr>
          <w:rFonts w:ascii="Arial" w:hAnsi="Arial" w:cs="Arial"/>
          <w:szCs w:val="24"/>
          <w:lang w:val="en-GB"/>
        </w:rPr>
        <w:t xml:space="preserve">passed new legislation </w:t>
      </w:r>
      <w:r w:rsidR="00C01054" w:rsidRPr="0028108F">
        <w:rPr>
          <w:rFonts w:ascii="Arial" w:hAnsi="Arial" w:cs="Arial"/>
          <w:szCs w:val="24"/>
          <w:lang w:val="en-GB"/>
        </w:rPr>
        <w:t>to</w:t>
      </w:r>
      <w:r w:rsidRPr="0028108F">
        <w:rPr>
          <w:rFonts w:ascii="Arial" w:hAnsi="Arial" w:cs="Arial"/>
          <w:szCs w:val="24"/>
          <w:lang w:val="en-GB"/>
        </w:rPr>
        <w:t xml:space="preserve"> allow transgender persons who have undergone gender reassignment </w:t>
      </w:r>
      <w:r w:rsidR="00C01054" w:rsidRPr="0028108F">
        <w:rPr>
          <w:rFonts w:ascii="Arial" w:hAnsi="Arial" w:cs="Arial"/>
          <w:szCs w:val="24"/>
          <w:lang w:val="en-GB"/>
        </w:rPr>
        <w:t xml:space="preserve">surgery </w:t>
      </w:r>
      <w:r w:rsidRPr="0028108F">
        <w:rPr>
          <w:rFonts w:ascii="Arial" w:hAnsi="Arial" w:cs="Arial"/>
          <w:szCs w:val="24"/>
          <w:lang w:val="en-GB"/>
        </w:rPr>
        <w:t>to register their civil status under the</w:t>
      </w:r>
      <w:r w:rsidR="00C01054" w:rsidRPr="0028108F">
        <w:rPr>
          <w:rFonts w:ascii="Arial" w:hAnsi="Arial" w:cs="Arial"/>
          <w:szCs w:val="24"/>
          <w:lang w:val="en-GB"/>
        </w:rPr>
        <w:t>ir</w:t>
      </w:r>
      <w:r w:rsidRPr="0028108F">
        <w:rPr>
          <w:rFonts w:ascii="Arial" w:hAnsi="Arial" w:cs="Arial"/>
          <w:szCs w:val="24"/>
          <w:lang w:val="en-GB"/>
        </w:rPr>
        <w:t xml:space="preserve"> new </w:t>
      </w:r>
      <w:r w:rsidR="00C01054" w:rsidRPr="0028108F">
        <w:rPr>
          <w:rFonts w:ascii="Arial" w:hAnsi="Arial" w:cs="Arial"/>
          <w:szCs w:val="24"/>
          <w:lang w:val="en-GB"/>
        </w:rPr>
        <w:t>gender.</w:t>
      </w:r>
      <w:r w:rsidR="004F054C" w:rsidRPr="0028108F">
        <w:rPr>
          <w:rFonts w:ascii="Arial" w:hAnsi="Arial" w:cs="Arial"/>
          <w:szCs w:val="24"/>
          <w:lang w:val="en-GB"/>
        </w:rPr>
        <w:t xml:space="preserve">  </w:t>
      </w:r>
      <w:r w:rsidR="00C01054" w:rsidRPr="0028108F">
        <w:rPr>
          <w:rFonts w:ascii="Arial" w:hAnsi="Arial" w:cs="Arial"/>
          <w:szCs w:val="24"/>
          <w:lang w:val="en-GB"/>
        </w:rPr>
        <w:t>T</w:t>
      </w:r>
      <w:r w:rsidRPr="0028108F">
        <w:rPr>
          <w:rFonts w:ascii="Arial" w:hAnsi="Arial" w:cs="Arial"/>
          <w:szCs w:val="24"/>
          <w:lang w:val="en-GB"/>
        </w:rPr>
        <w:t>he Vietnamese parliament commented that the new law is an attempt to “</w:t>
      </w:r>
      <w:r w:rsidRPr="0028108F">
        <w:rPr>
          <w:rFonts w:ascii="Arial" w:hAnsi="Arial" w:cs="Arial"/>
          <w:i/>
          <w:szCs w:val="24"/>
          <w:lang w:val="en-GB"/>
        </w:rPr>
        <w:t>meet the demands of a part of society … in accordance with international practice, without countering the nation’s traditions.</w:t>
      </w:r>
      <w:r w:rsidRPr="0028108F">
        <w:rPr>
          <w:rFonts w:ascii="Arial" w:hAnsi="Arial" w:cs="Arial"/>
          <w:szCs w:val="24"/>
          <w:lang w:val="en-GB"/>
        </w:rPr>
        <w:t>”</w:t>
      </w:r>
      <w:r w:rsidRPr="00181CF2">
        <w:rPr>
          <w:rStyle w:val="FootnoteReference"/>
          <w:rFonts w:ascii="Arial" w:hAnsi="Arial" w:cs="Arial"/>
          <w:lang w:val="en-GB"/>
        </w:rPr>
        <w:footnoteReference w:id="559"/>
      </w:r>
      <w:r w:rsidRPr="00181CF2">
        <w:rPr>
          <w:rFonts w:ascii="Arial" w:hAnsi="Arial" w:cs="Arial"/>
          <w:szCs w:val="24"/>
          <w:lang w:val="en-GB"/>
        </w:rPr>
        <w:t xml:space="preserve">  </w:t>
      </w:r>
    </w:p>
    <w:p w:rsidR="00E773F6" w:rsidRPr="0028108F" w:rsidRDefault="00E773F6" w:rsidP="00E773F6">
      <w:pPr>
        <w:tabs>
          <w:tab w:val="left" w:pos="1418"/>
          <w:tab w:val="left" w:pos="2552"/>
        </w:tabs>
        <w:autoSpaceDE w:val="0"/>
        <w:autoSpaceDN w:val="0"/>
        <w:adjustRightInd w:val="0"/>
        <w:snapToGrid w:val="0"/>
        <w:jc w:val="both"/>
        <w:rPr>
          <w:rFonts w:ascii="Arial" w:hAnsi="Arial" w:cs="Arial"/>
          <w:szCs w:val="24"/>
          <w:lang w:val="en-GB"/>
        </w:rPr>
      </w:pPr>
    </w:p>
    <w:p w:rsidR="00E773F6" w:rsidRPr="0028108F" w:rsidRDefault="0006282B" w:rsidP="00E773F6">
      <w:pPr>
        <w:tabs>
          <w:tab w:val="left" w:pos="851"/>
        </w:tabs>
        <w:adjustRightInd w:val="0"/>
        <w:snapToGrid w:val="0"/>
        <w:jc w:val="both"/>
        <w:rPr>
          <w:rFonts w:ascii="Arial" w:hAnsi="Arial" w:cs="Arial"/>
          <w:b/>
          <w:i/>
          <w:color w:val="0000FF"/>
          <w:szCs w:val="24"/>
          <w:lang w:val="en-GB"/>
        </w:rPr>
      </w:pPr>
      <w:r w:rsidRPr="0028108F">
        <w:rPr>
          <w:rFonts w:ascii="Arial" w:hAnsi="Arial" w:cs="Arial"/>
          <w:b/>
          <w:i/>
          <w:color w:val="000000" w:themeColor="text1"/>
          <w:szCs w:val="24"/>
          <w:lang w:val="en-GB"/>
        </w:rPr>
        <w:t>Arguments against</w:t>
      </w:r>
      <w:r w:rsidR="00E773F6" w:rsidRPr="0028108F">
        <w:rPr>
          <w:rFonts w:ascii="Arial" w:hAnsi="Arial" w:cs="Arial"/>
          <w:b/>
          <w:i/>
          <w:color w:val="000000" w:themeColor="text1"/>
          <w:szCs w:val="24"/>
          <w:lang w:val="en-GB"/>
        </w:rPr>
        <w:t xml:space="preserve"> having a requirement for the applicant to have undergone SRS</w:t>
      </w:r>
    </w:p>
    <w:p w:rsidR="00E773F6" w:rsidRPr="0028108F" w:rsidRDefault="00E773F6" w:rsidP="00E773F6">
      <w:pPr>
        <w:pStyle w:val="ListParagraph"/>
        <w:tabs>
          <w:tab w:val="left" w:pos="851"/>
        </w:tabs>
        <w:adjustRightInd w:val="0"/>
        <w:snapToGrid w:val="0"/>
        <w:ind w:leftChars="0" w:left="0"/>
        <w:jc w:val="both"/>
        <w:rPr>
          <w:rFonts w:ascii="Arial" w:hAnsi="Arial" w:cs="Arial"/>
          <w:color w:val="000000" w:themeColor="text1"/>
          <w:szCs w:val="24"/>
          <w:u w:val="single"/>
          <w:lang w:val="en-GB"/>
        </w:rPr>
      </w:pP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Argument (1): The apparent international trend towards surgery-free gender recognition</w:t>
      </w:r>
    </w:p>
    <w:p w:rsidR="00E773F6" w:rsidRPr="0028108F" w:rsidRDefault="00E773F6" w:rsidP="00E773F6">
      <w:pPr>
        <w:snapToGrid w:val="0"/>
        <w:rPr>
          <w:rFonts w:ascii="Arial" w:hAnsi="Arial" w:cs="Arial"/>
          <w:color w:val="000000" w:themeColor="text1"/>
          <w:szCs w:val="24"/>
          <w:u w:val="single"/>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It is observed that in the past decade</w:t>
      </w:r>
      <w:r w:rsidR="00C01054"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there has been an emerging </w:t>
      </w:r>
      <w:r w:rsidR="0077151D" w:rsidRPr="0028108F">
        <w:rPr>
          <w:rFonts w:ascii="Arial" w:hAnsi="Arial" w:cs="Arial"/>
          <w:color w:val="000000" w:themeColor="text1"/>
          <w:szCs w:val="24"/>
          <w:lang w:val="en-GB"/>
        </w:rPr>
        <w:t xml:space="preserve">global </w:t>
      </w:r>
      <w:r w:rsidRPr="0028108F">
        <w:rPr>
          <w:rFonts w:ascii="Arial" w:hAnsi="Arial" w:cs="Arial"/>
          <w:color w:val="000000" w:themeColor="text1"/>
          <w:szCs w:val="24"/>
          <w:lang w:val="en-GB"/>
        </w:rPr>
        <w:t xml:space="preserve">trend towards </w:t>
      </w:r>
      <w:r w:rsidR="0077151D" w:rsidRPr="0028108F">
        <w:rPr>
          <w:rFonts w:ascii="Arial" w:hAnsi="Arial" w:cs="Arial"/>
          <w:color w:val="000000" w:themeColor="text1"/>
          <w:szCs w:val="24"/>
          <w:lang w:val="en-GB"/>
        </w:rPr>
        <w:t>not requiring SRS or similar medical treatments for legal recognition of a person’s acquired or preferred gender.</w:t>
      </w:r>
      <w:r w:rsidRPr="00181CF2">
        <w:rPr>
          <w:rStyle w:val="FootnoteReference"/>
          <w:rFonts w:ascii="Arial" w:hAnsi="Arial" w:cs="Arial"/>
          <w:iCs/>
          <w:kern w:val="0"/>
          <w:szCs w:val="24"/>
          <w:lang w:val="en-GB"/>
        </w:rPr>
        <w:footnoteReference w:id="560"/>
      </w:r>
      <w:r w:rsidRPr="00181CF2">
        <w:rPr>
          <w:rFonts w:ascii="Arial" w:hAnsi="Arial" w:cs="Arial"/>
          <w:color w:val="000000" w:themeColor="text1"/>
          <w:szCs w:val="24"/>
          <w:lang w:val="en-GB"/>
        </w:rPr>
        <w:t xml:space="preserve">  According to our study on gender recognition schemes in ot</w:t>
      </w:r>
      <w:r w:rsidRPr="00C57CE1">
        <w:rPr>
          <w:rFonts w:ascii="Arial" w:hAnsi="Arial" w:cs="Arial"/>
          <w:color w:val="000000" w:themeColor="text1"/>
          <w:szCs w:val="24"/>
          <w:lang w:val="en-GB"/>
        </w:rPr>
        <w:t xml:space="preserve">her jurisdictions (see </w:t>
      </w:r>
      <w:r w:rsidRPr="008813DE">
        <w:rPr>
          <w:rFonts w:ascii="Arial" w:hAnsi="Arial" w:cs="Arial"/>
          <w:color w:val="000000" w:themeColor="text1"/>
          <w:szCs w:val="24"/>
          <w:lang w:val="en-GB"/>
        </w:rPr>
        <w:t>Annex A and Annex B</w:t>
      </w:r>
      <w:r w:rsidRPr="0028108F">
        <w:rPr>
          <w:rFonts w:ascii="Arial" w:hAnsi="Arial" w:cs="Arial"/>
          <w:color w:val="000000" w:themeColor="text1"/>
          <w:szCs w:val="24"/>
          <w:lang w:val="en-GB"/>
        </w:rPr>
        <w:t xml:space="preserve"> of this Consultation Paper), since 2004 </w:t>
      </w:r>
      <w:r w:rsidR="004F054C" w:rsidRPr="0028108F">
        <w:rPr>
          <w:rFonts w:ascii="Arial" w:hAnsi="Arial" w:cs="Arial"/>
          <w:color w:val="000000" w:themeColor="text1"/>
          <w:szCs w:val="24"/>
          <w:lang w:val="en-GB"/>
        </w:rPr>
        <w:t xml:space="preserve">when </w:t>
      </w:r>
      <w:r w:rsidRPr="0028108F">
        <w:rPr>
          <w:rFonts w:ascii="Arial" w:hAnsi="Arial" w:cs="Arial"/>
          <w:color w:val="000000" w:themeColor="text1"/>
          <w:szCs w:val="24"/>
          <w:lang w:val="en-GB"/>
        </w:rPr>
        <w:t xml:space="preserve">the UK </w:t>
      </w:r>
      <w:r w:rsidR="00585F17" w:rsidRPr="0028108F">
        <w:rPr>
          <w:rFonts w:ascii="Arial" w:hAnsi="Arial" w:cs="Arial"/>
          <w:color w:val="000000" w:themeColor="text1"/>
          <w:szCs w:val="24"/>
          <w:lang w:val="en-GB"/>
        </w:rPr>
        <w:t>GRA</w:t>
      </w:r>
      <w:r w:rsidRPr="0028108F">
        <w:rPr>
          <w:rFonts w:ascii="Arial" w:hAnsi="Arial" w:cs="Arial"/>
          <w:color w:val="000000" w:themeColor="text1"/>
          <w:szCs w:val="24"/>
          <w:lang w:val="en-GB"/>
        </w:rPr>
        <w:t xml:space="preserve"> was </w:t>
      </w:r>
      <w:r w:rsidR="003D3A75" w:rsidRPr="0028108F">
        <w:rPr>
          <w:rFonts w:ascii="Arial" w:hAnsi="Arial" w:cs="Arial"/>
          <w:color w:val="000000" w:themeColor="text1"/>
          <w:szCs w:val="24"/>
          <w:lang w:val="en-GB"/>
        </w:rPr>
        <w:t>exacted</w:t>
      </w:r>
      <w:r w:rsidR="004F054C" w:rsidRPr="0028108F">
        <w:rPr>
          <w:rFonts w:ascii="Arial" w:hAnsi="Arial" w:cs="Arial"/>
          <w:color w:val="000000" w:themeColor="text1"/>
          <w:szCs w:val="24"/>
          <w:lang w:val="en-GB"/>
        </w:rPr>
        <w:t>,</w:t>
      </w:r>
      <w:r w:rsidRPr="00181CF2">
        <w:rPr>
          <w:rStyle w:val="FootnoteReference"/>
          <w:rFonts w:ascii="Arial" w:hAnsi="Arial" w:cs="Arial"/>
          <w:color w:val="000000" w:themeColor="text1"/>
          <w:szCs w:val="24"/>
          <w:lang w:val="en-GB"/>
        </w:rPr>
        <w:footnoteReference w:id="561"/>
      </w:r>
      <w:r w:rsidRPr="00C57CE1">
        <w:rPr>
          <w:rFonts w:ascii="Arial" w:hAnsi="Arial" w:cs="Arial"/>
          <w:color w:val="000000" w:themeColor="text1"/>
          <w:szCs w:val="24"/>
          <w:lang w:val="en-GB"/>
        </w:rPr>
        <w:t xml:space="preserve"> there has been legislative reform</w:t>
      </w:r>
      <w:r w:rsidR="00586A4B" w:rsidRPr="0028108F">
        <w:rPr>
          <w:rFonts w:ascii="Arial" w:hAnsi="Arial" w:cs="Arial"/>
          <w:color w:val="000000" w:themeColor="text1"/>
          <w:szCs w:val="24"/>
          <w:lang w:val="en-GB"/>
        </w:rPr>
        <w:t xml:space="preserve"> or change</w:t>
      </w:r>
      <w:r w:rsidR="00225EC1" w:rsidRPr="0028108F">
        <w:rPr>
          <w:rFonts w:ascii="Arial" w:hAnsi="Arial" w:cs="Arial"/>
          <w:color w:val="000000" w:themeColor="text1"/>
          <w:szCs w:val="24"/>
          <w:lang w:val="en-GB"/>
        </w:rPr>
        <w:t>s</w:t>
      </w:r>
      <w:r w:rsidR="00586A4B" w:rsidRPr="0028108F">
        <w:rPr>
          <w:rFonts w:ascii="Arial" w:hAnsi="Arial" w:cs="Arial"/>
          <w:color w:val="000000" w:themeColor="text1"/>
          <w:szCs w:val="24"/>
          <w:lang w:val="en-GB"/>
        </w:rPr>
        <w:t xml:space="preserve"> in </w:t>
      </w:r>
      <w:r w:rsidR="003D3A75" w:rsidRPr="0028108F">
        <w:rPr>
          <w:rFonts w:ascii="Arial" w:hAnsi="Arial" w:cs="Arial"/>
          <w:color w:val="000000" w:themeColor="text1"/>
          <w:szCs w:val="24"/>
          <w:lang w:val="en-GB"/>
        </w:rPr>
        <w:t xml:space="preserve">administrative </w:t>
      </w:r>
      <w:r w:rsidR="00586A4B" w:rsidRPr="0028108F">
        <w:rPr>
          <w:rFonts w:ascii="Arial" w:hAnsi="Arial" w:cs="Arial"/>
          <w:color w:val="000000" w:themeColor="text1"/>
          <w:szCs w:val="24"/>
          <w:lang w:val="en-GB"/>
        </w:rPr>
        <w:t>policies</w:t>
      </w:r>
      <w:r w:rsidRPr="0028108F">
        <w:rPr>
          <w:rFonts w:ascii="Arial" w:hAnsi="Arial" w:cs="Arial"/>
          <w:color w:val="000000" w:themeColor="text1"/>
          <w:szCs w:val="24"/>
          <w:lang w:val="en-GB"/>
        </w:rPr>
        <w:t xml:space="preserve"> in a number of jurisdictions to, </w:t>
      </w:r>
      <w:r w:rsidRPr="0028108F">
        <w:rPr>
          <w:rFonts w:ascii="Arial" w:hAnsi="Arial" w:cs="Arial"/>
          <w:i/>
          <w:color w:val="000000" w:themeColor="text1"/>
          <w:szCs w:val="24"/>
          <w:lang w:val="en-GB"/>
        </w:rPr>
        <w:t>inter alia</w:t>
      </w:r>
      <w:r w:rsidRPr="0028108F">
        <w:rPr>
          <w:rFonts w:ascii="Arial" w:hAnsi="Arial" w:cs="Arial"/>
          <w:color w:val="000000" w:themeColor="text1"/>
          <w:szCs w:val="24"/>
          <w:lang w:val="en-GB"/>
        </w:rPr>
        <w:t>, eliminate the SRS requirement for gender recognition, including</w:t>
      </w:r>
      <w:r w:rsidR="003D3A75" w:rsidRPr="0028108F">
        <w:rPr>
          <w:rFonts w:ascii="Arial" w:hAnsi="Arial" w:cs="Arial"/>
          <w:color w:val="000000" w:themeColor="text1"/>
          <w:szCs w:val="24"/>
          <w:lang w:val="en-GB"/>
        </w:rPr>
        <w:t xml:space="preserve"> </w:t>
      </w:r>
      <w:r w:rsidR="003D3A75" w:rsidRPr="000B4F6C">
        <w:rPr>
          <w:rFonts w:ascii="Arial" w:hAnsi="Arial" w:cs="Arial"/>
          <w:color w:val="000000" w:themeColor="text1"/>
          <w:szCs w:val="24"/>
          <w:lang w:val="en-GB"/>
        </w:rPr>
        <w:t>in</w:t>
      </w:r>
      <w:r w:rsidRPr="000B4F6C">
        <w:rPr>
          <w:rFonts w:ascii="Arial" w:hAnsi="Arial" w:cs="Arial"/>
          <w:color w:val="000000" w:themeColor="text1"/>
          <w:szCs w:val="24"/>
          <w:lang w:val="en-GB"/>
        </w:rPr>
        <w:t xml:space="preserve">: </w:t>
      </w:r>
      <w:r w:rsidRPr="008813DE">
        <w:rPr>
          <w:rFonts w:ascii="Arial" w:hAnsi="Arial" w:cs="Arial"/>
          <w:color w:val="000000" w:themeColor="text1"/>
          <w:szCs w:val="24"/>
          <w:lang w:val="en-GB"/>
        </w:rPr>
        <w:t xml:space="preserve">the Australian Capital Territory (2014), </w:t>
      </w:r>
      <w:r w:rsidR="009230A9" w:rsidRPr="008813DE">
        <w:rPr>
          <w:rFonts w:ascii="Arial" w:hAnsi="Arial" w:cs="Arial"/>
          <w:color w:val="000000" w:themeColor="text1"/>
          <w:szCs w:val="24"/>
          <w:lang w:val="en-GB"/>
        </w:rPr>
        <w:t>South Australia (2016)</w:t>
      </w:r>
      <w:r w:rsidR="001D1FAF">
        <w:rPr>
          <w:rFonts w:ascii="Arial" w:hAnsi="Arial" w:cs="Arial" w:hint="eastAsia"/>
          <w:color w:val="000000" w:themeColor="text1"/>
          <w:szCs w:val="24"/>
          <w:lang w:val="en-GB"/>
        </w:rPr>
        <w:t>,</w:t>
      </w:r>
      <w:r w:rsidR="009230A9" w:rsidRPr="008813DE">
        <w:rPr>
          <w:rFonts w:ascii="Arial" w:hAnsi="Arial" w:cs="Arial"/>
          <w:color w:val="000000" w:themeColor="text1"/>
          <w:szCs w:val="24"/>
          <w:lang w:val="en-GB"/>
        </w:rPr>
        <w:t xml:space="preserve"> </w:t>
      </w:r>
      <w:r w:rsidR="001D1FAF">
        <w:rPr>
          <w:rFonts w:ascii="Arial" w:hAnsi="Arial" w:cs="Arial" w:hint="eastAsia"/>
          <w:color w:val="000000" w:themeColor="text1"/>
          <w:szCs w:val="24"/>
          <w:lang w:val="en-GB"/>
        </w:rPr>
        <w:t xml:space="preserve">Belgium (2017), </w:t>
      </w:r>
      <w:r w:rsidRPr="008813DE">
        <w:rPr>
          <w:rFonts w:ascii="Arial" w:hAnsi="Arial" w:cs="Arial"/>
          <w:color w:val="000000" w:themeColor="text1"/>
          <w:szCs w:val="24"/>
          <w:lang w:val="en-GB"/>
        </w:rPr>
        <w:t xml:space="preserve">Denmark (2014), </w:t>
      </w:r>
      <w:r w:rsidR="007337C3" w:rsidRPr="008813DE">
        <w:rPr>
          <w:rFonts w:ascii="Arial" w:hAnsi="Arial" w:cs="Arial"/>
          <w:color w:val="000000" w:themeColor="text1"/>
          <w:szCs w:val="24"/>
          <w:lang w:val="en-GB"/>
        </w:rPr>
        <w:t xml:space="preserve">France (2017), </w:t>
      </w:r>
      <w:r w:rsidRPr="008813DE">
        <w:rPr>
          <w:rFonts w:ascii="Arial" w:hAnsi="Arial" w:cs="Arial"/>
          <w:color w:val="000000" w:themeColor="text1"/>
          <w:szCs w:val="24"/>
          <w:lang w:val="en-GB"/>
        </w:rPr>
        <w:t xml:space="preserve">Hungary (2009), Iceland (2012), Ireland (2015), </w:t>
      </w:r>
      <w:r w:rsidR="007337C3" w:rsidRPr="008813DE">
        <w:rPr>
          <w:rFonts w:ascii="Arial" w:hAnsi="Arial" w:cs="Arial"/>
          <w:color w:val="000000" w:themeColor="text1"/>
          <w:szCs w:val="24"/>
          <w:lang w:val="en-GB"/>
        </w:rPr>
        <w:t xml:space="preserve">Malta (2015), </w:t>
      </w:r>
      <w:r w:rsidR="00DF28D9">
        <w:rPr>
          <w:rFonts w:ascii="Arial" w:hAnsi="Arial" w:cs="Arial"/>
          <w:color w:val="000000" w:themeColor="text1"/>
          <w:szCs w:val="24"/>
          <w:lang w:val="en-GB"/>
        </w:rPr>
        <w:t>t</w:t>
      </w:r>
      <w:r w:rsidRPr="008813DE">
        <w:rPr>
          <w:rFonts w:ascii="Arial" w:hAnsi="Arial" w:cs="Arial"/>
          <w:color w:val="000000" w:themeColor="text1"/>
          <w:szCs w:val="24"/>
          <w:lang w:val="en-GB"/>
        </w:rPr>
        <w:t xml:space="preserve">he Netherlands (2014), </w:t>
      </w:r>
      <w:r w:rsidR="00F7510D" w:rsidRPr="008813DE">
        <w:rPr>
          <w:rFonts w:ascii="Arial" w:hAnsi="Arial" w:cs="Arial"/>
          <w:color w:val="000000" w:themeColor="text1"/>
          <w:szCs w:val="24"/>
          <w:lang w:val="en-GB"/>
        </w:rPr>
        <w:t xml:space="preserve">Norway (2016), </w:t>
      </w:r>
      <w:r w:rsidRPr="008813DE">
        <w:rPr>
          <w:rFonts w:ascii="Arial" w:hAnsi="Arial" w:cs="Arial"/>
          <w:color w:val="000000" w:themeColor="text1"/>
          <w:szCs w:val="24"/>
          <w:lang w:val="en-GB"/>
        </w:rPr>
        <w:t xml:space="preserve">Spain (2007), Sweden (2013), British Columbia (Canada) (2014), Manitoba (Canada) (2014), </w:t>
      </w:r>
      <w:r w:rsidR="00C63B2F" w:rsidRPr="008813DE">
        <w:rPr>
          <w:rFonts w:ascii="Arial" w:hAnsi="Arial" w:cs="Arial"/>
          <w:color w:val="000000" w:themeColor="text1"/>
          <w:szCs w:val="24"/>
          <w:lang w:val="en-GB"/>
        </w:rPr>
        <w:t xml:space="preserve">Newfoundland and Labrador (Canada) (2016), Nova Scotia (Canada) (2015), </w:t>
      </w:r>
      <w:r w:rsidR="00FE33E8" w:rsidRPr="008813DE">
        <w:rPr>
          <w:rFonts w:ascii="Arial" w:hAnsi="Arial" w:cs="Arial"/>
          <w:color w:val="000000" w:themeColor="text1"/>
          <w:szCs w:val="24"/>
          <w:lang w:val="en-GB"/>
        </w:rPr>
        <w:t xml:space="preserve">Prince Edward Island (Canada) (2016), Quebec (Canada) (2016), </w:t>
      </w:r>
      <w:r w:rsidR="0062209F" w:rsidRPr="008813DE">
        <w:rPr>
          <w:rFonts w:ascii="Arial" w:hAnsi="Arial" w:cs="Arial"/>
          <w:color w:val="000000" w:themeColor="text1"/>
          <w:szCs w:val="24"/>
          <w:lang w:val="en-GB"/>
        </w:rPr>
        <w:t xml:space="preserve">Saskatchewan (Canada) (2016), </w:t>
      </w:r>
      <w:r w:rsidRPr="008813DE">
        <w:rPr>
          <w:rFonts w:ascii="Arial" w:hAnsi="Arial" w:cs="Arial"/>
          <w:color w:val="000000" w:themeColor="text1"/>
          <w:szCs w:val="24"/>
          <w:lang w:val="en-GB"/>
        </w:rPr>
        <w:t xml:space="preserve">California (US) (2013), </w:t>
      </w:r>
      <w:r w:rsidR="0049585F" w:rsidRPr="008813DE">
        <w:rPr>
          <w:rFonts w:ascii="Arial" w:hAnsi="Arial" w:cs="Arial"/>
          <w:color w:val="000000" w:themeColor="text1"/>
          <w:szCs w:val="24"/>
          <w:lang w:val="en-GB"/>
        </w:rPr>
        <w:t xml:space="preserve">Connecticut (US) (2015), </w:t>
      </w:r>
      <w:r w:rsidR="003475B0" w:rsidRPr="008813DE">
        <w:rPr>
          <w:rFonts w:ascii="Arial" w:hAnsi="Arial" w:cs="Arial"/>
          <w:color w:val="000000" w:themeColor="text1"/>
          <w:szCs w:val="24"/>
          <w:lang w:val="en-GB"/>
        </w:rPr>
        <w:t xml:space="preserve">Hawaii (US) (2015), </w:t>
      </w:r>
      <w:r w:rsidR="00F3347B" w:rsidRPr="008813DE">
        <w:rPr>
          <w:rFonts w:ascii="Arial" w:hAnsi="Arial" w:cs="Arial"/>
          <w:color w:val="000000" w:themeColor="text1"/>
          <w:szCs w:val="24"/>
          <w:lang w:val="en-GB"/>
        </w:rPr>
        <w:t xml:space="preserve">Maryland (US) (2015), </w:t>
      </w:r>
      <w:r w:rsidRPr="008813DE">
        <w:rPr>
          <w:rFonts w:ascii="Arial" w:hAnsi="Arial" w:cs="Arial"/>
          <w:color w:val="000000" w:themeColor="text1"/>
          <w:szCs w:val="24"/>
          <w:lang w:val="en-GB"/>
        </w:rPr>
        <w:t xml:space="preserve">Oregon (US) (2013), New York State (US) (2014), </w:t>
      </w:r>
      <w:r w:rsidR="00E76C3B" w:rsidRPr="008813DE">
        <w:rPr>
          <w:rFonts w:ascii="Arial" w:hAnsi="Arial" w:cs="Arial"/>
          <w:color w:val="000000" w:themeColor="text1"/>
          <w:szCs w:val="24"/>
          <w:lang w:val="en-GB"/>
        </w:rPr>
        <w:t>Pennsylv</w:t>
      </w:r>
      <w:r w:rsidR="00AA6C53" w:rsidRPr="008813DE">
        <w:rPr>
          <w:rFonts w:ascii="Arial" w:hAnsi="Arial" w:cs="Arial"/>
          <w:color w:val="000000" w:themeColor="text1"/>
          <w:szCs w:val="24"/>
          <w:lang w:val="en-GB"/>
        </w:rPr>
        <w:t>ania (US) (2016</w:t>
      </w:r>
      <w:r w:rsidR="00E76C3B" w:rsidRPr="008813DE">
        <w:rPr>
          <w:rFonts w:ascii="Arial" w:hAnsi="Arial" w:cs="Arial"/>
          <w:color w:val="000000" w:themeColor="text1"/>
          <w:szCs w:val="24"/>
          <w:lang w:val="en-GB"/>
        </w:rPr>
        <w:t xml:space="preserve">), </w:t>
      </w:r>
      <w:r w:rsidRPr="008813DE">
        <w:rPr>
          <w:rFonts w:ascii="Arial" w:hAnsi="Arial" w:cs="Arial"/>
          <w:color w:val="000000" w:themeColor="text1"/>
          <w:szCs w:val="24"/>
          <w:lang w:val="en-GB"/>
        </w:rPr>
        <w:t xml:space="preserve">District of Columbia (US) (2013), Vermont (US) (2011), Washington (US) (2008), Argentina (2012), </w:t>
      </w:r>
      <w:r w:rsidR="006A5D38" w:rsidRPr="008813DE">
        <w:rPr>
          <w:rFonts w:ascii="Arial" w:hAnsi="Arial" w:cs="Arial"/>
          <w:color w:val="000000" w:themeColor="text1"/>
          <w:szCs w:val="24"/>
          <w:lang w:val="en-GB"/>
        </w:rPr>
        <w:t xml:space="preserve">Bolivia (2016), </w:t>
      </w:r>
      <w:r w:rsidRPr="008813DE">
        <w:rPr>
          <w:rFonts w:ascii="Arial" w:hAnsi="Arial" w:cs="Arial"/>
          <w:color w:val="000000" w:themeColor="text1"/>
          <w:szCs w:val="24"/>
          <w:lang w:val="en-GB"/>
        </w:rPr>
        <w:t>Col</w:t>
      </w:r>
      <w:r w:rsidR="005D68CD" w:rsidRPr="008813DE">
        <w:rPr>
          <w:rFonts w:ascii="Arial" w:hAnsi="Arial" w:cs="Arial"/>
          <w:color w:val="000000" w:themeColor="text1"/>
          <w:szCs w:val="24"/>
          <w:lang w:val="en-GB"/>
        </w:rPr>
        <w:t>o</w:t>
      </w:r>
      <w:r w:rsidRPr="008813DE">
        <w:rPr>
          <w:rFonts w:ascii="Arial" w:hAnsi="Arial" w:cs="Arial"/>
          <w:color w:val="000000" w:themeColor="text1"/>
          <w:szCs w:val="24"/>
          <w:lang w:val="en-GB"/>
        </w:rPr>
        <w:t xml:space="preserve">mbia (2015), </w:t>
      </w:r>
      <w:r w:rsidR="006A5D38" w:rsidRPr="008813DE">
        <w:rPr>
          <w:rFonts w:ascii="Arial" w:hAnsi="Arial" w:cs="Arial"/>
          <w:color w:val="000000" w:themeColor="text1"/>
          <w:szCs w:val="24"/>
          <w:lang w:val="en-GB"/>
        </w:rPr>
        <w:t xml:space="preserve">Ecuador (2016), </w:t>
      </w:r>
      <w:r w:rsidRPr="008813DE">
        <w:rPr>
          <w:rFonts w:ascii="Arial" w:hAnsi="Arial" w:cs="Arial"/>
          <w:color w:val="000000" w:themeColor="text1"/>
          <w:szCs w:val="24"/>
          <w:lang w:val="en-GB"/>
        </w:rPr>
        <w:t>Uruguay (2009), Mexico Federal District (2014).</w:t>
      </w:r>
      <w:r w:rsidRPr="00181CF2">
        <w:rPr>
          <w:rFonts w:ascii="Arial" w:hAnsi="Arial" w:cs="Arial"/>
          <w:color w:val="000000" w:themeColor="text1"/>
          <w:szCs w:val="24"/>
          <w:lang w:val="en-GB"/>
        </w:rPr>
        <w:t xml:space="preserve">  </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225EC1"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In a number of</w:t>
      </w:r>
      <w:r w:rsidR="00E773F6" w:rsidRPr="0028108F">
        <w:rPr>
          <w:rFonts w:ascii="Arial" w:hAnsi="Arial" w:cs="Arial"/>
          <w:color w:val="000000" w:themeColor="text1"/>
          <w:szCs w:val="24"/>
          <w:lang w:val="en-GB"/>
        </w:rPr>
        <w:t xml:space="preserve"> jurisdictions </w:t>
      </w:r>
      <w:r w:rsidR="005D68CD" w:rsidRPr="0028108F">
        <w:rPr>
          <w:rFonts w:ascii="Arial" w:hAnsi="Arial" w:cs="Arial"/>
          <w:color w:val="000000" w:themeColor="text1"/>
          <w:szCs w:val="24"/>
          <w:lang w:val="en-GB"/>
        </w:rPr>
        <w:t xml:space="preserve">having </w:t>
      </w:r>
      <w:r w:rsidR="00E773F6" w:rsidRPr="0028108F">
        <w:rPr>
          <w:rFonts w:ascii="Arial" w:hAnsi="Arial" w:cs="Arial"/>
          <w:color w:val="000000" w:themeColor="text1"/>
          <w:szCs w:val="24"/>
          <w:lang w:val="en-GB"/>
        </w:rPr>
        <w:t xml:space="preserve">surgical and sterilisation requirements </w:t>
      </w:r>
      <w:r w:rsidR="005D68CD" w:rsidRPr="0028108F">
        <w:rPr>
          <w:rFonts w:ascii="Arial" w:hAnsi="Arial" w:cs="Arial"/>
          <w:color w:val="000000" w:themeColor="text1"/>
          <w:szCs w:val="24"/>
          <w:lang w:val="en-GB"/>
        </w:rPr>
        <w:t>for gender recognition</w:t>
      </w:r>
      <w:r w:rsidR="00E773F6" w:rsidRPr="0028108F">
        <w:rPr>
          <w:rFonts w:ascii="Arial" w:hAnsi="Arial" w:cs="Arial"/>
          <w:color w:val="000000" w:themeColor="text1"/>
          <w:szCs w:val="24"/>
          <w:lang w:val="en-GB"/>
        </w:rPr>
        <w:t xml:space="preserve">, </w:t>
      </w:r>
      <w:r w:rsidR="005D68CD" w:rsidRPr="0028108F">
        <w:rPr>
          <w:rFonts w:ascii="Arial" w:hAnsi="Arial" w:cs="Arial"/>
          <w:color w:val="000000" w:themeColor="text1"/>
          <w:szCs w:val="24"/>
          <w:lang w:val="en-GB"/>
        </w:rPr>
        <w:t xml:space="preserve">it seems that </w:t>
      </w:r>
      <w:r w:rsidR="00E773F6" w:rsidRPr="0028108F">
        <w:rPr>
          <w:rFonts w:ascii="Arial" w:hAnsi="Arial" w:cs="Arial"/>
          <w:color w:val="000000" w:themeColor="text1"/>
          <w:szCs w:val="24"/>
          <w:lang w:val="en-GB"/>
        </w:rPr>
        <w:t>the courts have</w:t>
      </w:r>
      <w:r w:rsidRPr="0028108F">
        <w:rPr>
          <w:rFonts w:ascii="Arial" w:hAnsi="Arial" w:cs="Arial"/>
          <w:color w:val="000000" w:themeColor="text1"/>
          <w:szCs w:val="24"/>
          <w:lang w:val="en-GB"/>
        </w:rPr>
        <w:t xml:space="preserve"> </w:t>
      </w:r>
      <w:r w:rsidR="00E773F6" w:rsidRPr="0028108F">
        <w:rPr>
          <w:rFonts w:ascii="Arial" w:hAnsi="Arial" w:cs="Arial"/>
          <w:color w:val="000000" w:themeColor="text1"/>
          <w:szCs w:val="24"/>
          <w:lang w:val="en-GB"/>
        </w:rPr>
        <w:t>increasingly subjected medical intervention conditions to strict scrutiny</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and there</w:t>
      </w:r>
      <w:r w:rsidR="00797125">
        <w:rPr>
          <w:rFonts w:ascii="Arial" w:hAnsi="Arial" w:cs="Arial" w:hint="eastAsia"/>
          <w:color w:val="000000" w:themeColor="text1"/>
          <w:szCs w:val="24"/>
          <w:lang w:val="en-GB"/>
        </w:rPr>
        <w:t xml:space="preserve"> are</w:t>
      </w:r>
      <w:r w:rsidR="00E773F6" w:rsidRPr="0028108F">
        <w:rPr>
          <w:rFonts w:ascii="Arial" w:hAnsi="Arial" w:cs="Arial"/>
          <w:color w:val="000000" w:themeColor="text1"/>
          <w:szCs w:val="24"/>
          <w:lang w:val="en-GB"/>
        </w:rPr>
        <w:t xml:space="preserve"> overseas cases in which the courts </w:t>
      </w:r>
      <w:r w:rsidR="003D3A75" w:rsidRPr="0028108F">
        <w:rPr>
          <w:rFonts w:ascii="Arial" w:hAnsi="Arial" w:cs="Arial"/>
          <w:color w:val="000000" w:themeColor="text1"/>
          <w:szCs w:val="24"/>
          <w:lang w:val="en-GB"/>
        </w:rPr>
        <w:t xml:space="preserve">have overturned </w:t>
      </w:r>
      <w:r w:rsidR="00E773F6" w:rsidRPr="0028108F">
        <w:rPr>
          <w:rFonts w:ascii="Arial" w:hAnsi="Arial" w:cs="Arial"/>
          <w:color w:val="000000" w:themeColor="text1"/>
          <w:szCs w:val="24"/>
          <w:lang w:val="en-GB"/>
        </w:rPr>
        <w:t xml:space="preserve">the mandatory SRS requirements for legal gender recognition.  </w:t>
      </w:r>
      <w:r w:rsidRPr="0028108F">
        <w:rPr>
          <w:rFonts w:ascii="Arial" w:hAnsi="Arial" w:cs="Arial"/>
          <w:color w:val="000000" w:themeColor="text1"/>
          <w:szCs w:val="24"/>
          <w:lang w:val="en-GB"/>
        </w:rPr>
        <w:t>R</w:t>
      </w:r>
      <w:r w:rsidR="00E773F6" w:rsidRPr="0028108F">
        <w:rPr>
          <w:rFonts w:ascii="Arial" w:hAnsi="Arial" w:cs="Arial"/>
          <w:color w:val="000000" w:themeColor="text1"/>
          <w:szCs w:val="24"/>
          <w:lang w:val="en-GB"/>
        </w:rPr>
        <w:t xml:space="preserve">ecent judgments having this effect were handed down in </w:t>
      </w:r>
      <w:r w:rsidR="00E773F6" w:rsidRPr="000B4F6C">
        <w:rPr>
          <w:rFonts w:ascii="Arial" w:hAnsi="Arial" w:cs="Arial"/>
          <w:color w:val="000000" w:themeColor="text1"/>
          <w:szCs w:val="24"/>
          <w:lang w:val="en-GB"/>
        </w:rPr>
        <w:t xml:space="preserve">the courts in </w:t>
      </w:r>
      <w:r w:rsidR="00E773F6" w:rsidRPr="008813DE">
        <w:rPr>
          <w:rFonts w:ascii="Arial" w:hAnsi="Arial" w:cs="Arial"/>
          <w:color w:val="000000" w:themeColor="text1"/>
          <w:szCs w:val="24"/>
          <w:lang w:val="en-GB"/>
        </w:rPr>
        <w:t>India (April 2014), South Korea (March 2013), Italy (July 2015), Ontario (Canada) (April 2012), Turkey (March 2015) and Germany (</w:t>
      </w:r>
      <w:r w:rsidR="00975BE5" w:rsidRPr="008813DE">
        <w:rPr>
          <w:rFonts w:ascii="Arial" w:hAnsi="Arial" w:cs="Arial"/>
          <w:color w:val="000000" w:themeColor="text1"/>
          <w:szCs w:val="24"/>
          <w:lang w:val="en-GB"/>
        </w:rPr>
        <w:t xml:space="preserve">Jan </w:t>
      </w:r>
      <w:r w:rsidR="00E773F6" w:rsidRPr="008813DE">
        <w:rPr>
          <w:rFonts w:ascii="Arial" w:hAnsi="Arial" w:cs="Arial"/>
          <w:color w:val="000000" w:themeColor="text1"/>
          <w:szCs w:val="24"/>
          <w:lang w:val="en-GB"/>
        </w:rPr>
        <w:t>2011)</w:t>
      </w:r>
      <w:r w:rsidR="00E773F6" w:rsidRPr="000B4F6C">
        <w:rPr>
          <w:rFonts w:ascii="Arial" w:hAnsi="Arial" w:cs="Arial"/>
          <w:color w:val="000000" w:themeColor="text1"/>
          <w:szCs w:val="24"/>
          <w:lang w:val="en-GB"/>
        </w:rPr>
        <w:t>.</w:t>
      </w:r>
      <w:r w:rsidR="00E773F6" w:rsidRPr="00C57CE1">
        <w:rPr>
          <w:rFonts w:ascii="Arial" w:hAnsi="Arial" w:cs="Arial"/>
          <w:color w:val="000000" w:themeColor="text1"/>
          <w:szCs w:val="24"/>
          <w:lang w:val="en-GB"/>
        </w:rPr>
        <w:t xml:space="preserve">  Most of these decisions were reached on the grounds that SRS and s</w:t>
      </w:r>
      <w:r w:rsidR="00E773F6" w:rsidRPr="0028108F">
        <w:rPr>
          <w:rFonts w:ascii="Arial" w:hAnsi="Arial" w:cs="Arial"/>
          <w:color w:val="000000" w:themeColor="text1"/>
          <w:szCs w:val="24"/>
          <w:lang w:val="en-GB"/>
        </w:rPr>
        <w:t xml:space="preserve">terilisation are incompatible with the concept of physical integrity enshrined in the </w:t>
      </w:r>
      <w:r w:rsidRPr="0028108F">
        <w:rPr>
          <w:rFonts w:ascii="Arial" w:hAnsi="Arial" w:cs="Arial"/>
          <w:color w:val="000000" w:themeColor="text1"/>
          <w:szCs w:val="24"/>
          <w:lang w:val="en-GB"/>
        </w:rPr>
        <w:t xml:space="preserve">relevant </w:t>
      </w:r>
      <w:r w:rsidR="00E773F6" w:rsidRPr="0028108F">
        <w:rPr>
          <w:rFonts w:ascii="Arial" w:hAnsi="Arial" w:cs="Arial"/>
          <w:color w:val="000000" w:themeColor="text1"/>
          <w:szCs w:val="24"/>
          <w:lang w:val="en-GB"/>
        </w:rPr>
        <w:t xml:space="preserve">national constitution or international human rights standards.  The related court rulings will be examined in Argument (2) below (concerning the arguments </w:t>
      </w:r>
      <w:r w:rsidRPr="0028108F">
        <w:rPr>
          <w:rFonts w:ascii="Arial" w:hAnsi="Arial" w:cs="Arial"/>
          <w:color w:val="000000" w:themeColor="text1"/>
          <w:szCs w:val="24"/>
          <w:lang w:val="en-GB"/>
        </w:rPr>
        <w:t>from the human rights pe</w:t>
      </w:r>
      <w:r w:rsidR="002D06E1" w:rsidRPr="0028108F">
        <w:rPr>
          <w:rFonts w:ascii="Arial" w:hAnsi="Arial" w:cs="Arial"/>
          <w:color w:val="000000" w:themeColor="text1"/>
          <w:szCs w:val="24"/>
          <w:lang w:val="en-GB"/>
        </w:rPr>
        <w:t xml:space="preserve">rspective </w:t>
      </w:r>
      <w:r w:rsidR="00E773F6" w:rsidRPr="0028108F">
        <w:rPr>
          <w:rFonts w:ascii="Arial" w:hAnsi="Arial" w:cs="Arial"/>
          <w:color w:val="000000" w:themeColor="text1"/>
          <w:szCs w:val="24"/>
          <w:lang w:val="en-GB"/>
        </w:rPr>
        <w:t>for removing SRS requirement</w:t>
      </w:r>
      <w:r w:rsidR="002D06E1" w:rsidRPr="0028108F">
        <w:rPr>
          <w:rFonts w:ascii="Arial" w:hAnsi="Arial" w:cs="Arial"/>
          <w:color w:val="000000" w:themeColor="text1"/>
          <w:szCs w:val="24"/>
          <w:lang w:val="en-GB"/>
        </w:rPr>
        <w:t>s</w:t>
      </w:r>
      <w:r w:rsidR="003D3A75"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w:t>
      </w:r>
      <w:r w:rsidR="008763AD" w:rsidRPr="0028108F">
        <w:rPr>
          <w:rFonts w:ascii="Arial" w:hAnsi="Arial" w:cs="Arial"/>
          <w:color w:val="000000" w:themeColor="text1"/>
          <w:szCs w:val="24"/>
          <w:lang w:val="en-GB"/>
        </w:rPr>
        <w:t xml:space="preserve">and </w:t>
      </w:r>
      <w:r w:rsidR="003D3A75" w:rsidRPr="00181CF2">
        <w:rPr>
          <w:rFonts w:ascii="Arial" w:hAnsi="Arial" w:cs="Arial"/>
          <w:color w:val="000000" w:themeColor="text1"/>
          <w:szCs w:val="24"/>
          <w:lang w:val="en-GB"/>
        </w:rPr>
        <w:t xml:space="preserve">are </w:t>
      </w:r>
      <w:r w:rsidR="00E773F6" w:rsidRPr="00C57CE1">
        <w:rPr>
          <w:rFonts w:ascii="Arial" w:hAnsi="Arial" w:cs="Arial"/>
          <w:color w:val="000000" w:themeColor="text1"/>
          <w:szCs w:val="24"/>
          <w:lang w:val="en-GB"/>
        </w:rPr>
        <w:t xml:space="preserve">illustrated in </w:t>
      </w:r>
      <w:r w:rsidR="00E773F6" w:rsidRPr="008813DE">
        <w:rPr>
          <w:rFonts w:ascii="Arial" w:hAnsi="Arial" w:cs="Arial"/>
          <w:color w:val="000000" w:themeColor="text1"/>
          <w:szCs w:val="24"/>
          <w:lang w:val="en-GB"/>
        </w:rPr>
        <w:t>Annex C</w:t>
      </w:r>
      <w:r w:rsidR="00E773F6" w:rsidRPr="0028108F">
        <w:rPr>
          <w:rFonts w:ascii="Arial" w:hAnsi="Arial" w:cs="Arial"/>
          <w:color w:val="000000" w:themeColor="text1"/>
          <w:szCs w:val="24"/>
          <w:lang w:val="en-GB"/>
        </w:rPr>
        <w:t xml:space="preserve"> of this Consultation Paper.</w:t>
      </w:r>
    </w:p>
    <w:p w:rsidR="00E773F6" w:rsidRPr="0028108F" w:rsidRDefault="00E773F6" w:rsidP="008813DE">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181CF2" w:rsidRDefault="003D3A75"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The r</w:t>
      </w:r>
      <w:r w:rsidR="00E773F6" w:rsidRPr="0028108F">
        <w:rPr>
          <w:rFonts w:ascii="Arial" w:hAnsi="Arial" w:cs="Arial"/>
          <w:color w:val="000000" w:themeColor="text1"/>
          <w:szCs w:val="24"/>
          <w:lang w:val="en-GB"/>
        </w:rPr>
        <w:t xml:space="preserve">emoval of SRS and sterilisation requirements has been supported by transgender advocacy groups and international human rights bodies </w:t>
      </w:r>
      <w:r w:rsidRPr="0028108F">
        <w:rPr>
          <w:rFonts w:ascii="Arial" w:hAnsi="Arial" w:cs="Arial"/>
          <w:color w:val="000000" w:themeColor="text1"/>
          <w:szCs w:val="24"/>
          <w:lang w:val="en-GB"/>
        </w:rPr>
        <w:t xml:space="preserve">on the grounds of </w:t>
      </w:r>
      <w:r w:rsidR="00E773F6" w:rsidRPr="0028108F">
        <w:rPr>
          <w:rFonts w:ascii="Arial" w:hAnsi="Arial" w:cs="Arial"/>
          <w:color w:val="000000" w:themeColor="text1"/>
          <w:szCs w:val="24"/>
          <w:lang w:val="en-GB"/>
        </w:rPr>
        <w:t>reflecting the realities of the gender transition process and conforming to medical best practices.  The Danish government</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upon passing the self-determination gender recognition law in 2014</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commented that the move was part of an international trend towards “</w:t>
      </w:r>
      <w:r w:rsidR="00E773F6" w:rsidRPr="0028108F">
        <w:rPr>
          <w:rFonts w:ascii="Arial" w:hAnsi="Arial" w:cs="Arial"/>
          <w:i/>
          <w:color w:val="000000" w:themeColor="text1"/>
          <w:szCs w:val="24"/>
          <w:lang w:val="en-GB"/>
        </w:rPr>
        <w:t>easing the conditions for legal sex change(s)</w:t>
      </w:r>
      <w:r w:rsidR="00E773F6" w:rsidRPr="0028108F">
        <w:rPr>
          <w:rFonts w:ascii="Arial" w:hAnsi="Arial" w:cs="Arial"/>
          <w:color w:val="000000" w:themeColor="text1"/>
          <w:szCs w:val="24"/>
          <w:lang w:val="en-GB"/>
        </w:rPr>
        <w:t>.”</w:t>
      </w:r>
      <w:r w:rsidR="00E773F6" w:rsidRPr="00181CF2">
        <w:rPr>
          <w:rStyle w:val="FootnoteReference"/>
          <w:rFonts w:ascii="Arial" w:hAnsi="Arial" w:cs="Arial"/>
          <w:color w:val="000000" w:themeColor="text1"/>
          <w:szCs w:val="24"/>
          <w:lang w:val="en-GB"/>
        </w:rPr>
        <w:footnoteReference w:id="562"/>
      </w:r>
      <w:r w:rsidR="00E773F6" w:rsidRPr="00181CF2">
        <w:rPr>
          <w:rFonts w:ascii="Arial" w:hAnsi="Arial" w:cs="Arial"/>
          <w:color w:val="000000" w:themeColor="text1"/>
          <w:szCs w:val="24"/>
          <w:lang w:val="en-GB"/>
        </w:rPr>
        <w:t xml:space="preserve">  Arja Voipio</w:t>
      </w:r>
      <w:r w:rsidRPr="00C57CE1">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Transgender Europe Co-Chair</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remarked, at the time of the passage of the Maltese Act on gender recognition in April 2015</w:t>
      </w:r>
      <w:r w:rsidR="002D06E1" w:rsidRPr="0028108F">
        <w:rPr>
          <w:rFonts w:ascii="Arial" w:hAnsi="Arial" w:cs="Arial"/>
          <w:color w:val="000000" w:themeColor="text1"/>
          <w:szCs w:val="24"/>
          <w:lang w:val="en-GB"/>
        </w:rPr>
        <w:t>,</w:t>
      </w:r>
      <w:r w:rsidR="00E773F6" w:rsidRPr="00181CF2">
        <w:rPr>
          <w:rStyle w:val="FootnoteReference"/>
          <w:rFonts w:ascii="Arial" w:hAnsi="Arial" w:cs="Arial"/>
          <w:color w:val="000000" w:themeColor="text1"/>
          <w:szCs w:val="24"/>
          <w:lang w:val="en-GB"/>
        </w:rPr>
        <w:footnoteReference w:id="563"/>
      </w:r>
      <w:r w:rsidR="00E773F6" w:rsidRPr="00C57CE1">
        <w:rPr>
          <w:rFonts w:ascii="Arial" w:hAnsi="Arial" w:cs="Arial"/>
          <w:color w:val="000000" w:themeColor="text1"/>
          <w:szCs w:val="24"/>
          <w:lang w:val="en-GB"/>
        </w:rPr>
        <w:t xml:space="preserve"> that “</w:t>
      </w:r>
      <w:r w:rsidR="002D06E1" w:rsidRPr="00EF4C0C">
        <w:rPr>
          <w:rFonts w:ascii="Arial" w:hAnsi="Arial" w:cs="Arial"/>
          <w:i/>
          <w:color w:val="000000" w:themeColor="text1"/>
          <w:szCs w:val="24"/>
          <w:lang w:val="en-GB"/>
        </w:rPr>
        <w:t>[</w:t>
      </w:r>
      <w:r w:rsidR="002D06E1" w:rsidRPr="0028108F">
        <w:rPr>
          <w:rFonts w:ascii="Arial" w:hAnsi="Arial" w:cs="Arial"/>
          <w:i/>
          <w:color w:val="000000" w:themeColor="text1"/>
          <w:szCs w:val="24"/>
          <w:lang w:val="en-GB"/>
        </w:rPr>
        <w:t>d]</w:t>
      </w:r>
      <w:r w:rsidR="00E773F6" w:rsidRPr="0028108F">
        <w:rPr>
          <w:rFonts w:ascii="Arial" w:hAnsi="Arial" w:cs="Arial"/>
          <w:i/>
          <w:color w:val="000000" w:themeColor="text1"/>
          <w:szCs w:val="24"/>
          <w:lang w:val="en-GB"/>
        </w:rPr>
        <w:t xml:space="preserve">emanding sterility, divorce, a mental health diagnosis in legal gender recognition or completely lacking procedures are more and more an inacceptable thing of the past. </w:t>
      </w:r>
      <w:r w:rsidR="00AE1521" w:rsidRPr="0028108F">
        <w:rPr>
          <w:rFonts w:ascii="Arial" w:hAnsi="Arial" w:cs="Arial"/>
          <w:i/>
          <w:color w:val="000000" w:themeColor="text1"/>
          <w:szCs w:val="24"/>
          <w:lang w:val="en-GB"/>
        </w:rPr>
        <w:t xml:space="preserve"> </w:t>
      </w:r>
      <w:r w:rsidR="00E773F6" w:rsidRPr="0028108F">
        <w:rPr>
          <w:rFonts w:ascii="Arial" w:hAnsi="Arial" w:cs="Arial"/>
          <w:i/>
          <w:color w:val="000000" w:themeColor="text1"/>
          <w:szCs w:val="24"/>
          <w:lang w:val="en-GB"/>
        </w:rPr>
        <w:t>Lawmakers in the rest of Europe should take inspiration from this trail-blazer for swift action.</w:t>
      </w:r>
      <w:r w:rsidR="00E773F6" w:rsidRPr="0028108F">
        <w:rPr>
          <w:rFonts w:ascii="Arial" w:hAnsi="Arial" w:cs="Arial"/>
          <w:color w:val="000000" w:themeColor="text1"/>
          <w:szCs w:val="24"/>
          <w:lang w:val="en-GB"/>
        </w:rPr>
        <w:t>”</w:t>
      </w:r>
      <w:r w:rsidR="00E773F6" w:rsidRPr="00181CF2">
        <w:rPr>
          <w:rStyle w:val="FootnoteReference"/>
          <w:rFonts w:ascii="Arial" w:hAnsi="Arial" w:cs="Arial"/>
          <w:color w:val="000000" w:themeColor="text1"/>
          <w:szCs w:val="24"/>
          <w:lang w:val="en-GB"/>
        </w:rPr>
        <w:footnoteReference w:id="564"/>
      </w:r>
    </w:p>
    <w:p w:rsidR="00E773F6" w:rsidRPr="00C57CE1" w:rsidRDefault="00E773F6" w:rsidP="00E773F6">
      <w:pPr>
        <w:snapToGrid w:val="0"/>
        <w:rPr>
          <w:rFonts w:ascii="Arial" w:hAnsi="Arial" w:cs="Arial"/>
          <w:color w:val="000000" w:themeColor="text1"/>
          <w:szCs w:val="24"/>
          <w:lang w:val="en-GB"/>
        </w:rPr>
      </w:pPr>
    </w:p>
    <w:p w:rsidR="00E773F6" w:rsidRPr="0028108F" w:rsidRDefault="00E773F6" w:rsidP="00E773F6">
      <w:pPr>
        <w:pStyle w:val="ListParagraph"/>
        <w:tabs>
          <w:tab w:val="left" w:pos="851"/>
          <w:tab w:val="left" w:pos="1418"/>
          <w:tab w:val="left" w:pos="2552"/>
        </w:tabs>
        <w:autoSpaceDE w:val="0"/>
        <w:autoSpaceDN w:val="0"/>
        <w:adjustRightInd w:val="0"/>
        <w:snapToGrid w:val="0"/>
        <w:ind w:leftChars="0" w:left="0"/>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Argument (2): Human rights implications of </w:t>
      </w:r>
      <w:r w:rsidR="003D3A75" w:rsidRPr="0028108F">
        <w:rPr>
          <w:rFonts w:ascii="Arial" w:hAnsi="Arial" w:cs="Arial"/>
          <w:i/>
          <w:color w:val="000000" w:themeColor="text1"/>
          <w:szCs w:val="24"/>
          <w:lang w:val="en-GB"/>
        </w:rPr>
        <w:t xml:space="preserve">an </w:t>
      </w:r>
      <w:r w:rsidRPr="0028108F">
        <w:rPr>
          <w:rFonts w:ascii="Arial" w:hAnsi="Arial" w:cs="Arial"/>
          <w:i/>
          <w:color w:val="000000" w:themeColor="text1"/>
          <w:szCs w:val="24"/>
          <w:lang w:val="en-GB"/>
        </w:rPr>
        <w:t>SRS requirement</w:t>
      </w:r>
    </w:p>
    <w:p w:rsidR="00E773F6" w:rsidRPr="0028108F" w:rsidRDefault="00E773F6" w:rsidP="008813DE">
      <w:pPr>
        <w:snapToGrid w:val="0"/>
        <w:rPr>
          <w:rFonts w:ascii="Arial" w:hAnsi="Arial" w:cs="Arial"/>
          <w:color w:val="000000" w:themeColor="text1"/>
          <w:szCs w:val="24"/>
          <w:lang w:val="en-GB"/>
        </w:rPr>
      </w:pPr>
    </w:p>
    <w:p w:rsidR="00E773F6" w:rsidRPr="0028108F" w:rsidRDefault="00797125"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Pr>
          <w:rFonts w:ascii="Arial" w:hAnsi="Arial" w:cs="Arial" w:hint="eastAsia"/>
          <w:szCs w:val="24"/>
          <w:lang w:val="en-GB"/>
        </w:rPr>
        <w:t>Some have</w:t>
      </w:r>
      <w:r w:rsidR="00E773F6" w:rsidRPr="00181CF2">
        <w:rPr>
          <w:rFonts w:ascii="Arial" w:hAnsi="Arial" w:cs="Arial"/>
          <w:szCs w:val="24"/>
          <w:lang w:val="en-GB"/>
        </w:rPr>
        <w:t xml:space="preserve"> argued that the requirement of SRS as a precondition for legal gender recognition co</w:t>
      </w:r>
      <w:r w:rsidR="00E773F6" w:rsidRPr="00C57CE1">
        <w:rPr>
          <w:rFonts w:ascii="Arial" w:hAnsi="Arial" w:cs="Arial"/>
          <w:szCs w:val="24"/>
          <w:lang w:val="en-GB"/>
        </w:rPr>
        <w:t xml:space="preserve">nstitutes torture or cruel, inhuman or degrading treatment.  The right to be free from </w:t>
      </w:r>
      <w:r w:rsidR="00163EE1" w:rsidRPr="0028108F">
        <w:rPr>
          <w:rFonts w:ascii="Arial" w:hAnsi="Arial" w:cs="Arial"/>
          <w:szCs w:val="24"/>
          <w:lang w:val="en-GB"/>
        </w:rPr>
        <w:t>torture or cruel, inhuman or degrading</w:t>
      </w:r>
      <w:r w:rsidR="00E773F6" w:rsidRPr="0028108F">
        <w:rPr>
          <w:rFonts w:ascii="Arial" w:hAnsi="Arial" w:cs="Arial"/>
          <w:szCs w:val="24"/>
          <w:lang w:val="en-GB"/>
        </w:rPr>
        <w:t xml:space="preserve"> treatment is protected by Article 3 of the HKBOR which is identical to Article 7 of the ICCPR.  Also relevant are Articles 2(1) and 16 of the Convention against Torture and Other Cruel, Inhuman or Degrading Treatment or Punishment (CAT).  Arti</w:t>
      </w:r>
      <w:r w:rsidR="00265FB5">
        <w:rPr>
          <w:rFonts w:ascii="Arial" w:hAnsi="Arial" w:cs="Arial"/>
          <w:szCs w:val="24"/>
          <w:lang w:val="en-GB"/>
        </w:rPr>
        <w:t>cle 1(1) of th</w:t>
      </w:r>
      <w:r w:rsidR="00265FB5">
        <w:rPr>
          <w:rFonts w:ascii="Arial" w:hAnsi="Arial" w:cs="Arial" w:hint="eastAsia"/>
          <w:szCs w:val="24"/>
          <w:lang w:val="en-GB"/>
        </w:rPr>
        <w:t>at Convention</w:t>
      </w:r>
      <w:r w:rsidR="00E773F6" w:rsidRPr="0028108F">
        <w:rPr>
          <w:rFonts w:ascii="Arial" w:hAnsi="Arial" w:cs="Arial"/>
          <w:szCs w:val="24"/>
          <w:lang w:val="en-GB"/>
        </w:rPr>
        <w:t xml:space="preserve"> provides for a definition of </w:t>
      </w:r>
      <w:r w:rsidR="00E773F6" w:rsidRPr="0028108F">
        <w:rPr>
          <w:rFonts w:ascii="Arial" w:hAnsi="Arial" w:cs="Arial"/>
          <w:i/>
          <w:szCs w:val="24"/>
          <w:lang w:val="en-GB"/>
        </w:rPr>
        <w:t>“torture”</w:t>
      </w:r>
      <w:r w:rsidR="00E773F6" w:rsidRPr="0028108F">
        <w:rPr>
          <w:rFonts w:ascii="Arial" w:hAnsi="Arial" w:cs="Arial"/>
          <w:szCs w:val="24"/>
          <w:lang w:val="en-GB"/>
        </w:rPr>
        <w:t xml:space="preserve">.  Other forms of ill-treatment which fall short of torture must attain </w:t>
      </w:r>
      <w:r w:rsidR="00E773F6" w:rsidRPr="0028108F">
        <w:rPr>
          <w:rFonts w:ascii="Arial" w:hAnsi="Arial" w:cs="Arial"/>
          <w:i/>
          <w:szCs w:val="24"/>
          <w:lang w:val="en-GB"/>
        </w:rPr>
        <w:t>“a minimum level of severity”</w:t>
      </w:r>
      <w:r w:rsidR="00E773F6" w:rsidRPr="0028108F">
        <w:rPr>
          <w:rFonts w:ascii="Arial" w:hAnsi="Arial" w:cs="Arial"/>
          <w:szCs w:val="24"/>
          <w:lang w:val="en-GB"/>
        </w:rPr>
        <w:t xml:space="preserve"> which usually involves actual bodily injury or intense physical or mental suffering if they are to fall within the scope of </w:t>
      </w:r>
      <w:r w:rsidR="00E773F6" w:rsidRPr="0028108F">
        <w:rPr>
          <w:rFonts w:ascii="Arial" w:hAnsi="Arial" w:cs="Arial"/>
          <w:i/>
          <w:szCs w:val="24"/>
          <w:lang w:val="en-GB"/>
        </w:rPr>
        <w:t>“cruel, inhuman or degrading treatment</w:t>
      </w:r>
      <w:r w:rsidR="009754CA" w:rsidRPr="0028108F">
        <w:rPr>
          <w:rFonts w:ascii="Arial" w:hAnsi="Arial" w:cs="Arial"/>
          <w:i/>
          <w:szCs w:val="24"/>
          <w:lang w:val="en-GB"/>
        </w:rPr>
        <w:t>.</w:t>
      </w:r>
      <w:r w:rsidR="00BF0226" w:rsidRPr="0028108F">
        <w:rPr>
          <w:rFonts w:ascii="Arial" w:hAnsi="Arial" w:cs="Arial"/>
          <w:szCs w:val="24"/>
          <w:lang w:val="en-GB"/>
        </w:rPr>
        <w:t>”</w:t>
      </w:r>
      <w:r w:rsidR="00E773F6" w:rsidRPr="0028108F">
        <w:rPr>
          <w:rStyle w:val="FootnoteReference"/>
          <w:rFonts w:ascii="Arial" w:hAnsi="Arial" w:cs="Arial"/>
          <w:szCs w:val="24"/>
          <w:lang w:val="en-GB"/>
        </w:rPr>
        <w:footnoteReference w:id="565"/>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The freedom from torture and cruel, inhuman or degrading treatment includes freedom from any forced or coerced medical or psychological treatments or procedures.  After noting that transgender persons in many countries were required to undergo </w:t>
      </w:r>
      <w:r w:rsidR="00EE1653" w:rsidRPr="0028108F">
        <w:rPr>
          <w:rFonts w:ascii="Arial" w:hAnsi="Arial" w:cs="Arial"/>
          <w:szCs w:val="24"/>
          <w:lang w:val="en-GB"/>
        </w:rPr>
        <w:t xml:space="preserve">sterilisation </w:t>
      </w:r>
      <w:r w:rsidRPr="0028108F">
        <w:rPr>
          <w:rFonts w:ascii="Arial" w:hAnsi="Arial" w:cs="Arial"/>
          <w:szCs w:val="24"/>
          <w:lang w:val="en-GB"/>
        </w:rPr>
        <w:t>surgeries, such as gender-confirming surgery or gender reassignment surgery, as a prerequisite to enjoy legal recognition of their preferred gender, the U</w:t>
      </w:r>
      <w:r w:rsidR="00046A5D" w:rsidRPr="0028108F">
        <w:rPr>
          <w:rFonts w:ascii="Arial" w:hAnsi="Arial" w:cs="Arial"/>
          <w:szCs w:val="24"/>
          <w:lang w:val="en-GB"/>
        </w:rPr>
        <w:t xml:space="preserve">nited </w:t>
      </w:r>
      <w:r w:rsidRPr="0028108F">
        <w:rPr>
          <w:rFonts w:ascii="Arial" w:hAnsi="Arial" w:cs="Arial"/>
          <w:szCs w:val="24"/>
          <w:lang w:val="en-GB"/>
        </w:rPr>
        <w:t>N</w:t>
      </w:r>
      <w:r w:rsidR="00046A5D" w:rsidRPr="0028108F">
        <w:rPr>
          <w:rFonts w:ascii="Arial" w:hAnsi="Arial" w:cs="Arial"/>
          <w:szCs w:val="24"/>
          <w:lang w:val="en-GB"/>
        </w:rPr>
        <w:t>ations</w:t>
      </w:r>
      <w:r w:rsidRPr="0028108F">
        <w:rPr>
          <w:rFonts w:ascii="Arial" w:hAnsi="Arial" w:cs="Arial"/>
          <w:szCs w:val="24"/>
          <w:lang w:val="en-GB"/>
        </w:rPr>
        <w:t xml:space="preserve"> Special Rapporteur on torture and other cruel, inhuman or degrading treatment or punishment recommended in 2013, in relation to </w:t>
      </w:r>
      <w:r w:rsidR="009C72E7" w:rsidRPr="0028108F">
        <w:rPr>
          <w:rFonts w:ascii="Arial" w:hAnsi="Arial" w:cs="Arial"/>
          <w:szCs w:val="24"/>
          <w:lang w:val="en-GB"/>
        </w:rPr>
        <w:t>LGBTI</w:t>
      </w:r>
      <w:r w:rsidR="00D3262B">
        <w:rPr>
          <w:rFonts w:ascii="Arial" w:hAnsi="Arial" w:cs="Arial" w:hint="eastAsia"/>
          <w:szCs w:val="24"/>
          <w:lang w:val="en-GB"/>
        </w:rPr>
        <w:t xml:space="preserve"> persons</w:t>
      </w:r>
      <w:r w:rsidRPr="0028108F">
        <w:rPr>
          <w:rFonts w:ascii="Arial" w:hAnsi="Arial" w:cs="Arial"/>
          <w:szCs w:val="24"/>
          <w:lang w:val="en-GB"/>
        </w:rPr>
        <w:t>, that all States “</w:t>
      </w:r>
      <w:r w:rsidRPr="0028108F">
        <w:rPr>
          <w:rFonts w:ascii="Arial" w:hAnsi="Arial" w:cs="Arial"/>
          <w:i/>
          <w:szCs w:val="24"/>
          <w:lang w:val="en-GB"/>
        </w:rPr>
        <w:t>repeal any law allowing intrusive and irreversible treatments, including forced genital-normalizing surgery, involuntary sterilization, unethical experimentation, medical display, ‘reparative therapies’ or ‘conversion therapies’, when enforced or administered without the free and informed consent of the person concerned.</w:t>
      </w:r>
      <w:r w:rsidRPr="0028108F">
        <w:rPr>
          <w:rFonts w:ascii="Arial" w:hAnsi="Arial" w:cs="Arial"/>
          <w:szCs w:val="24"/>
          <w:lang w:val="en-GB"/>
        </w:rPr>
        <w:t>”</w:t>
      </w:r>
      <w:r w:rsidRPr="0028108F">
        <w:rPr>
          <w:rStyle w:val="FootnoteReference"/>
          <w:rFonts w:ascii="Arial" w:hAnsi="Arial" w:cs="Arial"/>
          <w:szCs w:val="24"/>
          <w:lang w:val="en-GB"/>
        </w:rPr>
        <w:footnoteReference w:id="566"/>
      </w:r>
      <w:r w:rsidRPr="0028108F">
        <w:rPr>
          <w:rFonts w:ascii="Arial" w:hAnsi="Arial" w:cs="Arial"/>
          <w:szCs w:val="24"/>
          <w:lang w:val="en-GB"/>
        </w:rPr>
        <w:t xml:space="preserve">  It has been suggested that the recommendation is significant because no court or human rights body has argued before that the practice against transgender people amounts to torture or cruel, inhuman or degrading treatment.</w:t>
      </w:r>
      <w:r w:rsidRPr="0028108F">
        <w:rPr>
          <w:rStyle w:val="FootnoteReference"/>
          <w:rFonts w:ascii="Arial" w:hAnsi="Arial" w:cs="Arial"/>
          <w:szCs w:val="24"/>
          <w:lang w:val="en-GB"/>
        </w:rPr>
        <w:footnoteReference w:id="567"/>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In 2014, an interagency statement on elimination of forced, coercive and otherwise involuntary </w:t>
      </w:r>
      <w:r w:rsidR="00EE1653" w:rsidRPr="0028108F">
        <w:rPr>
          <w:rFonts w:ascii="Arial" w:hAnsi="Arial" w:cs="Arial"/>
          <w:szCs w:val="24"/>
          <w:lang w:val="en-GB"/>
        </w:rPr>
        <w:t xml:space="preserve">sterilisation </w:t>
      </w:r>
      <w:r w:rsidRPr="0028108F">
        <w:rPr>
          <w:rFonts w:ascii="Arial" w:hAnsi="Arial" w:cs="Arial"/>
          <w:szCs w:val="24"/>
          <w:lang w:val="en-GB"/>
        </w:rPr>
        <w:t>was issued by seven international bodies.</w:t>
      </w:r>
      <w:r w:rsidRPr="0028108F">
        <w:rPr>
          <w:rStyle w:val="FootnoteReference"/>
          <w:rFonts w:ascii="Arial" w:hAnsi="Arial" w:cs="Arial"/>
          <w:szCs w:val="24"/>
          <w:lang w:val="en-GB"/>
        </w:rPr>
        <w:footnoteReference w:id="568"/>
      </w:r>
      <w:r w:rsidRPr="0028108F">
        <w:rPr>
          <w:rFonts w:ascii="Arial" w:hAnsi="Arial" w:cs="Arial"/>
          <w:szCs w:val="24"/>
          <w:lang w:val="en-GB"/>
        </w:rPr>
        <w:t xml:space="preserve">  The interagency statement includes a list of specific suggestions after reviewing the available information on involuntary, coerced and forced </w:t>
      </w:r>
      <w:r w:rsidR="00EE1653" w:rsidRPr="0028108F">
        <w:rPr>
          <w:rFonts w:ascii="Arial" w:hAnsi="Arial" w:cs="Arial"/>
          <w:szCs w:val="24"/>
          <w:lang w:val="en-GB"/>
        </w:rPr>
        <w:t xml:space="preserve">sterilisation </w:t>
      </w:r>
      <w:r w:rsidRPr="0028108F">
        <w:rPr>
          <w:rFonts w:ascii="Arial" w:hAnsi="Arial" w:cs="Arial"/>
          <w:szCs w:val="24"/>
          <w:lang w:val="en-GB"/>
        </w:rPr>
        <w:t>and the human rights implications.  One of the suggestions is to “</w:t>
      </w:r>
      <w:r w:rsidRPr="0028108F">
        <w:rPr>
          <w:rFonts w:ascii="Arial" w:hAnsi="Arial" w:cs="Arial"/>
          <w:i/>
          <w:szCs w:val="24"/>
          <w:lang w:val="en-GB"/>
        </w:rPr>
        <w:t>[e]nsure that sterilization, or procedures resulting in infertility, is not a prerequisite for legal recognition of preferred sex/gender.</w:t>
      </w:r>
      <w:r w:rsidRPr="0028108F">
        <w:rPr>
          <w:rFonts w:ascii="Arial" w:hAnsi="Arial" w:cs="Arial"/>
          <w:szCs w:val="24"/>
          <w:lang w:val="en-GB"/>
        </w:rPr>
        <w:t>”</w:t>
      </w:r>
      <w:r w:rsidRPr="00181CF2">
        <w:rPr>
          <w:rStyle w:val="FootnoteReference"/>
          <w:rFonts w:ascii="Arial" w:hAnsi="Arial" w:cs="Arial"/>
          <w:szCs w:val="24"/>
          <w:lang w:val="en-GB"/>
        </w:rPr>
        <w:footnoteReference w:id="569"/>
      </w:r>
      <w:r w:rsidRPr="00181CF2">
        <w:rPr>
          <w:rFonts w:ascii="Arial" w:hAnsi="Arial" w:cs="Arial"/>
          <w:szCs w:val="24"/>
          <w:lang w:val="en-GB"/>
        </w:rPr>
        <w:t xml:space="preserve">  As regards health services, it was suggested that: </w:t>
      </w:r>
    </w:p>
    <w:p w:rsidR="00E773F6" w:rsidRPr="0028108F" w:rsidRDefault="00E773F6" w:rsidP="00E773F6">
      <w:pPr>
        <w:adjustRightInd w:val="0"/>
        <w:snapToGrid w:val="0"/>
        <w:jc w:val="both"/>
        <w:rPr>
          <w:rFonts w:ascii="Arial" w:hAnsi="Arial" w:cs="Arial"/>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szCs w:val="24"/>
          <w:lang w:val="en-GB"/>
        </w:rPr>
        <w:t>“</w:t>
      </w:r>
      <w:r w:rsidRPr="0028108F">
        <w:rPr>
          <w:rFonts w:ascii="Arial" w:hAnsi="Arial" w:cs="Arial"/>
          <w:i/>
          <w:szCs w:val="24"/>
          <w:lang w:val="en-GB"/>
        </w:rPr>
        <w:t>In obtaining informed consent, take measures to ensure that an individual’s decision to undergo sterilization is not subject to inappropriate incentives, misinformation, threats or pressure.  Ensure that consent to sterilization is not made a condition for access to medical care (such as HIV or AIDS treatment, vaginal or caesarean delivery, abortion or gender-affirming treatment) or for any other benefit (such as recognition of identity, medical insurance, social assistance, employment or release from an institution).</w:t>
      </w:r>
      <w:r w:rsidRPr="0028108F">
        <w:rPr>
          <w:rFonts w:ascii="Arial" w:hAnsi="Arial" w:cs="Arial"/>
          <w:szCs w:val="24"/>
          <w:lang w:val="en-GB"/>
        </w:rPr>
        <w:t>”</w:t>
      </w:r>
      <w:r w:rsidRPr="00181CF2">
        <w:rPr>
          <w:rStyle w:val="FootnoteReference"/>
          <w:rFonts w:ascii="Arial" w:hAnsi="Arial" w:cs="Arial"/>
          <w:szCs w:val="24"/>
          <w:lang w:val="en-GB"/>
        </w:rPr>
        <w:footnoteReference w:id="570"/>
      </w:r>
    </w:p>
    <w:p w:rsidR="00E773F6" w:rsidRPr="00C57CE1" w:rsidRDefault="00E773F6" w:rsidP="008813DE">
      <w:pPr>
        <w:adjustRightInd w:val="0"/>
        <w:snapToGrid w:val="0"/>
        <w:jc w:val="both"/>
        <w:rPr>
          <w:rFonts w:ascii="Arial" w:hAnsi="Arial" w:cs="Arial"/>
          <w:color w:val="000000" w:themeColor="text1"/>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In a report published in May 2015, the U</w:t>
      </w:r>
      <w:r w:rsidR="00046A5D" w:rsidRPr="0028108F">
        <w:rPr>
          <w:rFonts w:ascii="Arial" w:hAnsi="Arial" w:cs="Arial"/>
          <w:szCs w:val="24"/>
          <w:lang w:val="en-GB"/>
        </w:rPr>
        <w:t xml:space="preserve">nited </w:t>
      </w:r>
      <w:r w:rsidRPr="0028108F">
        <w:rPr>
          <w:rFonts w:ascii="Arial" w:hAnsi="Arial" w:cs="Arial"/>
          <w:szCs w:val="24"/>
          <w:lang w:val="en-GB"/>
        </w:rPr>
        <w:t>N</w:t>
      </w:r>
      <w:r w:rsidR="00046A5D" w:rsidRPr="0028108F">
        <w:rPr>
          <w:rFonts w:ascii="Arial" w:hAnsi="Arial" w:cs="Arial"/>
          <w:szCs w:val="24"/>
          <w:lang w:val="en-GB"/>
        </w:rPr>
        <w:t>ations</w:t>
      </w:r>
      <w:r w:rsidRPr="0028108F">
        <w:rPr>
          <w:rFonts w:ascii="Arial" w:hAnsi="Arial" w:cs="Arial"/>
          <w:szCs w:val="24"/>
          <w:lang w:val="en-GB"/>
        </w:rPr>
        <w:t xml:space="preserve"> High Commissioner for Human Rights stated that Member States have an obligation to protect LGBT</w:t>
      </w:r>
      <w:r w:rsidR="009C72E7" w:rsidRPr="0028108F">
        <w:rPr>
          <w:rFonts w:ascii="Arial" w:hAnsi="Arial" w:cs="Arial"/>
          <w:szCs w:val="24"/>
          <w:lang w:val="en-GB"/>
        </w:rPr>
        <w:t>I</w:t>
      </w:r>
      <w:r w:rsidR="00163EE1" w:rsidRPr="0028108F">
        <w:rPr>
          <w:rFonts w:ascii="Arial" w:hAnsi="Arial" w:cs="Arial"/>
          <w:szCs w:val="24"/>
          <w:lang w:val="en-GB"/>
        </w:rPr>
        <w:t xml:space="preserve"> persons</w:t>
      </w:r>
      <w:r w:rsidRPr="0028108F">
        <w:rPr>
          <w:rFonts w:ascii="Arial" w:hAnsi="Arial" w:cs="Arial"/>
          <w:szCs w:val="24"/>
          <w:lang w:val="en-GB"/>
        </w:rPr>
        <w:t xml:space="preserve"> from torture and other ill-treatment in all settings,</w:t>
      </w:r>
      <w:r w:rsidRPr="00181CF2">
        <w:rPr>
          <w:rStyle w:val="FootnoteReference"/>
          <w:rFonts w:ascii="Arial" w:hAnsi="Arial" w:cs="Arial"/>
          <w:szCs w:val="24"/>
          <w:lang w:val="en-GB"/>
        </w:rPr>
        <w:footnoteReference w:id="571"/>
      </w:r>
      <w:r w:rsidRPr="00181CF2">
        <w:rPr>
          <w:rFonts w:ascii="Arial" w:hAnsi="Arial" w:cs="Arial"/>
          <w:szCs w:val="24"/>
          <w:lang w:val="en-GB"/>
        </w:rPr>
        <w:t xml:space="preserve"> adding that “</w:t>
      </w:r>
      <w:r w:rsidRPr="00C57CE1">
        <w:rPr>
          <w:rFonts w:ascii="Arial" w:hAnsi="Arial" w:cs="Arial"/>
          <w:i/>
          <w:szCs w:val="24"/>
          <w:lang w:val="en-GB"/>
        </w:rPr>
        <w:t>medical procedures that can, when forced or otherwise involuntary, breach the prohibition on torture and ill-treatment include ‘conversion’ therapy, sterilization, gender reassignment …</w:t>
      </w:r>
      <w:r w:rsidRPr="0028108F">
        <w:rPr>
          <w:rFonts w:ascii="Arial" w:hAnsi="Arial" w:cs="Arial"/>
          <w:szCs w:val="24"/>
          <w:lang w:val="en-GB"/>
        </w:rPr>
        <w:t xml:space="preserve"> .”</w:t>
      </w:r>
      <w:r w:rsidRPr="00181CF2">
        <w:rPr>
          <w:rStyle w:val="FootnoteReference"/>
          <w:rFonts w:ascii="Arial" w:hAnsi="Arial" w:cs="Arial"/>
          <w:szCs w:val="24"/>
          <w:lang w:val="en-GB"/>
        </w:rPr>
        <w:footnoteReference w:id="572"/>
      </w:r>
      <w:r w:rsidRPr="00181CF2">
        <w:rPr>
          <w:rFonts w:ascii="Arial" w:hAnsi="Arial" w:cs="Arial"/>
          <w:color w:val="000000" w:themeColor="text1"/>
          <w:szCs w:val="24"/>
          <w:lang w:val="en-GB"/>
        </w:rPr>
        <w:t xml:space="preserve">  </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On 13 May 2015, a group of </w:t>
      </w:r>
      <w:r w:rsidR="00046A5D" w:rsidRPr="0028108F">
        <w:rPr>
          <w:rFonts w:ascii="Arial" w:hAnsi="Arial" w:cs="Arial"/>
          <w:szCs w:val="24"/>
          <w:lang w:val="en-GB"/>
        </w:rPr>
        <w:t>United Nations</w:t>
      </w:r>
      <w:r w:rsidRPr="0028108F">
        <w:rPr>
          <w:rFonts w:ascii="Arial" w:hAnsi="Arial" w:cs="Arial"/>
          <w:szCs w:val="24"/>
          <w:lang w:val="en-GB"/>
        </w:rPr>
        <w:t xml:space="preserve"> and international human rights experts</w:t>
      </w:r>
      <w:r w:rsidRPr="00181CF2">
        <w:rPr>
          <w:rStyle w:val="FootnoteReference"/>
          <w:rFonts w:ascii="Arial" w:hAnsi="Arial" w:cs="Arial"/>
          <w:szCs w:val="24"/>
          <w:lang w:val="en-GB"/>
        </w:rPr>
        <w:footnoteReference w:id="573"/>
      </w:r>
      <w:r w:rsidRPr="00181CF2">
        <w:rPr>
          <w:rFonts w:ascii="Arial" w:hAnsi="Arial" w:cs="Arial"/>
          <w:szCs w:val="24"/>
          <w:lang w:val="en-GB"/>
        </w:rPr>
        <w:t xml:space="preserve"> called for an end to discrimination and violence against LGBT</w:t>
      </w:r>
      <w:r w:rsidR="009C72E7" w:rsidRPr="0028108F">
        <w:rPr>
          <w:rFonts w:ascii="Arial" w:hAnsi="Arial" w:cs="Arial"/>
          <w:szCs w:val="24"/>
          <w:lang w:val="en-GB"/>
        </w:rPr>
        <w:t>I</w:t>
      </w:r>
      <w:r w:rsidRPr="0028108F">
        <w:rPr>
          <w:rFonts w:ascii="Arial" w:hAnsi="Arial" w:cs="Arial"/>
          <w:szCs w:val="24"/>
          <w:lang w:val="en-GB"/>
        </w:rPr>
        <w:t xml:space="preserve"> young people and children, urging </w:t>
      </w:r>
      <w:r w:rsidR="009754CA" w:rsidRPr="0028108F">
        <w:rPr>
          <w:rFonts w:ascii="Arial" w:hAnsi="Arial" w:cs="Arial"/>
          <w:szCs w:val="24"/>
          <w:lang w:val="en-GB"/>
        </w:rPr>
        <w:t>g</w:t>
      </w:r>
      <w:r w:rsidRPr="0028108F">
        <w:rPr>
          <w:rFonts w:ascii="Arial" w:hAnsi="Arial" w:cs="Arial"/>
          <w:szCs w:val="24"/>
          <w:lang w:val="en-GB"/>
        </w:rPr>
        <w:t>overnments worldwide to protect these young people and children from violence and discrimination, and to integrate their views on policies and laws that affect their rights.  In particular, the experts noted that:</w:t>
      </w:r>
    </w:p>
    <w:p w:rsidR="00E773F6" w:rsidRPr="0028108F" w:rsidRDefault="00E773F6" w:rsidP="00E773F6">
      <w:pPr>
        <w:adjustRightInd w:val="0"/>
        <w:snapToGrid w:val="0"/>
        <w:jc w:val="both"/>
        <w:rPr>
          <w:rFonts w:ascii="Arial" w:hAnsi="Arial" w:cs="Arial"/>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In some countries, young LGBT persons are subjected to harmful so-called ‘therapies’ intended to ‘modify’ their orientation or identity.  Such therapies are unethical, unscientific and ineffective and may be tantamount to torture.  Young transgender people also lack access to recognition of their gender identity, and are subjected to abusive procedures, such as sterilization or forced treatment.</w:t>
      </w:r>
      <w:r w:rsidRPr="0028108F">
        <w:rPr>
          <w:rFonts w:ascii="Arial" w:hAnsi="Arial" w:cs="Arial"/>
          <w:szCs w:val="24"/>
          <w:lang w:val="en-GB"/>
        </w:rPr>
        <w:t>”</w:t>
      </w:r>
      <w:r w:rsidRPr="00181CF2">
        <w:rPr>
          <w:rStyle w:val="FootnoteReference"/>
          <w:rFonts w:ascii="Arial" w:hAnsi="Arial" w:cs="Arial"/>
          <w:szCs w:val="24"/>
          <w:lang w:val="en-GB"/>
        </w:rPr>
        <w:footnoteReference w:id="574"/>
      </w:r>
    </w:p>
    <w:p w:rsidR="00E773F6" w:rsidRPr="00C57CE1" w:rsidRDefault="00E773F6" w:rsidP="0028108F">
      <w:pPr>
        <w:adjustRightInd w:val="0"/>
        <w:snapToGrid w:val="0"/>
        <w:jc w:val="both"/>
        <w:rPr>
          <w:rFonts w:ascii="Arial" w:hAnsi="Arial" w:cs="Arial"/>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Moreover, the Yogyakarta Principles</w:t>
      </w:r>
      <w:r w:rsidRPr="0028108F">
        <w:rPr>
          <w:rStyle w:val="FootnoteReference"/>
          <w:rFonts w:ascii="Arial" w:hAnsi="Arial" w:cs="Arial"/>
          <w:szCs w:val="24"/>
          <w:lang w:val="en-GB"/>
        </w:rPr>
        <w:footnoteReference w:id="575"/>
      </w:r>
      <w:r w:rsidRPr="0028108F">
        <w:rPr>
          <w:rFonts w:ascii="Arial" w:hAnsi="Arial" w:cs="Arial"/>
          <w:szCs w:val="24"/>
          <w:lang w:val="en-GB"/>
        </w:rPr>
        <w:t xml:space="preserve"> and </w:t>
      </w:r>
      <w:r w:rsidR="00625D62" w:rsidRPr="0028108F">
        <w:rPr>
          <w:rFonts w:ascii="Arial" w:hAnsi="Arial" w:cs="Arial"/>
          <w:szCs w:val="24"/>
          <w:lang w:val="en-GB"/>
        </w:rPr>
        <w:t xml:space="preserve">the </w:t>
      </w:r>
      <w:r w:rsidRPr="0028108F">
        <w:rPr>
          <w:rFonts w:ascii="Arial" w:hAnsi="Arial" w:cs="Arial"/>
          <w:szCs w:val="24"/>
          <w:lang w:val="en-GB"/>
        </w:rPr>
        <w:t>WPATH’s statements on medical necessity</w:t>
      </w:r>
      <w:r w:rsidRPr="0028108F">
        <w:rPr>
          <w:rStyle w:val="FootnoteReference"/>
          <w:rFonts w:ascii="Arial" w:hAnsi="Arial" w:cs="Arial"/>
          <w:szCs w:val="24"/>
          <w:lang w:val="en-GB"/>
        </w:rPr>
        <w:footnoteReference w:id="576"/>
      </w:r>
      <w:r w:rsidRPr="0028108F">
        <w:rPr>
          <w:rFonts w:ascii="Arial" w:hAnsi="Arial" w:cs="Arial"/>
          <w:szCs w:val="24"/>
          <w:lang w:val="en-GB"/>
        </w:rPr>
        <w:t xml:space="preserve"> and identity recognition</w:t>
      </w:r>
      <w:r w:rsidRPr="0028108F">
        <w:rPr>
          <w:rStyle w:val="FootnoteReference"/>
          <w:rFonts w:ascii="Arial" w:hAnsi="Arial" w:cs="Arial"/>
          <w:szCs w:val="24"/>
          <w:lang w:val="en-GB"/>
        </w:rPr>
        <w:footnoteReference w:id="577"/>
      </w:r>
      <w:r w:rsidRPr="0028108F">
        <w:rPr>
          <w:rFonts w:ascii="Arial" w:hAnsi="Arial" w:cs="Arial"/>
          <w:szCs w:val="24"/>
          <w:lang w:val="en-GB"/>
        </w:rPr>
        <w:t xml:space="preserve"> have also called for the removal of requirements of surgery or sterili</w:t>
      </w:r>
      <w:r w:rsidR="009754CA" w:rsidRPr="0028108F">
        <w:rPr>
          <w:rFonts w:ascii="Arial" w:hAnsi="Arial" w:cs="Arial"/>
          <w:szCs w:val="24"/>
          <w:lang w:val="en-GB"/>
        </w:rPr>
        <w:t>s</w:t>
      </w:r>
      <w:r w:rsidRPr="0028108F">
        <w:rPr>
          <w:rFonts w:ascii="Arial" w:hAnsi="Arial" w:cs="Arial"/>
          <w:szCs w:val="24"/>
          <w:lang w:val="en-GB"/>
        </w:rPr>
        <w:t xml:space="preserve">ation as conditions of identity recognition.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In Europe, the Council of Europe Commissioner for Human Rights was critical of the requirement that a transgender person must follow a medically supervised process of gender reassignment and/or be rendered surgically irreversibly infertile before the person may have his/her sex and first name in identity documents changed.</w:t>
      </w:r>
      <w:r w:rsidRPr="0028108F">
        <w:rPr>
          <w:rStyle w:val="FootnoteReference"/>
          <w:rFonts w:ascii="Arial" w:hAnsi="Arial" w:cs="Arial"/>
          <w:szCs w:val="24"/>
          <w:lang w:val="en-GB"/>
        </w:rPr>
        <w:footnoteReference w:id="578"/>
      </w:r>
      <w:r w:rsidRPr="0028108F">
        <w:rPr>
          <w:rFonts w:ascii="Arial" w:hAnsi="Arial" w:cs="Arial"/>
          <w:szCs w:val="24"/>
          <w:lang w:val="en-GB"/>
        </w:rPr>
        <w:t xml:space="preserve">  In a recommendation on measures to combat discrimination on </w:t>
      </w:r>
      <w:r w:rsidR="004E7218" w:rsidRPr="0028108F">
        <w:rPr>
          <w:rFonts w:ascii="Arial" w:hAnsi="Arial" w:cs="Arial"/>
          <w:szCs w:val="24"/>
          <w:lang w:val="en-GB"/>
        </w:rPr>
        <w:t xml:space="preserve">the </w:t>
      </w:r>
      <w:r w:rsidRPr="0028108F">
        <w:rPr>
          <w:rFonts w:ascii="Arial" w:hAnsi="Arial" w:cs="Arial"/>
          <w:szCs w:val="24"/>
          <w:lang w:val="en-GB"/>
        </w:rPr>
        <w:t>grounds of sexual orientation or gender identity adopted in 2010, the Committee of Ministers of the Council of Europe recommended that prior requirements, including changes of a physical nature, for legal recognition of a gender reassignment, should be regularly reviewed in order to remove “</w:t>
      </w:r>
      <w:r w:rsidRPr="0028108F">
        <w:rPr>
          <w:rFonts w:ascii="Arial" w:hAnsi="Arial" w:cs="Arial"/>
          <w:i/>
          <w:szCs w:val="24"/>
          <w:lang w:val="en-GB"/>
        </w:rPr>
        <w:t>abusive</w:t>
      </w:r>
      <w:r w:rsidRPr="00181CF2">
        <w:rPr>
          <w:rFonts w:ascii="Arial" w:hAnsi="Arial" w:cs="Arial"/>
          <w:szCs w:val="24"/>
          <w:lang w:val="en-GB"/>
        </w:rPr>
        <w:t>” and disproportionate requirements.</w:t>
      </w:r>
      <w:r w:rsidRPr="00181CF2">
        <w:rPr>
          <w:rStyle w:val="FootnoteReference"/>
          <w:rFonts w:ascii="Arial" w:hAnsi="Arial" w:cs="Arial"/>
          <w:szCs w:val="24"/>
          <w:lang w:val="en-GB"/>
        </w:rPr>
        <w:footnoteReference w:id="579"/>
      </w:r>
    </w:p>
    <w:p w:rsidR="00E773F6" w:rsidRPr="00C57CE1" w:rsidRDefault="00E773F6" w:rsidP="008813DE">
      <w:pPr>
        <w:adjustRightInd w:val="0"/>
        <w:snapToGrid w:val="0"/>
        <w:jc w:val="both"/>
        <w:rPr>
          <w:rFonts w:ascii="Arial" w:hAnsi="Arial" w:cs="Arial"/>
          <w:szCs w:val="24"/>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Further, in a resolution on forced sterilisations and castrations adopted in 2013, the Parliamentary Assembly of the Council of Europe declared that </w:t>
      </w:r>
      <w:r w:rsidRPr="0028108F">
        <w:rPr>
          <w:rFonts w:ascii="Arial" w:hAnsi="Arial" w:cs="Arial"/>
          <w:i/>
          <w:szCs w:val="24"/>
          <w:lang w:val="en-GB"/>
        </w:rPr>
        <w:t>“coerced, non-reversible sterilisations and castrations constitute</w:t>
      </w:r>
      <w:r w:rsidRPr="0028108F">
        <w:rPr>
          <w:rFonts w:ascii="Arial" w:hAnsi="Arial" w:cs="Arial"/>
          <w:szCs w:val="24"/>
          <w:lang w:val="en-GB"/>
        </w:rPr>
        <w:t xml:space="preserve"> </w:t>
      </w:r>
      <w:r w:rsidRPr="0028108F">
        <w:rPr>
          <w:rFonts w:ascii="Arial" w:hAnsi="Arial" w:cs="Arial"/>
          <w:i/>
          <w:szCs w:val="24"/>
          <w:lang w:val="en-GB"/>
        </w:rPr>
        <w:t>grave violations of human rights and human dignity”</w:t>
      </w:r>
      <w:r w:rsidRPr="0028108F">
        <w:rPr>
          <w:rFonts w:ascii="Arial" w:hAnsi="Arial" w:cs="Arial"/>
          <w:szCs w:val="24"/>
          <w:lang w:val="en-GB"/>
        </w:rPr>
        <w:t xml:space="preserve">, and cannot be accepted in Council of Europe </w:t>
      </w:r>
      <w:r w:rsidR="000D7D86" w:rsidRPr="0028108F">
        <w:rPr>
          <w:rFonts w:ascii="Arial" w:hAnsi="Arial" w:cs="Arial"/>
          <w:szCs w:val="24"/>
          <w:lang w:val="en-GB"/>
        </w:rPr>
        <w:t>M</w:t>
      </w:r>
      <w:r w:rsidRPr="0028108F">
        <w:rPr>
          <w:rFonts w:ascii="Arial" w:hAnsi="Arial" w:cs="Arial"/>
          <w:szCs w:val="24"/>
          <w:lang w:val="en-GB"/>
        </w:rPr>
        <w:t>ember States.</w:t>
      </w:r>
      <w:r w:rsidRPr="00181CF2">
        <w:rPr>
          <w:rStyle w:val="FootnoteReference"/>
          <w:rFonts w:ascii="Arial" w:hAnsi="Arial" w:cs="Arial"/>
          <w:szCs w:val="24"/>
          <w:lang w:val="en-GB"/>
        </w:rPr>
        <w:footnoteReference w:id="580"/>
      </w:r>
      <w:r w:rsidRPr="00181CF2">
        <w:rPr>
          <w:rFonts w:ascii="Arial" w:hAnsi="Arial" w:cs="Arial"/>
          <w:szCs w:val="24"/>
          <w:lang w:val="en-GB"/>
        </w:rPr>
        <w:t xml:space="preserve">  Subsequently, in a resolution on discrimination against transgender people in Europe adopted in April 2015, the Parliamentary As</w:t>
      </w:r>
      <w:r w:rsidRPr="00C57CE1">
        <w:rPr>
          <w:rFonts w:ascii="Arial" w:hAnsi="Arial" w:cs="Arial"/>
          <w:szCs w:val="24"/>
          <w:lang w:val="en-GB"/>
        </w:rPr>
        <w:t>sembly stated that it is concerned about the violations of fundamental rights,</w:t>
      </w:r>
      <w:r w:rsidRPr="0028108F">
        <w:rPr>
          <w:rFonts w:ascii="Arial" w:hAnsi="Arial" w:cs="Arial"/>
          <w:i/>
          <w:szCs w:val="24"/>
          <w:lang w:val="en-GB"/>
        </w:rPr>
        <w:t xml:space="preserve"> “notably the right to private life and to physical integrity, faced by transgender people when applying for legal gender recognition; relevant procedures often require sterilisation, divorce, a diagnosis of mental illness, surgical interventions and other medical treatments as preconditions.</w:t>
      </w:r>
      <w:r w:rsidRPr="0028108F">
        <w:rPr>
          <w:rFonts w:ascii="Arial" w:hAnsi="Arial" w:cs="Arial"/>
          <w:szCs w:val="24"/>
          <w:lang w:val="en-GB"/>
        </w:rPr>
        <w:t>”</w:t>
      </w:r>
      <w:r w:rsidRPr="00181CF2">
        <w:rPr>
          <w:rStyle w:val="FootnoteReference"/>
          <w:rFonts w:ascii="Arial" w:hAnsi="Arial" w:cs="Arial"/>
          <w:szCs w:val="24"/>
          <w:lang w:val="en-GB"/>
        </w:rPr>
        <w:footnoteReference w:id="581"/>
      </w:r>
      <w:r w:rsidRPr="00181CF2">
        <w:rPr>
          <w:rFonts w:ascii="Arial" w:hAnsi="Arial" w:cs="Arial"/>
          <w:szCs w:val="24"/>
          <w:lang w:val="en-GB"/>
        </w:rPr>
        <w:t xml:space="preserve">  It called on </w:t>
      </w:r>
      <w:r w:rsidR="000D7D86" w:rsidRPr="0028108F">
        <w:rPr>
          <w:rFonts w:ascii="Arial" w:hAnsi="Arial" w:cs="Arial"/>
          <w:szCs w:val="24"/>
          <w:lang w:val="en-GB"/>
        </w:rPr>
        <w:t>M</w:t>
      </w:r>
      <w:r w:rsidRPr="0028108F">
        <w:rPr>
          <w:rFonts w:ascii="Arial" w:hAnsi="Arial" w:cs="Arial"/>
          <w:szCs w:val="24"/>
          <w:lang w:val="en-GB"/>
        </w:rPr>
        <w:t>ember States to “</w:t>
      </w:r>
      <w:r w:rsidRPr="0028108F">
        <w:rPr>
          <w:rFonts w:ascii="Arial" w:hAnsi="Arial" w:cs="Arial"/>
          <w:i/>
          <w:szCs w:val="24"/>
          <w:lang w:val="en-GB"/>
        </w:rPr>
        <w:t>abolish sterilisation and other compulsory medical treatment, including a mental health diagnosis, as a necessary legal requirement to recognise a person’s gender identity in laws regulating the procedure for changing a name and registered gender.</w:t>
      </w:r>
      <w:r w:rsidRPr="0028108F">
        <w:rPr>
          <w:rFonts w:ascii="Arial" w:hAnsi="Arial" w:cs="Arial"/>
          <w:szCs w:val="24"/>
          <w:lang w:val="en-GB"/>
        </w:rPr>
        <w:t>”</w:t>
      </w:r>
      <w:r w:rsidRPr="00181CF2">
        <w:rPr>
          <w:rStyle w:val="FootnoteReference"/>
          <w:rFonts w:ascii="Arial" w:hAnsi="Arial" w:cs="Arial"/>
          <w:szCs w:val="24"/>
          <w:lang w:val="en-GB"/>
        </w:rPr>
        <w:footnoteReference w:id="582"/>
      </w:r>
      <w:r w:rsidRPr="00181CF2">
        <w:rPr>
          <w:rFonts w:ascii="Arial" w:hAnsi="Arial" w:cs="Arial"/>
          <w:szCs w:val="24"/>
          <w:lang w:val="en-GB"/>
        </w:rPr>
        <w:t xml:space="preserve"> </w:t>
      </w:r>
    </w:p>
    <w:p w:rsidR="00E773F6" w:rsidRPr="0028108F" w:rsidRDefault="00E773F6" w:rsidP="00E773F6">
      <w:pPr>
        <w:adjustRightInd w:val="0"/>
        <w:snapToGrid w:val="0"/>
        <w:jc w:val="both"/>
        <w:rPr>
          <w:rFonts w:ascii="Arial" w:hAnsi="Arial" w:cs="Arial"/>
          <w:i/>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The SRS requirement has been challenged before the courts and tribunals in </w:t>
      </w:r>
      <w:r w:rsidR="00690D81">
        <w:rPr>
          <w:rFonts w:ascii="Arial" w:hAnsi="Arial" w:cs="Arial" w:hint="eastAsia"/>
          <w:szCs w:val="24"/>
          <w:lang w:val="en-GB"/>
        </w:rPr>
        <w:t>various</w:t>
      </w:r>
      <w:r w:rsidRPr="0028108F">
        <w:rPr>
          <w:rFonts w:ascii="Arial" w:hAnsi="Arial" w:cs="Arial"/>
          <w:szCs w:val="24"/>
          <w:lang w:val="en-GB"/>
        </w:rPr>
        <w:t xml:space="preserve"> jurisdictions.  In most cases, the grounds of challenge are mainly based on the right to personal or physical integrity of transgender persons, the right to private and family life, and/or the right to non-discrimination.  The right to recognition as a person before the law</w:t>
      </w:r>
      <w:r w:rsidRPr="00181CF2">
        <w:rPr>
          <w:rFonts w:ascii="Arial" w:hAnsi="Arial" w:cs="Arial"/>
          <w:szCs w:val="24"/>
          <w:vertAlign w:val="superscript"/>
          <w:lang w:val="en-GB"/>
        </w:rPr>
        <w:footnoteReference w:id="583"/>
      </w:r>
      <w:r w:rsidRPr="00181CF2">
        <w:rPr>
          <w:rFonts w:ascii="Arial" w:hAnsi="Arial" w:cs="Arial"/>
          <w:szCs w:val="24"/>
          <w:lang w:val="en-GB"/>
        </w:rPr>
        <w:t xml:space="preserve"> and the right to the enjoyment of the highest attainable standard of physical and mental health</w:t>
      </w:r>
      <w:r w:rsidRPr="00181CF2">
        <w:rPr>
          <w:rFonts w:ascii="Arial" w:hAnsi="Arial" w:cs="Arial"/>
          <w:szCs w:val="24"/>
          <w:vertAlign w:val="superscript"/>
          <w:lang w:val="en-GB"/>
        </w:rPr>
        <w:footnoteReference w:id="584"/>
      </w:r>
      <w:r w:rsidRPr="00181CF2">
        <w:rPr>
          <w:rFonts w:ascii="Arial" w:hAnsi="Arial" w:cs="Arial"/>
          <w:szCs w:val="24"/>
          <w:lang w:val="en-GB"/>
        </w:rPr>
        <w:t xml:space="preserve"> are also implicated.  </w:t>
      </w:r>
      <w:r w:rsidRPr="00C57CE1">
        <w:rPr>
          <w:rFonts w:ascii="Arial" w:hAnsi="Arial" w:cs="Arial"/>
          <w:color w:val="000000" w:themeColor="text1"/>
          <w:szCs w:val="24"/>
          <w:lang w:val="en-GB"/>
        </w:rPr>
        <w:t>A summary of some recent overseas case-law on the requirements for transgender persons to undergo SRS and/or sterilisation is</w:t>
      </w:r>
      <w:r w:rsidRPr="0028108F">
        <w:rPr>
          <w:rFonts w:ascii="Arial" w:hAnsi="Arial" w:cs="Arial"/>
          <w:color w:val="000000" w:themeColor="text1"/>
          <w:szCs w:val="24"/>
          <w:lang w:val="en-GB"/>
        </w:rPr>
        <w:t xml:space="preserve"> set out in </w:t>
      </w:r>
      <w:r w:rsidRPr="008813DE">
        <w:rPr>
          <w:rFonts w:ascii="Arial" w:hAnsi="Arial" w:cs="Arial"/>
          <w:color w:val="000000" w:themeColor="text1"/>
          <w:szCs w:val="24"/>
          <w:lang w:val="en-GB"/>
        </w:rPr>
        <w:t>Annex C</w:t>
      </w:r>
      <w:r w:rsidRPr="0028108F">
        <w:rPr>
          <w:rFonts w:ascii="Arial" w:hAnsi="Arial" w:cs="Arial"/>
          <w:color w:val="000000" w:themeColor="text1"/>
          <w:szCs w:val="24"/>
          <w:lang w:val="en-GB"/>
        </w:rPr>
        <w:t xml:space="preserve"> of this Consultation Paper.</w:t>
      </w:r>
      <w:r w:rsidR="00797125">
        <w:rPr>
          <w:rFonts w:ascii="Arial" w:hAnsi="Arial" w:cs="Arial" w:hint="eastAsia"/>
          <w:color w:val="000000" w:themeColor="text1"/>
          <w:szCs w:val="24"/>
          <w:lang w:val="en-GB"/>
        </w:rPr>
        <w:t xml:space="preserve">  The IWG stresses that the summary at Annex C is provided solely for reference.  The IWG does not express any view on the decisions or their reasoning.</w:t>
      </w:r>
    </w:p>
    <w:p w:rsidR="00E773F6" w:rsidRPr="0028108F" w:rsidRDefault="00E773F6" w:rsidP="00E773F6">
      <w:pPr>
        <w:adjustRightInd w:val="0"/>
        <w:snapToGrid w:val="0"/>
        <w:jc w:val="both"/>
        <w:rPr>
          <w:rFonts w:ascii="Arial" w:hAnsi="Arial" w:cs="Arial"/>
          <w:szCs w:val="24"/>
          <w:u w:val="single"/>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In Hong Kong, the CFA in </w:t>
      </w:r>
      <w:r w:rsidRPr="0028108F">
        <w:rPr>
          <w:rFonts w:ascii="Arial" w:hAnsi="Arial" w:cs="Arial"/>
          <w:i/>
          <w:szCs w:val="24"/>
          <w:lang w:val="en-GB"/>
        </w:rPr>
        <w:t>W</w:t>
      </w:r>
      <w:r w:rsidRPr="0028108F">
        <w:rPr>
          <w:rFonts w:ascii="Arial" w:hAnsi="Arial" w:cs="Arial"/>
          <w:szCs w:val="24"/>
          <w:lang w:val="en-GB"/>
        </w:rPr>
        <w:t xml:space="preserve">’s case observed that SRS involves </w:t>
      </w:r>
      <w:r w:rsidRPr="0028108F">
        <w:rPr>
          <w:rFonts w:ascii="Arial" w:hAnsi="Arial" w:cs="Arial"/>
          <w:i/>
          <w:szCs w:val="24"/>
          <w:lang w:val="en-GB"/>
        </w:rPr>
        <w:t>“very extensive and irreversible changes to a person’s physical state”</w:t>
      </w:r>
      <w:r w:rsidRPr="0028108F">
        <w:rPr>
          <w:rFonts w:ascii="Arial" w:hAnsi="Arial" w:cs="Arial"/>
          <w:szCs w:val="24"/>
          <w:lang w:val="en-GB"/>
        </w:rPr>
        <w:t>.</w:t>
      </w:r>
      <w:r w:rsidRPr="00181CF2">
        <w:rPr>
          <w:rStyle w:val="FootnoteReference"/>
          <w:rFonts w:ascii="Arial" w:hAnsi="Arial" w:cs="Arial"/>
          <w:szCs w:val="24"/>
          <w:lang w:val="en-GB"/>
        </w:rPr>
        <w:footnoteReference w:id="585"/>
      </w:r>
      <w:r w:rsidRPr="00181CF2">
        <w:rPr>
          <w:rFonts w:ascii="Arial" w:hAnsi="Arial" w:cs="Arial"/>
          <w:szCs w:val="24"/>
          <w:lang w:val="en-GB"/>
        </w:rPr>
        <w:t xml:space="preserve">  The CFA left open the question </w:t>
      </w:r>
      <w:r w:rsidR="00CF59A6" w:rsidRPr="00C57CE1">
        <w:rPr>
          <w:rFonts w:ascii="Arial" w:hAnsi="Arial" w:cs="Arial"/>
          <w:szCs w:val="24"/>
          <w:lang w:val="en-GB"/>
        </w:rPr>
        <w:t xml:space="preserve">of </w:t>
      </w:r>
      <w:r w:rsidRPr="0028108F">
        <w:rPr>
          <w:rFonts w:ascii="Arial" w:hAnsi="Arial" w:cs="Arial"/>
          <w:szCs w:val="24"/>
          <w:lang w:val="en-GB"/>
        </w:rPr>
        <w:t xml:space="preserve">whether transsexual persons who have undergone less extensive treatment might also qualify for marriage </w:t>
      </w:r>
      <w:r w:rsidR="00F454DF" w:rsidRPr="0028108F">
        <w:rPr>
          <w:rFonts w:ascii="Arial" w:hAnsi="Arial" w:cs="Arial"/>
          <w:szCs w:val="24"/>
          <w:lang w:val="en-GB"/>
        </w:rPr>
        <w:t xml:space="preserve">in their assigned gender </w:t>
      </w:r>
      <w:r w:rsidRPr="0028108F">
        <w:rPr>
          <w:rFonts w:ascii="Arial" w:hAnsi="Arial" w:cs="Arial"/>
          <w:szCs w:val="24"/>
          <w:lang w:val="en-GB"/>
        </w:rPr>
        <w:t>but Ma CJ and Ribeiro PJ said (Lord Hoffmann NPJ concurring):</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color w:val="000000"/>
          <w:szCs w:val="24"/>
          <w:lang w:val="en-GB"/>
        </w:rPr>
      </w:pPr>
      <w:r w:rsidRPr="0028108F">
        <w:rPr>
          <w:rFonts w:ascii="Arial" w:hAnsi="Arial" w:cs="Arial"/>
          <w:szCs w:val="24"/>
          <w:lang w:val="en-GB"/>
        </w:rPr>
        <w:t>“</w:t>
      </w:r>
      <w:r w:rsidRPr="0028108F">
        <w:rPr>
          <w:rFonts w:ascii="Arial" w:hAnsi="Arial" w:cs="Arial"/>
          <w:i/>
          <w:color w:val="000000"/>
          <w:szCs w:val="24"/>
          <w:lang w:val="en-GB"/>
        </w:rPr>
        <w:t>… a bright line test applied universally is inevitably likely to produce hard cases in certain circumstances unless special provision is made.  Moreover, as Lord Nicholls points out [in Bellinger v Bellinger</w:t>
      </w:r>
      <w:r w:rsidR="00F454DF" w:rsidRPr="00181CF2">
        <w:rPr>
          <w:rStyle w:val="FootnoteReference"/>
          <w:rFonts w:ascii="Arial" w:hAnsi="Arial" w:cs="Arial"/>
          <w:i/>
          <w:color w:val="000000"/>
          <w:szCs w:val="24"/>
          <w:lang w:val="en-GB"/>
        </w:rPr>
        <w:footnoteReference w:id="586"/>
      </w:r>
      <w:r w:rsidRPr="00181CF2">
        <w:rPr>
          <w:rFonts w:ascii="Arial" w:hAnsi="Arial" w:cs="Arial"/>
          <w:i/>
          <w:color w:val="000000"/>
          <w:szCs w:val="24"/>
          <w:lang w:val="en-GB"/>
        </w:rPr>
        <w:t>],</w:t>
      </w:r>
      <w:r w:rsidRPr="00C57CE1">
        <w:rPr>
          <w:rFonts w:ascii="Arial" w:hAnsi="Arial" w:cs="Arial"/>
          <w:color w:val="000000"/>
          <w:szCs w:val="24"/>
          <w:lang w:val="en-GB"/>
        </w:rPr>
        <w:t> </w:t>
      </w:r>
      <w:r w:rsidRPr="0028108F">
        <w:rPr>
          <w:rFonts w:ascii="Arial" w:hAnsi="Arial" w:cs="Arial"/>
          <w:i/>
          <w:color w:val="000000"/>
          <w:szCs w:val="24"/>
          <w:lang w:val="en-GB"/>
        </w:rPr>
        <w:t xml:space="preserve">drawing the line at the point where full SRS has been undertaken </w:t>
      </w:r>
      <w:r w:rsidRPr="0028108F">
        <w:rPr>
          <w:rFonts w:ascii="Arial" w:hAnsi="Arial" w:cs="Arial"/>
          <w:i/>
          <w:szCs w:val="24"/>
          <w:lang w:val="en-GB"/>
        </w:rPr>
        <w:t>may</w:t>
      </w:r>
      <w:r w:rsidRPr="0028108F">
        <w:rPr>
          <w:rFonts w:ascii="Arial" w:hAnsi="Arial" w:cs="Arial"/>
          <w:i/>
          <w:color w:val="000000"/>
          <w:szCs w:val="24"/>
          <w:lang w:val="en-GB"/>
        </w:rPr>
        <w:t xml:space="preserve"> have an undesirable coercive effect on persons who would not otherwise be inclined to undergo the surgery. </w:t>
      </w:r>
    </w:p>
    <w:p w:rsidR="00E773F6" w:rsidRPr="0028108F" w:rsidRDefault="00E773F6" w:rsidP="00E773F6">
      <w:pPr>
        <w:adjustRightInd w:val="0"/>
        <w:snapToGrid w:val="0"/>
        <w:ind w:left="960"/>
        <w:jc w:val="both"/>
        <w:rPr>
          <w:rFonts w:ascii="Arial" w:hAnsi="Arial" w:cs="Arial"/>
          <w:i/>
          <w:color w:val="000000"/>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color w:val="000000"/>
          <w:szCs w:val="24"/>
          <w:lang w:val="en-GB"/>
        </w:rPr>
      </w:pPr>
      <w:r w:rsidRPr="0028108F">
        <w:rPr>
          <w:rFonts w:ascii="Arial" w:hAnsi="Arial" w:cs="Arial"/>
          <w:i/>
          <w:szCs w:val="24"/>
          <w:lang w:val="en-GB"/>
        </w:rPr>
        <w:t>It</w:t>
      </w:r>
      <w:r w:rsidRPr="00181CF2">
        <w:rPr>
          <w:rFonts w:ascii="Arial" w:hAnsi="Arial" w:cs="Arial"/>
          <w:i/>
          <w:color w:val="000000"/>
          <w:szCs w:val="24"/>
          <w:lang w:val="en-GB"/>
        </w:rPr>
        <w:t xml:space="preserve"> is with such disadvantages in mind that we have refrained, at least at this stage, from attempting any judicial line-drawing of our own, contenting ourselves with declaring that a person in W’s p</w:t>
      </w:r>
      <w:r w:rsidRPr="00C57CE1">
        <w:rPr>
          <w:rFonts w:ascii="Arial" w:hAnsi="Arial" w:cs="Arial"/>
          <w:i/>
          <w:color w:val="000000"/>
          <w:szCs w:val="24"/>
          <w:lang w:val="en-GB"/>
        </w:rPr>
        <w:t>ost-operative situation does qualify and leaving it open whether and to what extent others who have undergone less extensive surgical or medical intervention may also qualify.</w:t>
      </w:r>
      <w:r w:rsidRPr="0028108F">
        <w:rPr>
          <w:rFonts w:ascii="Arial" w:hAnsi="Arial" w:cs="Arial"/>
          <w:color w:val="000000"/>
          <w:szCs w:val="24"/>
          <w:lang w:val="en-GB"/>
        </w:rPr>
        <w:t>”</w:t>
      </w:r>
      <w:r w:rsidRPr="00181CF2">
        <w:rPr>
          <w:rFonts w:ascii="Arial" w:hAnsi="Arial" w:cs="Arial"/>
          <w:color w:val="000000"/>
          <w:szCs w:val="24"/>
          <w:vertAlign w:val="superscript"/>
          <w:lang w:val="en-GB"/>
        </w:rPr>
        <w:footnoteReference w:id="587"/>
      </w:r>
    </w:p>
    <w:p w:rsidR="00E773F6" w:rsidRPr="00C57CE1" w:rsidRDefault="00E773F6" w:rsidP="00E773F6">
      <w:pPr>
        <w:adjustRightInd w:val="0"/>
        <w:snapToGrid w:val="0"/>
        <w:ind w:left="480"/>
        <w:jc w:val="both"/>
        <w:rPr>
          <w:rFonts w:ascii="Arial" w:hAnsi="Arial" w:cs="Arial"/>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In its concluding observations on the fifth periodic report of China with respect to the HKSAR adopted on 3 December 2015, the Committee </w:t>
      </w:r>
      <w:r w:rsidR="000B4F6C">
        <w:rPr>
          <w:rFonts w:ascii="Arial" w:hAnsi="Arial" w:cs="Arial" w:hint="eastAsia"/>
          <w:color w:val="000000" w:themeColor="text1"/>
          <w:szCs w:val="24"/>
          <w:lang w:val="en-GB"/>
        </w:rPr>
        <w:t>A</w:t>
      </w:r>
      <w:r w:rsidRPr="0028108F">
        <w:rPr>
          <w:rFonts w:ascii="Arial" w:hAnsi="Arial" w:cs="Arial"/>
          <w:color w:val="000000" w:themeColor="text1"/>
          <w:szCs w:val="24"/>
          <w:lang w:val="en-GB"/>
        </w:rPr>
        <w:t>gainst Torture expressed concerns about: (i) transgender persons being required to have completed SRS, which includes the removal of reproductive organs, sterilisation and genital reconstruction, in order to obtain legal recognition of their gender identity; and (ii) intersex children</w:t>
      </w:r>
      <w:r w:rsidRPr="00181CF2">
        <w:rPr>
          <w:rStyle w:val="FootnoteReference"/>
          <w:rFonts w:ascii="Arial" w:hAnsi="Arial" w:cs="Arial"/>
          <w:szCs w:val="24"/>
          <w:lang w:val="en-GB"/>
        </w:rPr>
        <w:footnoteReference w:id="588"/>
      </w:r>
      <w:r w:rsidRPr="00181CF2">
        <w:rPr>
          <w:rFonts w:ascii="Arial" w:hAnsi="Arial" w:cs="Arial"/>
          <w:color w:val="000000" w:themeColor="text1"/>
          <w:szCs w:val="24"/>
          <w:lang w:val="en-GB"/>
        </w:rPr>
        <w:t xml:space="preserve"> being subjected to unnecessary and irreversible surgery to determine their sex at an early stage.  The Committee recommended that:</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color w:val="000000" w:themeColor="text1"/>
          <w:szCs w:val="24"/>
          <w:lang w:val="en-GB"/>
        </w:rPr>
        <w:t>“</w:t>
      </w:r>
      <w:r w:rsidRPr="0028108F">
        <w:rPr>
          <w:rFonts w:ascii="Arial" w:hAnsi="Arial" w:cs="Arial"/>
          <w:i/>
          <w:color w:val="000000" w:themeColor="text1"/>
          <w:szCs w:val="24"/>
          <w:lang w:val="en-GB"/>
        </w:rPr>
        <w:t>H</w:t>
      </w:r>
      <w:r w:rsidR="005D68CD" w:rsidRPr="0028108F">
        <w:rPr>
          <w:rFonts w:ascii="Arial" w:hAnsi="Arial" w:cs="Arial"/>
          <w:i/>
          <w:color w:val="000000" w:themeColor="text1"/>
          <w:szCs w:val="24"/>
          <w:lang w:val="en-GB"/>
        </w:rPr>
        <w:t>ong Kong, China</w:t>
      </w:r>
      <w:r w:rsidRPr="0028108F">
        <w:rPr>
          <w:rFonts w:ascii="Arial" w:hAnsi="Arial" w:cs="Arial"/>
          <w:i/>
          <w:color w:val="000000" w:themeColor="text1"/>
          <w:szCs w:val="24"/>
          <w:lang w:val="en-GB"/>
        </w:rPr>
        <w:t xml:space="preserve"> should:</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i/>
          <w:color w:val="000000" w:themeColor="text1"/>
          <w:szCs w:val="24"/>
          <w:lang w:val="en-GB"/>
        </w:rPr>
      </w:pPr>
    </w:p>
    <w:p w:rsidR="00E773F6" w:rsidRPr="0028108F" w:rsidRDefault="00E773F6" w:rsidP="00E773F6">
      <w:pPr>
        <w:pStyle w:val="ListParagraph"/>
        <w:numPr>
          <w:ilvl w:val="0"/>
          <w:numId w:val="34"/>
        </w:numPr>
        <w:tabs>
          <w:tab w:val="left" w:pos="1418"/>
          <w:tab w:val="left" w:pos="2552"/>
        </w:tabs>
        <w:autoSpaceDE w:val="0"/>
        <w:autoSpaceDN w:val="0"/>
        <w:adjustRightInd w:val="0"/>
        <w:snapToGrid w:val="0"/>
        <w:ind w:leftChars="0" w:left="1985" w:hanging="569"/>
        <w:jc w:val="both"/>
        <w:rPr>
          <w:rFonts w:ascii="Arial" w:hAnsi="Arial" w:cs="Arial"/>
          <w:i/>
          <w:color w:val="000000" w:themeColor="text1"/>
          <w:szCs w:val="24"/>
          <w:lang w:val="en-GB"/>
        </w:rPr>
      </w:pPr>
      <w:r w:rsidRPr="0028108F">
        <w:rPr>
          <w:rFonts w:ascii="Arial" w:hAnsi="Arial" w:cs="Arial"/>
          <w:i/>
          <w:color w:val="000000" w:themeColor="text1"/>
          <w:szCs w:val="24"/>
          <w:lang w:val="en-GB"/>
        </w:rPr>
        <w:t>Take the necessary legislative, administrative and other measures to guarantee respect for the autonomy and physical and psychological integrity of transgender and intersex persons, including by removing abusive preconditions for the legal recognition of the gender identity of transgender persons, such as sterilisation;</w:t>
      </w:r>
    </w:p>
    <w:p w:rsidR="00602AFF" w:rsidRPr="0028108F" w:rsidRDefault="00602AFF" w:rsidP="0028108F">
      <w:pPr>
        <w:tabs>
          <w:tab w:val="left" w:pos="1418"/>
          <w:tab w:val="left" w:pos="2552"/>
        </w:tabs>
        <w:autoSpaceDE w:val="0"/>
        <w:autoSpaceDN w:val="0"/>
        <w:adjustRightInd w:val="0"/>
        <w:snapToGrid w:val="0"/>
        <w:jc w:val="both"/>
        <w:rPr>
          <w:rFonts w:ascii="Arial" w:hAnsi="Arial" w:cs="Arial"/>
          <w:i/>
          <w:color w:val="000000" w:themeColor="text1"/>
          <w:szCs w:val="24"/>
          <w:lang w:val="en-GB"/>
        </w:rPr>
      </w:pPr>
    </w:p>
    <w:p w:rsidR="00602AFF" w:rsidRPr="0028108F" w:rsidRDefault="00E773F6">
      <w:pPr>
        <w:pStyle w:val="ListParagraph"/>
        <w:numPr>
          <w:ilvl w:val="0"/>
          <w:numId w:val="34"/>
        </w:numPr>
        <w:tabs>
          <w:tab w:val="left" w:pos="1418"/>
          <w:tab w:val="left" w:pos="2552"/>
        </w:tabs>
        <w:autoSpaceDE w:val="0"/>
        <w:autoSpaceDN w:val="0"/>
        <w:adjustRightInd w:val="0"/>
        <w:snapToGrid w:val="0"/>
        <w:ind w:leftChars="0" w:left="1985" w:hanging="569"/>
        <w:jc w:val="both"/>
        <w:rPr>
          <w:rFonts w:ascii="Arial" w:hAnsi="Arial" w:cs="Arial"/>
          <w:i/>
          <w:color w:val="000000" w:themeColor="text1"/>
          <w:szCs w:val="24"/>
          <w:lang w:val="en-GB"/>
        </w:rPr>
      </w:pPr>
      <w:r w:rsidRPr="00181CF2">
        <w:rPr>
          <w:rFonts w:ascii="Arial" w:hAnsi="Arial" w:cs="Arial"/>
          <w:i/>
          <w:color w:val="000000" w:themeColor="text1"/>
          <w:szCs w:val="24"/>
          <w:lang w:val="en-GB"/>
        </w:rPr>
        <w:t>Guarantee impartial counselling services for all intersex children and their parents, so as to inform them of the consequences of unnecessary and non-urgent surgery and other medical treatme</w:t>
      </w:r>
      <w:r w:rsidRPr="00C57CE1">
        <w:rPr>
          <w:rFonts w:ascii="Arial" w:hAnsi="Arial" w:cs="Arial"/>
          <w:i/>
          <w:color w:val="000000" w:themeColor="text1"/>
          <w:szCs w:val="24"/>
          <w:lang w:val="en-GB"/>
        </w:rPr>
        <w:t>nt to decide on the sex of the child and the possibility of postponing any decision on such treatment or surgery until the persons concerned can decide by themselves;</w:t>
      </w:r>
    </w:p>
    <w:p w:rsidR="00602AFF" w:rsidRPr="0028108F" w:rsidRDefault="00602AFF" w:rsidP="0028108F">
      <w:pPr>
        <w:tabs>
          <w:tab w:val="left" w:pos="1418"/>
          <w:tab w:val="left" w:pos="2552"/>
        </w:tabs>
        <w:autoSpaceDE w:val="0"/>
        <w:autoSpaceDN w:val="0"/>
        <w:adjustRightInd w:val="0"/>
        <w:snapToGrid w:val="0"/>
        <w:jc w:val="both"/>
        <w:rPr>
          <w:rFonts w:ascii="Arial" w:hAnsi="Arial" w:cs="Arial"/>
          <w:i/>
          <w:color w:val="000000" w:themeColor="text1"/>
          <w:szCs w:val="24"/>
          <w:lang w:val="en-GB"/>
        </w:rPr>
      </w:pPr>
    </w:p>
    <w:p w:rsidR="00E773F6" w:rsidRPr="0028108F" w:rsidRDefault="00E773F6" w:rsidP="00E773F6">
      <w:pPr>
        <w:pStyle w:val="ListParagraph"/>
        <w:numPr>
          <w:ilvl w:val="0"/>
          <w:numId w:val="34"/>
        </w:numPr>
        <w:tabs>
          <w:tab w:val="left" w:pos="1418"/>
          <w:tab w:val="left" w:pos="2552"/>
        </w:tabs>
        <w:autoSpaceDE w:val="0"/>
        <w:autoSpaceDN w:val="0"/>
        <w:adjustRightInd w:val="0"/>
        <w:snapToGrid w:val="0"/>
        <w:ind w:leftChars="0" w:left="1985" w:hanging="569"/>
        <w:jc w:val="both"/>
        <w:rPr>
          <w:rFonts w:ascii="Arial" w:hAnsi="Arial" w:cs="Arial"/>
          <w:i/>
          <w:color w:val="000000" w:themeColor="text1"/>
          <w:szCs w:val="24"/>
          <w:lang w:val="en-GB"/>
        </w:rPr>
      </w:pPr>
      <w:r w:rsidRPr="00181CF2">
        <w:rPr>
          <w:rFonts w:ascii="Arial" w:hAnsi="Arial" w:cs="Arial"/>
          <w:i/>
          <w:color w:val="000000" w:themeColor="text1"/>
          <w:szCs w:val="24"/>
          <w:lang w:val="en-GB"/>
        </w:rPr>
        <w:t>Guarantee that full, free and informed consent is ensured in connection with medical and</w:t>
      </w:r>
      <w:r w:rsidRPr="00C57CE1">
        <w:rPr>
          <w:rFonts w:ascii="Arial" w:hAnsi="Arial" w:cs="Arial"/>
          <w:i/>
          <w:color w:val="000000" w:themeColor="text1"/>
          <w:szCs w:val="24"/>
          <w:lang w:val="en-GB"/>
        </w:rPr>
        <w:t xml:space="preserve"> surgical treatments for intersex persons and that non-urgent, irreversible medical interventions are postponed until a child is sufficiently mature to </w:t>
      </w:r>
      <w:r w:rsidRPr="0028108F">
        <w:rPr>
          <w:rFonts w:ascii="Arial" w:hAnsi="Arial" w:cs="Arial"/>
          <w:i/>
          <w:color w:val="000000" w:themeColor="text1"/>
          <w:szCs w:val="24"/>
          <w:lang w:val="en-GB"/>
        </w:rPr>
        <w:t>participate in decision-making and give full, free and informed consent;</w:t>
      </w:r>
    </w:p>
    <w:p w:rsidR="00602AFF" w:rsidRPr="0028108F" w:rsidRDefault="00602AFF" w:rsidP="0028108F">
      <w:pPr>
        <w:tabs>
          <w:tab w:val="left" w:pos="1418"/>
          <w:tab w:val="left" w:pos="2552"/>
        </w:tabs>
        <w:autoSpaceDE w:val="0"/>
        <w:autoSpaceDN w:val="0"/>
        <w:adjustRightInd w:val="0"/>
        <w:snapToGrid w:val="0"/>
        <w:jc w:val="both"/>
        <w:rPr>
          <w:rFonts w:ascii="Arial" w:hAnsi="Arial" w:cs="Arial"/>
          <w:i/>
          <w:color w:val="000000" w:themeColor="text1"/>
          <w:szCs w:val="24"/>
          <w:lang w:val="en-GB"/>
        </w:rPr>
      </w:pPr>
    </w:p>
    <w:p w:rsidR="00E773F6" w:rsidRPr="0028108F" w:rsidRDefault="00E773F6" w:rsidP="00E773F6">
      <w:pPr>
        <w:pStyle w:val="ListParagraph"/>
        <w:numPr>
          <w:ilvl w:val="0"/>
          <w:numId w:val="34"/>
        </w:numPr>
        <w:tabs>
          <w:tab w:val="left" w:pos="1418"/>
          <w:tab w:val="left" w:pos="2552"/>
        </w:tabs>
        <w:autoSpaceDE w:val="0"/>
        <w:autoSpaceDN w:val="0"/>
        <w:adjustRightInd w:val="0"/>
        <w:snapToGrid w:val="0"/>
        <w:ind w:leftChars="0" w:left="1985" w:hanging="569"/>
        <w:jc w:val="both"/>
        <w:rPr>
          <w:rFonts w:ascii="Arial" w:hAnsi="Arial" w:cs="Arial"/>
          <w:color w:val="000000" w:themeColor="text1"/>
          <w:szCs w:val="24"/>
          <w:lang w:val="en-GB"/>
        </w:rPr>
      </w:pPr>
      <w:r w:rsidRPr="00181CF2">
        <w:rPr>
          <w:rFonts w:ascii="Arial" w:hAnsi="Arial" w:cs="Arial"/>
          <w:i/>
          <w:color w:val="000000" w:themeColor="text1"/>
          <w:szCs w:val="24"/>
          <w:lang w:val="en-GB"/>
        </w:rPr>
        <w:t xml:space="preserve">Provide adequate redress for </w:t>
      </w:r>
      <w:r w:rsidRPr="00C57CE1">
        <w:rPr>
          <w:rFonts w:ascii="Arial" w:hAnsi="Arial" w:cs="Arial"/>
          <w:i/>
          <w:color w:val="000000" w:themeColor="text1"/>
          <w:szCs w:val="24"/>
          <w:lang w:val="en-GB"/>
        </w:rPr>
        <w:t>the physical and psychological suffering caused by such practices to some intersex persons.</w:t>
      </w:r>
      <w:r w:rsidRPr="0028108F">
        <w:rPr>
          <w:rFonts w:ascii="Arial" w:hAnsi="Arial" w:cs="Arial"/>
          <w:color w:val="000000" w:themeColor="text1"/>
          <w:szCs w:val="24"/>
          <w:lang w:val="en-GB"/>
        </w:rPr>
        <w:t>”</w:t>
      </w:r>
      <w:r w:rsidRPr="0028108F">
        <w:rPr>
          <w:rStyle w:val="FootnoteReference"/>
          <w:rFonts w:ascii="Arial" w:hAnsi="Arial" w:cs="Arial"/>
          <w:szCs w:val="24"/>
          <w:lang w:val="en-GB"/>
        </w:rPr>
        <w:footnoteReference w:id="589"/>
      </w:r>
    </w:p>
    <w:p w:rsidR="00E773F6" w:rsidRPr="0028108F" w:rsidRDefault="00E773F6" w:rsidP="00E773F6">
      <w:pPr>
        <w:adjustRightInd w:val="0"/>
        <w:snapToGrid w:val="0"/>
        <w:jc w:val="both"/>
        <w:rPr>
          <w:rFonts w:ascii="Arial" w:hAnsi="Arial" w:cs="Arial"/>
          <w:b/>
          <w:color w:val="0000FF"/>
          <w:szCs w:val="24"/>
          <w:lang w:val="en-GB"/>
        </w:rPr>
      </w:pPr>
    </w:p>
    <w:p w:rsidR="00E773F6" w:rsidRPr="0028108F" w:rsidRDefault="00E773F6" w:rsidP="00E773F6">
      <w:pPr>
        <w:snapToGrid w:val="0"/>
        <w:rPr>
          <w:rFonts w:ascii="Arial" w:hAnsi="Arial" w:cs="Arial"/>
          <w:i/>
          <w:szCs w:val="24"/>
          <w:lang w:val="en-GB"/>
        </w:rPr>
      </w:pPr>
      <w:r w:rsidRPr="0028108F">
        <w:rPr>
          <w:rFonts w:ascii="Arial" w:hAnsi="Arial" w:cs="Arial"/>
          <w:i/>
          <w:color w:val="000000" w:themeColor="text1"/>
          <w:szCs w:val="24"/>
          <w:lang w:val="en-GB"/>
        </w:rPr>
        <w:t xml:space="preserve">Argument (3): </w:t>
      </w:r>
      <w:r w:rsidRPr="0028108F">
        <w:rPr>
          <w:rFonts w:ascii="Arial" w:hAnsi="Arial" w:cs="Arial"/>
          <w:i/>
          <w:szCs w:val="24"/>
          <w:lang w:val="en-GB"/>
        </w:rPr>
        <w:t>Psychiatric diagnosis which leads to SRS could be inaccurate</w:t>
      </w:r>
    </w:p>
    <w:p w:rsidR="00E773F6" w:rsidRPr="0028108F" w:rsidRDefault="00E773F6" w:rsidP="00E773F6">
      <w:pPr>
        <w:pStyle w:val="ListParagraph"/>
        <w:snapToGrid w:val="0"/>
        <w:ind w:leftChars="0" w:left="360"/>
        <w:rPr>
          <w:rFonts w:ascii="Arial" w:hAnsi="Arial" w:cs="Arial"/>
          <w:szCs w:val="24"/>
          <w:lang w:val="en-GB"/>
        </w:rPr>
      </w:pPr>
    </w:p>
    <w:p w:rsidR="00E773F6" w:rsidRPr="0028108F" w:rsidRDefault="006E4E31" w:rsidP="0028108F">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has been discussed earlier in this Consultation Paper (see paragraphs </w:t>
      </w:r>
      <w:r w:rsidRPr="008813DE">
        <w:rPr>
          <w:rFonts w:ascii="Arial" w:hAnsi="Arial" w:cs="Arial"/>
          <w:szCs w:val="24"/>
          <w:lang w:val="en-GB"/>
        </w:rPr>
        <w:t>6.9 to 6.11</w:t>
      </w:r>
      <w:r w:rsidRPr="00181CF2">
        <w:rPr>
          <w:rFonts w:ascii="Arial" w:hAnsi="Arial" w:cs="Arial"/>
          <w:szCs w:val="24"/>
          <w:lang w:val="en-GB"/>
        </w:rPr>
        <w:t xml:space="preserve">), </w:t>
      </w:r>
      <w:r w:rsidR="002A301D" w:rsidRPr="00C57CE1">
        <w:rPr>
          <w:rFonts w:ascii="Arial" w:hAnsi="Arial" w:cs="Arial"/>
          <w:szCs w:val="24"/>
          <w:lang w:val="en-GB"/>
        </w:rPr>
        <w:t>that it is possible that</w:t>
      </w:r>
      <w:r w:rsidR="00BC6857" w:rsidRPr="0028108F">
        <w:rPr>
          <w:rFonts w:ascii="Arial" w:hAnsi="Arial" w:cs="Arial"/>
          <w:szCs w:val="24"/>
          <w:lang w:val="en-GB"/>
        </w:rPr>
        <w:t>, for various reasons,</w:t>
      </w:r>
      <w:r w:rsidR="002A301D" w:rsidRPr="0028108F">
        <w:rPr>
          <w:rFonts w:ascii="Arial" w:hAnsi="Arial" w:cs="Arial"/>
          <w:szCs w:val="24"/>
          <w:lang w:val="en-GB"/>
        </w:rPr>
        <w:t xml:space="preserve"> </w:t>
      </w:r>
      <w:r w:rsidRPr="0028108F">
        <w:rPr>
          <w:rFonts w:ascii="Arial" w:hAnsi="Arial" w:cs="Arial"/>
          <w:szCs w:val="24"/>
          <w:lang w:val="en-GB"/>
        </w:rPr>
        <w:t xml:space="preserve">psychological or psychiatric misdiagnosis </w:t>
      </w:r>
      <w:r w:rsidR="00E773F6" w:rsidRPr="0028108F">
        <w:rPr>
          <w:rFonts w:ascii="Arial" w:hAnsi="Arial" w:cs="Arial"/>
          <w:szCs w:val="24"/>
          <w:lang w:val="en-GB"/>
        </w:rPr>
        <w:t xml:space="preserve">of </w:t>
      </w:r>
      <w:r w:rsidR="00334997" w:rsidRPr="0028108F">
        <w:rPr>
          <w:rFonts w:ascii="Arial" w:hAnsi="Arial" w:cs="Arial"/>
          <w:szCs w:val="24"/>
          <w:lang w:val="en-GB"/>
        </w:rPr>
        <w:t>gender identity disorder</w:t>
      </w:r>
      <w:r w:rsidR="008F40CE" w:rsidRPr="0028108F">
        <w:rPr>
          <w:rFonts w:ascii="Arial" w:hAnsi="Arial" w:cs="Arial"/>
          <w:szCs w:val="24"/>
          <w:lang w:val="en-GB"/>
        </w:rPr>
        <w:t xml:space="preserve"> or gender dysphoria</w:t>
      </w:r>
      <w:r w:rsidR="00E773F6" w:rsidRPr="0028108F">
        <w:rPr>
          <w:rFonts w:ascii="Arial" w:hAnsi="Arial" w:cs="Arial"/>
          <w:szCs w:val="24"/>
          <w:lang w:val="en-GB"/>
        </w:rPr>
        <w:t xml:space="preserve"> may occur.</w:t>
      </w:r>
      <w:r w:rsidRPr="0028108F">
        <w:rPr>
          <w:rFonts w:ascii="Arial" w:hAnsi="Arial" w:cs="Arial"/>
          <w:szCs w:val="24"/>
          <w:lang w:val="en-GB"/>
        </w:rPr>
        <w:t xml:space="preserve"> </w:t>
      </w:r>
      <w:r w:rsidR="00E773F6" w:rsidRPr="00C57CE1">
        <w:rPr>
          <w:rFonts w:ascii="Arial" w:hAnsi="Arial" w:cs="Arial"/>
          <w:szCs w:val="24"/>
          <w:lang w:val="en-GB"/>
        </w:rPr>
        <w:t xml:space="preserve"> </w:t>
      </w:r>
      <w:r w:rsidR="008F40CE" w:rsidRPr="00C57CE1">
        <w:rPr>
          <w:rFonts w:ascii="Arial" w:hAnsi="Arial" w:cs="Arial"/>
          <w:szCs w:val="24"/>
          <w:lang w:val="en-GB"/>
        </w:rPr>
        <w:t>Th</w:t>
      </w:r>
      <w:r w:rsidR="008F40CE" w:rsidRPr="0028108F">
        <w:rPr>
          <w:rFonts w:ascii="Arial" w:hAnsi="Arial" w:cs="Arial"/>
          <w:szCs w:val="24"/>
          <w:lang w:val="en-GB"/>
        </w:rPr>
        <w:t>e</w:t>
      </w:r>
      <w:r w:rsidRPr="0028108F">
        <w:rPr>
          <w:rFonts w:ascii="Arial" w:hAnsi="Arial" w:cs="Arial"/>
          <w:szCs w:val="24"/>
          <w:lang w:val="en-GB"/>
        </w:rPr>
        <w:t xml:space="preserve"> </w:t>
      </w:r>
      <w:r w:rsidR="00E773F6" w:rsidRPr="0028108F">
        <w:rPr>
          <w:rFonts w:ascii="Arial" w:hAnsi="Arial" w:cs="Arial"/>
          <w:szCs w:val="24"/>
          <w:lang w:val="en-GB"/>
        </w:rPr>
        <w:t>misdiagnosis may lead to possible mistreatment or wrongful decision</w:t>
      </w:r>
      <w:r w:rsidR="002A301D" w:rsidRPr="0028108F">
        <w:rPr>
          <w:rFonts w:ascii="Arial" w:hAnsi="Arial" w:cs="Arial"/>
          <w:szCs w:val="24"/>
          <w:lang w:val="en-GB"/>
        </w:rPr>
        <w:t>s</w:t>
      </w:r>
      <w:r w:rsidR="00E773F6" w:rsidRPr="0028108F">
        <w:rPr>
          <w:rFonts w:ascii="Arial" w:hAnsi="Arial" w:cs="Arial"/>
          <w:szCs w:val="24"/>
          <w:lang w:val="en-GB"/>
        </w:rPr>
        <w:t xml:space="preserve"> on SRS.  If</w:t>
      </w:r>
      <w:r w:rsidR="00BC6857" w:rsidRPr="0028108F">
        <w:rPr>
          <w:rFonts w:ascii="Arial" w:hAnsi="Arial" w:cs="Arial"/>
          <w:szCs w:val="24"/>
          <w:lang w:val="en-GB"/>
        </w:rPr>
        <w:t>,</w:t>
      </w:r>
      <w:r w:rsidR="00E773F6" w:rsidRPr="0028108F">
        <w:rPr>
          <w:rFonts w:ascii="Arial" w:hAnsi="Arial" w:cs="Arial"/>
          <w:szCs w:val="24"/>
          <w:lang w:val="en-GB"/>
        </w:rPr>
        <w:t xml:space="preserve"> subsequent to gender recognition, some </w:t>
      </w:r>
      <w:r w:rsidR="00675980" w:rsidRPr="0028108F">
        <w:rPr>
          <w:rFonts w:ascii="Arial" w:hAnsi="Arial" w:cs="Arial"/>
          <w:szCs w:val="24"/>
          <w:lang w:val="en-GB"/>
        </w:rPr>
        <w:t xml:space="preserve">people </w:t>
      </w:r>
      <w:r w:rsidR="00E773F6" w:rsidRPr="0028108F">
        <w:rPr>
          <w:rFonts w:ascii="Arial" w:hAnsi="Arial" w:cs="Arial"/>
          <w:szCs w:val="24"/>
          <w:lang w:val="en-GB"/>
        </w:rPr>
        <w:t>regret having undergone SRS and wish to change back to their biological sex, there might not be a</w:t>
      </w:r>
      <w:r w:rsidR="002A301D" w:rsidRPr="0028108F">
        <w:rPr>
          <w:rFonts w:ascii="Arial" w:hAnsi="Arial" w:cs="Arial"/>
          <w:szCs w:val="24"/>
          <w:lang w:val="en-GB"/>
        </w:rPr>
        <w:t>ny</w:t>
      </w:r>
      <w:r w:rsidR="00E773F6" w:rsidRPr="0028108F">
        <w:rPr>
          <w:rFonts w:ascii="Arial" w:hAnsi="Arial" w:cs="Arial"/>
          <w:szCs w:val="24"/>
          <w:lang w:val="en-GB"/>
        </w:rPr>
        <w:t xml:space="preserve"> </w:t>
      </w:r>
      <w:r w:rsidR="00BC6857" w:rsidRPr="0028108F">
        <w:rPr>
          <w:rFonts w:ascii="Arial" w:hAnsi="Arial" w:cs="Arial"/>
          <w:szCs w:val="24"/>
          <w:lang w:val="en-GB"/>
        </w:rPr>
        <w:t>flexibility</w:t>
      </w:r>
      <w:r w:rsidR="00E773F6" w:rsidRPr="0028108F">
        <w:rPr>
          <w:rFonts w:ascii="Arial" w:hAnsi="Arial" w:cs="Arial"/>
          <w:szCs w:val="24"/>
          <w:lang w:val="en-GB"/>
        </w:rPr>
        <w:t xml:space="preserve"> for them </w:t>
      </w:r>
      <w:r w:rsidR="002A301D" w:rsidRPr="0028108F">
        <w:rPr>
          <w:rFonts w:ascii="Arial" w:hAnsi="Arial" w:cs="Arial"/>
          <w:szCs w:val="24"/>
          <w:lang w:val="en-GB"/>
        </w:rPr>
        <w:t xml:space="preserve">to do so, </w:t>
      </w:r>
      <w:r w:rsidR="00E773F6" w:rsidRPr="0028108F">
        <w:rPr>
          <w:rFonts w:ascii="Arial" w:hAnsi="Arial" w:cs="Arial"/>
          <w:szCs w:val="24"/>
          <w:lang w:val="en-GB"/>
        </w:rPr>
        <w:t>as SRS already performed is</w:t>
      </w:r>
      <w:r w:rsidRPr="0028108F">
        <w:rPr>
          <w:rFonts w:ascii="Arial" w:hAnsi="Arial" w:cs="Arial"/>
          <w:szCs w:val="24"/>
          <w:lang w:val="en-GB"/>
        </w:rPr>
        <w:t xml:space="preserve">, </w:t>
      </w:r>
      <w:r w:rsidR="002A301D" w:rsidRPr="0028108F">
        <w:rPr>
          <w:rFonts w:ascii="Arial" w:hAnsi="Arial" w:cs="Arial"/>
          <w:szCs w:val="24"/>
          <w:lang w:val="en-GB"/>
        </w:rPr>
        <w:t>in</w:t>
      </w:r>
      <w:r w:rsidRPr="0028108F">
        <w:rPr>
          <w:rFonts w:ascii="Arial" w:hAnsi="Arial" w:cs="Arial"/>
          <w:szCs w:val="24"/>
          <w:lang w:val="en-GB"/>
        </w:rPr>
        <w:t xml:space="preserve"> most cases,</w:t>
      </w:r>
      <w:r w:rsidR="00E773F6" w:rsidRPr="0028108F">
        <w:rPr>
          <w:rFonts w:ascii="Arial" w:hAnsi="Arial" w:cs="Arial"/>
          <w:szCs w:val="24"/>
          <w:lang w:val="en-GB"/>
        </w:rPr>
        <w:t xml:space="preserve"> irreversible.</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28108F">
        <w:rPr>
          <w:rFonts w:ascii="Arial" w:hAnsi="Arial" w:cs="Arial"/>
          <w:szCs w:val="24"/>
          <w:lang w:val="en-GB"/>
        </w:rPr>
        <w:t>There are</w:t>
      </w:r>
      <w:r w:rsidR="00400335">
        <w:rPr>
          <w:rFonts w:ascii="Arial" w:hAnsi="Arial" w:cs="Arial" w:hint="eastAsia"/>
          <w:szCs w:val="24"/>
          <w:lang w:val="en-GB"/>
        </w:rPr>
        <w:t xml:space="preserve"> </w:t>
      </w:r>
      <w:r w:rsidRPr="0028108F">
        <w:rPr>
          <w:rFonts w:ascii="Arial" w:hAnsi="Arial" w:cs="Arial"/>
          <w:szCs w:val="24"/>
          <w:lang w:val="en-GB"/>
        </w:rPr>
        <w:t xml:space="preserve">statistics </w:t>
      </w:r>
      <w:r w:rsidR="00BC6857" w:rsidRPr="0028108F">
        <w:rPr>
          <w:rFonts w:ascii="Arial" w:hAnsi="Arial" w:cs="Arial"/>
          <w:szCs w:val="24"/>
          <w:lang w:val="en-GB"/>
        </w:rPr>
        <w:t xml:space="preserve">(although limited) </w:t>
      </w:r>
      <w:r w:rsidRPr="0028108F">
        <w:rPr>
          <w:rFonts w:ascii="Arial" w:hAnsi="Arial" w:cs="Arial"/>
          <w:szCs w:val="24"/>
          <w:lang w:val="en-GB"/>
        </w:rPr>
        <w:t>concerning sex transition regrets by people having undergo</w:t>
      </w:r>
      <w:r w:rsidR="00BC6857" w:rsidRPr="0028108F">
        <w:rPr>
          <w:rFonts w:ascii="Arial" w:hAnsi="Arial" w:cs="Arial"/>
          <w:szCs w:val="24"/>
          <w:lang w:val="en-GB"/>
        </w:rPr>
        <w:t>ne</w:t>
      </w:r>
      <w:r w:rsidRPr="0028108F">
        <w:rPr>
          <w:rFonts w:ascii="Arial" w:hAnsi="Arial" w:cs="Arial"/>
          <w:szCs w:val="24"/>
          <w:lang w:val="en-GB"/>
        </w:rPr>
        <w:t xml:space="preserve"> SRS.  It was observed in a US study that 1</w:t>
      </w:r>
      <w:r w:rsidR="002A301D" w:rsidRPr="0028108F">
        <w:rPr>
          <w:rFonts w:ascii="Arial" w:hAnsi="Arial" w:cs="Arial"/>
          <w:szCs w:val="24"/>
          <w:lang w:val="en-GB"/>
        </w:rPr>
        <w:t xml:space="preserve"> to </w:t>
      </w:r>
      <w:r w:rsidRPr="0028108F">
        <w:rPr>
          <w:rFonts w:ascii="Arial" w:hAnsi="Arial" w:cs="Arial"/>
          <w:szCs w:val="24"/>
          <w:lang w:val="en-GB"/>
        </w:rPr>
        <w:t>2% of those who have undergone SRS regret it.</w:t>
      </w:r>
      <w:r w:rsidRPr="00181CF2">
        <w:rPr>
          <w:rStyle w:val="FootnoteReference"/>
          <w:rFonts w:ascii="Arial" w:hAnsi="Arial" w:cs="Arial"/>
          <w:szCs w:val="24"/>
          <w:lang w:val="en-GB"/>
        </w:rPr>
        <w:footnoteReference w:id="590"/>
      </w:r>
      <w:r w:rsidRPr="00181CF2">
        <w:rPr>
          <w:rFonts w:ascii="Arial" w:hAnsi="Arial" w:cs="Arial"/>
          <w:szCs w:val="24"/>
          <w:lang w:val="en-GB"/>
        </w:rPr>
        <w:t xml:space="preserve">  Another report p</w:t>
      </w:r>
      <w:r w:rsidRPr="00C57CE1">
        <w:rPr>
          <w:rFonts w:ascii="Arial" w:hAnsi="Arial" w:cs="Arial"/>
          <w:szCs w:val="24"/>
          <w:lang w:val="en-GB"/>
        </w:rPr>
        <w:t>ublished in 2011 by the American Psychological Association</w:t>
      </w:r>
      <w:r w:rsidR="00FD1506" w:rsidRPr="00181CF2">
        <w:rPr>
          <w:rStyle w:val="FootnoteReference"/>
          <w:rFonts w:ascii="Arial" w:hAnsi="Arial" w:cs="Arial"/>
          <w:szCs w:val="24"/>
          <w:lang w:val="en-GB"/>
        </w:rPr>
        <w:footnoteReference w:id="591"/>
      </w:r>
      <w:r w:rsidRPr="00181CF2">
        <w:rPr>
          <w:rFonts w:ascii="Arial" w:hAnsi="Arial" w:cs="Arial"/>
          <w:szCs w:val="24"/>
          <w:lang w:val="en-GB"/>
        </w:rPr>
        <w:t xml:space="preserve"> revealed that in a review of over 1,400 </w:t>
      </w:r>
      <w:r w:rsidR="00E43B33" w:rsidRPr="0028108F">
        <w:rPr>
          <w:rFonts w:ascii="Arial" w:hAnsi="Arial" w:cs="Arial"/>
          <w:szCs w:val="24"/>
          <w:lang w:val="en-GB"/>
        </w:rPr>
        <w:t>individual</w:t>
      </w:r>
      <w:r w:rsidRPr="00181CF2">
        <w:rPr>
          <w:rFonts w:ascii="Arial" w:hAnsi="Arial" w:cs="Arial"/>
          <w:szCs w:val="24"/>
          <w:lang w:val="en-GB"/>
        </w:rPr>
        <w:t>s being studied in the period between 1961 and 1991, big regrets such as reversion to the original gender role, rather than som</w:t>
      </w:r>
      <w:r w:rsidRPr="00C57CE1">
        <w:rPr>
          <w:rFonts w:ascii="Arial" w:hAnsi="Arial" w:cs="Arial"/>
          <w:szCs w:val="24"/>
          <w:lang w:val="en-GB"/>
        </w:rPr>
        <w:t>e lesser degree of regret or ambivalence, were estimated to have occurred in 1 to 1.5% of patients.</w:t>
      </w:r>
      <w:r w:rsidRPr="00181CF2">
        <w:rPr>
          <w:rStyle w:val="FootnoteReference"/>
          <w:rFonts w:ascii="Arial" w:hAnsi="Arial" w:cs="Arial"/>
          <w:szCs w:val="24"/>
          <w:lang w:val="en-GB"/>
        </w:rPr>
        <w:footnoteReference w:id="592"/>
      </w:r>
      <w:r w:rsidRPr="00181CF2">
        <w:rPr>
          <w:rFonts w:ascii="Arial" w:hAnsi="Arial" w:cs="Arial"/>
          <w:szCs w:val="24"/>
          <w:lang w:val="en-GB"/>
        </w:rPr>
        <w:t xml:space="preserve">  In </w:t>
      </w:r>
      <w:r w:rsidRPr="0028108F">
        <w:rPr>
          <w:rFonts w:ascii="Arial" w:hAnsi="Arial" w:cs="Arial"/>
          <w:szCs w:val="24"/>
          <w:lang w:val="en-GB"/>
        </w:rPr>
        <w:t xml:space="preserve">earlier literature, the German registry recorded </w:t>
      </w:r>
      <w:r w:rsidR="00E47BFC" w:rsidRPr="0028108F">
        <w:rPr>
          <w:rFonts w:ascii="Arial" w:hAnsi="Arial" w:cs="Arial"/>
          <w:szCs w:val="24"/>
          <w:lang w:val="en-GB"/>
        </w:rPr>
        <w:t xml:space="preserve">in 1996 </w:t>
      </w:r>
      <w:r w:rsidRPr="0028108F">
        <w:rPr>
          <w:rFonts w:ascii="Arial" w:hAnsi="Arial" w:cs="Arial"/>
          <w:szCs w:val="24"/>
          <w:lang w:val="en-GB"/>
        </w:rPr>
        <w:t xml:space="preserve">only one person out of 733 who </w:t>
      </w:r>
      <w:r w:rsidR="00E47BFC" w:rsidRPr="0028108F">
        <w:rPr>
          <w:rFonts w:ascii="Arial" w:hAnsi="Arial" w:cs="Arial"/>
          <w:szCs w:val="24"/>
          <w:lang w:val="en-GB"/>
        </w:rPr>
        <w:t xml:space="preserve">had </w:t>
      </w:r>
      <w:r w:rsidRPr="0028108F">
        <w:rPr>
          <w:rFonts w:ascii="Arial" w:hAnsi="Arial" w:cs="Arial"/>
          <w:szCs w:val="24"/>
          <w:lang w:val="en-GB"/>
        </w:rPr>
        <w:t>applied for legal change of sex between 1981 and 1990 subsequently appl</w:t>
      </w:r>
      <w:r w:rsidR="00BC6857" w:rsidRPr="0028108F">
        <w:rPr>
          <w:rFonts w:ascii="Arial" w:hAnsi="Arial" w:cs="Arial"/>
          <w:szCs w:val="24"/>
          <w:lang w:val="en-GB"/>
        </w:rPr>
        <w:t>ying</w:t>
      </w:r>
      <w:r w:rsidRPr="0028108F">
        <w:rPr>
          <w:rFonts w:ascii="Arial" w:hAnsi="Arial" w:cs="Arial"/>
          <w:szCs w:val="24"/>
          <w:lang w:val="en-GB"/>
        </w:rPr>
        <w:t xml:space="preserve"> for reversal </w:t>
      </w:r>
      <w:r w:rsidR="00BC6857" w:rsidRPr="0028108F">
        <w:rPr>
          <w:rFonts w:ascii="Arial" w:hAnsi="Arial" w:cs="Arial"/>
          <w:szCs w:val="24"/>
          <w:lang w:val="en-GB"/>
        </w:rPr>
        <w:t>(</w:t>
      </w:r>
      <w:r w:rsidRPr="0028108F">
        <w:rPr>
          <w:rFonts w:ascii="Arial" w:hAnsi="Arial" w:cs="Arial"/>
          <w:szCs w:val="24"/>
          <w:lang w:val="en-GB"/>
        </w:rPr>
        <w:t>suggesting profound regret</w:t>
      </w:r>
      <w:r w:rsidR="00BC6857" w:rsidRPr="0028108F">
        <w:rPr>
          <w:rFonts w:ascii="Arial" w:hAnsi="Arial" w:cs="Arial"/>
          <w:szCs w:val="24"/>
          <w:lang w:val="en-GB"/>
        </w:rPr>
        <w:t>)</w:t>
      </w:r>
      <w:r w:rsidR="00E47BFC" w:rsidRPr="0028108F">
        <w:rPr>
          <w:rFonts w:ascii="Arial" w:hAnsi="Arial" w:cs="Arial"/>
          <w:szCs w:val="24"/>
          <w:lang w:val="en-GB"/>
        </w:rPr>
        <w:t>,</w:t>
      </w:r>
      <w:r w:rsidRPr="0028108F">
        <w:rPr>
          <w:rFonts w:ascii="Arial" w:hAnsi="Arial" w:cs="Arial"/>
          <w:szCs w:val="24"/>
          <w:lang w:val="en-GB"/>
        </w:rPr>
        <w:t xml:space="preserve"> and 57 out of 1,422 adults who </w:t>
      </w:r>
      <w:r w:rsidR="00E47BFC" w:rsidRPr="0028108F">
        <w:rPr>
          <w:rFonts w:ascii="Arial" w:hAnsi="Arial" w:cs="Arial"/>
          <w:szCs w:val="24"/>
          <w:lang w:val="en-GB"/>
        </w:rPr>
        <w:t xml:space="preserve">had </w:t>
      </w:r>
      <w:r w:rsidRPr="0028108F">
        <w:rPr>
          <w:rFonts w:ascii="Arial" w:hAnsi="Arial" w:cs="Arial"/>
          <w:szCs w:val="24"/>
          <w:lang w:val="en-GB"/>
        </w:rPr>
        <w:t xml:space="preserve">obtained gendered changes of </w:t>
      </w:r>
      <w:r w:rsidR="00BC6857" w:rsidRPr="0028108F">
        <w:rPr>
          <w:rFonts w:ascii="Arial" w:hAnsi="Arial" w:cs="Arial"/>
          <w:szCs w:val="24"/>
          <w:lang w:val="en-GB"/>
        </w:rPr>
        <w:t xml:space="preserve">their </w:t>
      </w:r>
      <w:r w:rsidRPr="0028108F">
        <w:rPr>
          <w:rFonts w:ascii="Arial" w:hAnsi="Arial" w:cs="Arial"/>
          <w:szCs w:val="24"/>
          <w:lang w:val="en-GB"/>
        </w:rPr>
        <w:t>first name request</w:t>
      </w:r>
      <w:r w:rsidR="00BC6857" w:rsidRPr="0028108F">
        <w:rPr>
          <w:rFonts w:ascii="Arial" w:hAnsi="Arial" w:cs="Arial"/>
          <w:szCs w:val="24"/>
          <w:lang w:val="en-GB"/>
        </w:rPr>
        <w:t>ing</w:t>
      </w:r>
      <w:r w:rsidRPr="0028108F">
        <w:rPr>
          <w:rFonts w:ascii="Arial" w:hAnsi="Arial" w:cs="Arial"/>
          <w:szCs w:val="24"/>
          <w:lang w:val="en-GB"/>
        </w:rPr>
        <w:t xml:space="preserve"> a second legal name change </w:t>
      </w:r>
      <w:r w:rsidR="00BC6857" w:rsidRPr="0028108F">
        <w:rPr>
          <w:rFonts w:ascii="Arial" w:hAnsi="Arial" w:cs="Arial"/>
          <w:szCs w:val="24"/>
          <w:lang w:val="en-GB"/>
        </w:rPr>
        <w:t>(</w:t>
      </w:r>
      <w:r w:rsidRPr="0028108F">
        <w:rPr>
          <w:rFonts w:ascii="Arial" w:hAnsi="Arial" w:cs="Arial"/>
          <w:szCs w:val="24"/>
          <w:lang w:val="en-GB"/>
        </w:rPr>
        <w:t>suggesting some degree of regret</w:t>
      </w:r>
      <w:r w:rsidR="00BC6857" w:rsidRPr="0028108F">
        <w:rPr>
          <w:rFonts w:ascii="Arial" w:hAnsi="Arial" w:cs="Arial"/>
          <w:szCs w:val="24"/>
          <w:lang w:val="en-GB"/>
        </w:rPr>
        <w:t>)</w:t>
      </w:r>
      <w:r w:rsidRPr="0028108F">
        <w:rPr>
          <w:rFonts w:ascii="Arial" w:hAnsi="Arial" w:cs="Arial"/>
          <w:szCs w:val="24"/>
          <w:lang w:val="en-GB"/>
        </w:rPr>
        <w:t>.</w:t>
      </w:r>
      <w:r w:rsidRPr="00181CF2">
        <w:rPr>
          <w:rStyle w:val="FootnoteReference"/>
          <w:rFonts w:ascii="Arial" w:hAnsi="Arial" w:cs="Arial"/>
          <w:szCs w:val="24"/>
          <w:lang w:val="en-GB"/>
        </w:rPr>
        <w:footnoteReference w:id="593"/>
      </w:r>
      <w:r w:rsidRPr="00181CF2">
        <w:rPr>
          <w:rFonts w:ascii="Arial" w:hAnsi="Arial" w:cs="Arial"/>
          <w:szCs w:val="24"/>
          <w:lang w:val="en-GB"/>
        </w:rPr>
        <w:t xml:space="preserve">  In 1997, one </w:t>
      </w:r>
      <w:r w:rsidR="00E43B33" w:rsidRPr="00C57CE1">
        <w:rPr>
          <w:rFonts w:ascii="Arial" w:hAnsi="Arial" w:cs="Arial"/>
          <w:szCs w:val="24"/>
          <w:lang w:val="en-GB"/>
        </w:rPr>
        <w:t>Swedis</w:t>
      </w:r>
      <w:r w:rsidR="00E43B33" w:rsidRPr="0028108F">
        <w:rPr>
          <w:rFonts w:ascii="Arial" w:hAnsi="Arial" w:cs="Arial"/>
          <w:szCs w:val="24"/>
          <w:lang w:val="en-GB"/>
        </w:rPr>
        <w:t xml:space="preserve">h </w:t>
      </w:r>
      <w:r w:rsidRPr="00181CF2">
        <w:rPr>
          <w:rFonts w:ascii="Arial" w:hAnsi="Arial" w:cs="Arial"/>
          <w:szCs w:val="24"/>
          <w:lang w:val="en-GB"/>
        </w:rPr>
        <w:t>study found a 6% regret rate.</w:t>
      </w:r>
      <w:r w:rsidRPr="00181CF2">
        <w:rPr>
          <w:rStyle w:val="FootnoteReference"/>
          <w:rFonts w:ascii="Arial" w:hAnsi="Arial" w:cs="Arial"/>
          <w:szCs w:val="24"/>
          <w:lang w:val="en-GB"/>
        </w:rPr>
        <w:footnoteReference w:id="594"/>
      </w:r>
      <w:r w:rsidRPr="00181CF2">
        <w:rPr>
          <w:rFonts w:ascii="Arial" w:hAnsi="Arial" w:cs="Arial"/>
          <w:szCs w:val="24"/>
          <w:lang w:val="en-GB"/>
        </w:rPr>
        <w:t xml:space="preserve"> </w:t>
      </w:r>
      <w:r w:rsidR="00E47BFC" w:rsidRPr="0028108F">
        <w:rPr>
          <w:rFonts w:ascii="Arial" w:hAnsi="Arial" w:cs="Arial"/>
          <w:szCs w:val="24"/>
          <w:lang w:val="en-GB"/>
        </w:rPr>
        <w:t>T</w:t>
      </w:r>
      <w:r w:rsidRPr="0028108F">
        <w:rPr>
          <w:rFonts w:ascii="Arial" w:hAnsi="Arial" w:cs="Arial"/>
          <w:szCs w:val="24"/>
          <w:lang w:val="en-GB"/>
        </w:rPr>
        <w:t>h</w:t>
      </w:r>
      <w:r w:rsidR="00E47BFC" w:rsidRPr="0028108F">
        <w:rPr>
          <w:rFonts w:ascii="Arial" w:hAnsi="Arial" w:cs="Arial"/>
          <w:szCs w:val="24"/>
          <w:lang w:val="en-GB"/>
        </w:rPr>
        <w:t>e</w:t>
      </w:r>
      <w:r w:rsidRPr="0028108F">
        <w:rPr>
          <w:rFonts w:ascii="Arial" w:hAnsi="Arial" w:cs="Arial"/>
          <w:szCs w:val="24"/>
          <w:lang w:val="en-GB"/>
        </w:rPr>
        <w:t xml:space="preserve">se statistics could not </w:t>
      </w:r>
      <w:r w:rsidR="00E47BFC" w:rsidRPr="0028108F">
        <w:rPr>
          <w:rFonts w:ascii="Arial" w:hAnsi="Arial" w:cs="Arial"/>
          <w:szCs w:val="24"/>
          <w:lang w:val="en-GB"/>
        </w:rPr>
        <w:t xml:space="preserve">be said to </w:t>
      </w:r>
      <w:r w:rsidRPr="0028108F">
        <w:rPr>
          <w:rFonts w:ascii="Arial" w:hAnsi="Arial" w:cs="Arial"/>
          <w:szCs w:val="24"/>
          <w:lang w:val="en-GB"/>
        </w:rPr>
        <w:t>provide robust evidence</w:t>
      </w:r>
      <w:r w:rsidR="00675980" w:rsidRPr="0028108F">
        <w:rPr>
          <w:rFonts w:ascii="Arial" w:hAnsi="Arial" w:cs="Arial"/>
          <w:szCs w:val="24"/>
          <w:lang w:val="en-GB"/>
        </w:rPr>
        <w:t xml:space="preserve"> on regret rates,</w:t>
      </w:r>
      <w:r w:rsidRPr="0028108F">
        <w:rPr>
          <w:rFonts w:ascii="Arial" w:hAnsi="Arial" w:cs="Arial"/>
          <w:szCs w:val="24"/>
          <w:lang w:val="en-GB"/>
        </w:rPr>
        <w:t xml:space="preserve"> and interpretation of these findings should be limited by the analysis of non-random samples based on </w:t>
      </w:r>
      <w:r w:rsidR="00E47BFC" w:rsidRPr="0028108F">
        <w:rPr>
          <w:rFonts w:ascii="Arial" w:hAnsi="Arial" w:cs="Arial"/>
          <w:szCs w:val="24"/>
          <w:lang w:val="en-GB"/>
        </w:rPr>
        <w:t xml:space="preserve">their </w:t>
      </w:r>
      <w:r w:rsidRPr="0028108F">
        <w:rPr>
          <w:rFonts w:ascii="Arial" w:hAnsi="Arial" w:cs="Arial"/>
          <w:szCs w:val="24"/>
          <w:lang w:val="en-GB"/>
        </w:rPr>
        <w:t xml:space="preserve">recruitment and/or response rate.  Furthermore, </w:t>
      </w:r>
      <w:r w:rsidR="00E47BFC" w:rsidRPr="0028108F">
        <w:rPr>
          <w:rFonts w:ascii="Arial" w:hAnsi="Arial" w:cs="Arial"/>
          <w:szCs w:val="24"/>
          <w:lang w:val="en-GB"/>
        </w:rPr>
        <w:t xml:space="preserve">it seems that </w:t>
      </w:r>
      <w:r w:rsidRPr="0028108F">
        <w:rPr>
          <w:rFonts w:ascii="Arial" w:hAnsi="Arial" w:cs="Arial"/>
          <w:szCs w:val="24"/>
          <w:lang w:val="en-GB"/>
        </w:rPr>
        <w:t xml:space="preserve">some post-surgical regrets are attributed to the </w:t>
      </w:r>
      <w:r w:rsidR="00E47BFC" w:rsidRPr="0028108F">
        <w:rPr>
          <w:rFonts w:ascii="Arial" w:hAnsi="Arial" w:cs="Arial"/>
          <w:szCs w:val="24"/>
          <w:lang w:val="en-GB"/>
        </w:rPr>
        <w:t>un</w:t>
      </w:r>
      <w:r w:rsidRPr="0028108F">
        <w:rPr>
          <w:rFonts w:ascii="Arial" w:hAnsi="Arial" w:cs="Arial"/>
          <w:szCs w:val="24"/>
          <w:lang w:val="en-GB"/>
        </w:rPr>
        <w:t>satisfactory quality of the surgical result</w:t>
      </w:r>
      <w:r w:rsidR="00E47BFC" w:rsidRPr="0028108F">
        <w:rPr>
          <w:rFonts w:ascii="Arial" w:hAnsi="Arial" w:cs="Arial"/>
          <w:szCs w:val="24"/>
          <w:lang w:val="en-GB"/>
        </w:rPr>
        <w:t>s,</w:t>
      </w:r>
      <w:r w:rsidRPr="0028108F">
        <w:rPr>
          <w:rFonts w:ascii="Arial" w:hAnsi="Arial" w:cs="Arial"/>
          <w:szCs w:val="24"/>
          <w:lang w:val="en-GB"/>
        </w:rPr>
        <w:t xml:space="preserve"> such as function and appearance.  However, the information </w:t>
      </w:r>
      <w:r w:rsidR="00B00CC8" w:rsidRPr="0028108F">
        <w:rPr>
          <w:rFonts w:ascii="Arial" w:hAnsi="Arial" w:cs="Arial"/>
          <w:szCs w:val="24"/>
          <w:lang w:val="en-GB"/>
        </w:rPr>
        <w:t xml:space="preserve">might </w:t>
      </w:r>
      <w:r w:rsidRPr="0028108F">
        <w:rPr>
          <w:rFonts w:ascii="Arial" w:hAnsi="Arial" w:cs="Arial"/>
          <w:szCs w:val="24"/>
          <w:lang w:val="en-GB"/>
        </w:rPr>
        <w:t xml:space="preserve">suggest that SRS could </w:t>
      </w:r>
      <w:r w:rsidR="00E47BFC" w:rsidRPr="0028108F">
        <w:rPr>
          <w:rFonts w:ascii="Arial" w:hAnsi="Arial" w:cs="Arial"/>
          <w:szCs w:val="24"/>
          <w:lang w:val="en-GB"/>
        </w:rPr>
        <w:t>have</w:t>
      </w:r>
      <w:r w:rsidRPr="0028108F">
        <w:rPr>
          <w:rFonts w:ascii="Arial" w:hAnsi="Arial" w:cs="Arial"/>
          <w:szCs w:val="24"/>
          <w:lang w:val="en-GB"/>
        </w:rPr>
        <w:t xml:space="preserve"> resulted </w:t>
      </w:r>
      <w:r w:rsidR="00E47BFC" w:rsidRPr="0028108F">
        <w:rPr>
          <w:rFonts w:ascii="Arial" w:hAnsi="Arial" w:cs="Arial"/>
          <w:szCs w:val="24"/>
          <w:lang w:val="en-GB"/>
        </w:rPr>
        <w:t>from</w:t>
      </w:r>
      <w:r w:rsidR="00981F66" w:rsidRPr="0028108F">
        <w:rPr>
          <w:rFonts w:ascii="Arial" w:hAnsi="Arial" w:cs="Arial"/>
          <w:szCs w:val="24"/>
          <w:lang w:val="en-GB"/>
        </w:rPr>
        <w:t xml:space="preserve"> </w:t>
      </w:r>
      <w:r w:rsidRPr="0028108F">
        <w:rPr>
          <w:rFonts w:ascii="Arial" w:hAnsi="Arial" w:cs="Arial"/>
          <w:szCs w:val="24"/>
          <w:lang w:val="en-GB"/>
        </w:rPr>
        <w:t xml:space="preserve">misdiagnosis and, more importantly, misconception </w:t>
      </w:r>
      <w:r w:rsidR="00981F66" w:rsidRPr="0028108F">
        <w:rPr>
          <w:rFonts w:ascii="Arial" w:hAnsi="Arial" w:cs="Arial"/>
          <w:szCs w:val="24"/>
          <w:lang w:val="en-GB"/>
        </w:rPr>
        <w:t>by</w:t>
      </w:r>
      <w:r w:rsidR="00295BC5" w:rsidRPr="0028108F">
        <w:rPr>
          <w:rFonts w:ascii="Arial" w:hAnsi="Arial" w:cs="Arial"/>
          <w:szCs w:val="24"/>
          <w:lang w:val="en-GB"/>
        </w:rPr>
        <w:t xml:space="preserve"> </w:t>
      </w:r>
      <w:r w:rsidRPr="0028108F">
        <w:rPr>
          <w:rFonts w:ascii="Arial" w:hAnsi="Arial" w:cs="Arial"/>
          <w:szCs w:val="24"/>
          <w:lang w:val="en-GB"/>
        </w:rPr>
        <w:t>the p</w:t>
      </w:r>
      <w:r w:rsidR="00E43B33" w:rsidRPr="0028108F">
        <w:rPr>
          <w:rFonts w:ascii="Arial" w:hAnsi="Arial" w:cs="Arial"/>
          <w:szCs w:val="24"/>
          <w:lang w:val="en-GB"/>
        </w:rPr>
        <w:t>erson</w:t>
      </w:r>
      <w:r w:rsidRPr="00181CF2">
        <w:rPr>
          <w:rFonts w:ascii="Arial" w:hAnsi="Arial" w:cs="Arial"/>
          <w:szCs w:val="24"/>
          <w:lang w:val="en-GB"/>
        </w:rPr>
        <w:t xml:space="preserve"> concerned regarding his or her actual gender identity</w:t>
      </w:r>
      <w:r w:rsidR="00981F66" w:rsidRPr="00C57CE1">
        <w:rPr>
          <w:rFonts w:ascii="Arial" w:hAnsi="Arial" w:cs="Arial"/>
          <w:szCs w:val="24"/>
          <w:lang w:val="en-GB"/>
        </w:rPr>
        <w:t>,</w:t>
      </w:r>
      <w:r w:rsidRPr="0028108F">
        <w:rPr>
          <w:rFonts w:ascii="Arial" w:hAnsi="Arial" w:cs="Arial"/>
          <w:szCs w:val="24"/>
          <w:lang w:val="en-GB"/>
        </w:rPr>
        <w:t xml:space="preserve"> which might then develop into a desire for gender reassignment.</w:t>
      </w:r>
      <w:r w:rsidRPr="00181CF2">
        <w:rPr>
          <w:rStyle w:val="FootnoteReference"/>
          <w:rFonts w:ascii="Arial" w:hAnsi="Arial" w:cs="Arial"/>
          <w:szCs w:val="24"/>
          <w:lang w:val="en-GB"/>
        </w:rPr>
        <w:footnoteReference w:id="595"/>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Walt Heyer provided some sample cases of sex change regret.</w:t>
      </w:r>
      <w:r w:rsidRPr="00181CF2">
        <w:rPr>
          <w:rStyle w:val="FootnoteReference"/>
          <w:rFonts w:ascii="Arial" w:hAnsi="Arial" w:cs="Arial"/>
          <w:szCs w:val="24"/>
          <w:lang w:val="en-GB"/>
        </w:rPr>
        <w:footnoteReference w:id="596"/>
      </w:r>
      <w:r w:rsidRPr="00181CF2">
        <w:rPr>
          <w:rFonts w:ascii="Arial" w:hAnsi="Arial" w:cs="Arial"/>
          <w:szCs w:val="24"/>
          <w:lang w:val="en-GB"/>
        </w:rPr>
        <w:t xml:space="preserve"> </w:t>
      </w:r>
      <w:r w:rsidRPr="00C57CE1">
        <w:rPr>
          <w:rFonts w:ascii="Arial" w:hAnsi="Arial" w:cs="Arial"/>
          <w:color w:val="000000" w:themeColor="text1"/>
          <w:szCs w:val="24"/>
          <w:lang w:val="en-GB"/>
        </w:rPr>
        <w:t xml:space="preserve">Alan Finch, an Australian </w:t>
      </w:r>
      <w:r w:rsidRPr="0028108F">
        <w:rPr>
          <w:rFonts w:ascii="Arial" w:hAnsi="Arial" w:cs="Arial"/>
          <w:szCs w:val="24"/>
          <w:lang w:val="en-GB"/>
        </w:rPr>
        <w:t>person</w:t>
      </w:r>
      <w:r w:rsidRPr="0028108F">
        <w:rPr>
          <w:rFonts w:ascii="Arial" w:hAnsi="Arial" w:cs="Arial"/>
          <w:color w:val="000000" w:themeColor="text1"/>
          <w:szCs w:val="24"/>
          <w:lang w:val="en-GB"/>
        </w:rPr>
        <w:t xml:space="preserve"> who was born a male</w:t>
      </w:r>
      <w:r w:rsidR="00981F66"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decided to become a woman at the age of 19</w:t>
      </w:r>
      <w:r w:rsidR="004B161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with </w:t>
      </w:r>
      <w:r w:rsidR="004B161D" w:rsidRPr="0028108F">
        <w:rPr>
          <w:rFonts w:ascii="Arial" w:hAnsi="Arial" w:cs="Arial"/>
          <w:color w:val="000000" w:themeColor="text1"/>
          <w:szCs w:val="24"/>
          <w:lang w:val="en-GB"/>
        </w:rPr>
        <w:t xml:space="preserve">the </w:t>
      </w:r>
      <w:r w:rsidRPr="0028108F">
        <w:rPr>
          <w:rFonts w:ascii="Arial" w:hAnsi="Arial" w:cs="Arial"/>
          <w:color w:val="000000" w:themeColor="text1"/>
          <w:szCs w:val="24"/>
          <w:lang w:val="en-GB"/>
        </w:rPr>
        <w:t xml:space="preserve">support of health-care professionals as well as his mother.  However, </w:t>
      </w:r>
      <w:r w:rsidR="00981F66" w:rsidRPr="0028108F">
        <w:rPr>
          <w:rFonts w:ascii="Arial" w:hAnsi="Arial" w:cs="Arial"/>
          <w:color w:val="000000" w:themeColor="text1"/>
          <w:szCs w:val="24"/>
          <w:lang w:val="en-GB"/>
        </w:rPr>
        <w:t>it was</w:t>
      </w:r>
      <w:r w:rsidRPr="0028108F">
        <w:rPr>
          <w:rFonts w:ascii="Arial" w:hAnsi="Arial" w:cs="Arial"/>
          <w:color w:val="000000" w:themeColor="text1"/>
          <w:szCs w:val="24"/>
          <w:lang w:val="en-GB"/>
        </w:rPr>
        <w:t xml:space="preserve"> later found that the diagnosis of gender identity disorder </w:t>
      </w:r>
      <w:r w:rsidR="004B161D" w:rsidRPr="0028108F">
        <w:rPr>
          <w:rFonts w:ascii="Arial" w:hAnsi="Arial" w:cs="Arial"/>
          <w:color w:val="000000" w:themeColor="text1"/>
          <w:szCs w:val="24"/>
          <w:lang w:val="en-GB"/>
        </w:rPr>
        <w:t>may have been</w:t>
      </w:r>
      <w:r w:rsidRPr="0028108F">
        <w:rPr>
          <w:rFonts w:ascii="Arial" w:hAnsi="Arial" w:cs="Arial"/>
          <w:color w:val="000000" w:themeColor="text1"/>
          <w:szCs w:val="24"/>
          <w:lang w:val="en-GB"/>
        </w:rPr>
        <w:t xml:space="preserve"> wrong</w:t>
      </w:r>
      <w:r w:rsidR="00981F66"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and what </w:t>
      </w:r>
      <w:r w:rsidR="00981F66" w:rsidRPr="0028108F">
        <w:rPr>
          <w:rFonts w:ascii="Arial" w:hAnsi="Arial" w:cs="Arial"/>
          <w:color w:val="000000" w:themeColor="text1"/>
          <w:szCs w:val="24"/>
          <w:lang w:val="en-GB"/>
        </w:rPr>
        <w:t>he</w:t>
      </w:r>
      <w:r w:rsidRPr="0028108F">
        <w:rPr>
          <w:rFonts w:ascii="Arial" w:hAnsi="Arial" w:cs="Arial"/>
          <w:color w:val="000000" w:themeColor="text1"/>
          <w:szCs w:val="24"/>
          <w:lang w:val="en-GB"/>
        </w:rPr>
        <w:t xml:space="preserve"> needed was psychotherapy instead of sex change surgery</w:t>
      </w:r>
      <w:r w:rsidR="004B161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4B161D" w:rsidRPr="0028108F">
        <w:rPr>
          <w:rFonts w:ascii="Arial" w:hAnsi="Arial" w:cs="Arial"/>
          <w:color w:val="000000" w:themeColor="text1"/>
          <w:szCs w:val="24"/>
          <w:lang w:val="en-GB"/>
        </w:rPr>
        <w:t xml:space="preserve"> It was observed that </w:t>
      </w:r>
      <w:r w:rsidRPr="0028108F">
        <w:rPr>
          <w:rFonts w:ascii="Arial" w:hAnsi="Arial" w:cs="Arial"/>
          <w:color w:val="000000" w:themeColor="text1"/>
          <w:szCs w:val="24"/>
          <w:lang w:val="en-GB"/>
        </w:rPr>
        <w:t xml:space="preserve">he had attempted to take refuge in womanhood because he grew up without a father which caused him </w:t>
      </w:r>
      <w:r w:rsidR="00B23092" w:rsidRPr="0028108F">
        <w:rPr>
          <w:rFonts w:ascii="Arial" w:hAnsi="Arial" w:cs="Arial"/>
          <w:color w:val="000000" w:themeColor="text1"/>
          <w:szCs w:val="24"/>
          <w:lang w:val="en-GB"/>
        </w:rPr>
        <w:t xml:space="preserve">to be </w:t>
      </w:r>
      <w:r w:rsidRPr="0028108F">
        <w:rPr>
          <w:rFonts w:ascii="Arial" w:hAnsi="Arial" w:cs="Arial"/>
          <w:color w:val="000000" w:themeColor="text1"/>
          <w:szCs w:val="24"/>
          <w:lang w:val="en-GB"/>
        </w:rPr>
        <w:t>unable to “</w:t>
      </w:r>
      <w:r w:rsidRPr="0028108F">
        <w:rPr>
          <w:rFonts w:ascii="Arial" w:hAnsi="Arial" w:cs="Arial"/>
          <w:i/>
          <w:color w:val="000000" w:themeColor="text1"/>
          <w:szCs w:val="24"/>
          <w:lang w:val="en-GB"/>
        </w:rPr>
        <w:t>learn from his father how to be anything that he wanted to be</w:t>
      </w:r>
      <w:r w:rsidR="00B23092" w:rsidRPr="0028108F">
        <w:rPr>
          <w:rFonts w:ascii="Arial" w:hAnsi="Arial" w:cs="Arial"/>
          <w:i/>
          <w:color w:val="000000" w:themeColor="text1"/>
          <w:szCs w:val="24"/>
          <w:lang w:val="en-GB"/>
        </w:rPr>
        <w:t>.</w:t>
      </w:r>
      <w:r w:rsidRPr="0028108F">
        <w:rPr>
          <w:rFonts w:ascii="Arial" w:hAnsi="Arial" w:cs="Arial"/>
          <w:color w:val="000000" w:themeColor="text1"/>
          <w:szCs w:val="24"/>
          <w:lang w:val="en-GB"/>
        </w:rPr>
        <w:t xml:space="preserve">”  </w:t>
      </w:r>
      <w:r w:rsidR="00B00CC8" w:rsidRPr="0028108F">
        <w:rPr>
          <w:rFonts w:ascii="Arial" w:hAnsi="Arial" w:cs="Arial"/>
          <w:color w:val="000000" w:themeColor="text1"/>
          <w:szCs w:val="24"/>
          <w:lang w:val="en-GB"/>
        </w:rPr>
        <w:t>Heyer revealed that a</w:t>
      </w:r>
      <w:r w:rsidRPr="0028108F">
        <w:rPr>
          <w:rFonts w:ascii="Arial" w:hAnsi="Arial" w:cs="Arial"/>
          <w:color w:val="000000" w:themeColor="text1"/>
          <w:szCs w:val="24"/>
          <w:lang w:val="en-GB"/>
        </w:rPr>
        <w:t xml:space="preserve">t the age of 30, Alan returned to living </w:t>
      </w:r>
      <w:r w:rsidR="00B23092" w:rsidRPr="0028108F">
        <w:rPr>
          <w:rFonts w:ascii="Arial" w:hAnsi="Arial" w:cs="Arial"/>
          <w:color w:val="000000" w:themeColor="text1"/>
          <w:szCs w:val="24"/>
          <w:lang w:val="en-GB"/>
        </w:rPr>
        <w:t>in</w:t>
      </w:r>
      <w:r w:rsidR="001B1158"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his birth gender, with a mutilated body.  According to Heyer, during the period of undergoing pre-surgery psychiatric test</w:t>
      </w:r>
      <w:r w:rsidR="00B23092" w:rsidRPr="0028108F">
        <w:rPr>
          <w:rFonts w:ascii="Arial" w:hAnsi="Arial" w:cs="Arial"/>
          <w:color w:val="000000" w:themeColor="text1"/>
          <w:szCs w:val="24"/>
          <w:lang w:val="en-GB"/>
        </w:rPr>
        <w:t>ing</w:t>
      </w:r>
      <w:r w:rsidRPr="0028108F">
        <w:rPr>
          <w:rFonts w:ascii="Arial" w:hAnsi="Arial" w:cs="Arial"/>
          <w:color w:val="000000" w:themeColor="text1"/>
          <w:szCs w:val="24"/>
          <w:lang w:val="en-GB"/>
        </w:rPr>
        <w:t xml:space="preserve">, </w:t>
      </w:r>
      <w:r w:rsidR="004605EF">
        <w:rPr>
          <w:rFonts w:ascii="Arial" w:hAnsi="Arial" w:cs="Arial" w:hint="eastAsia"/>
          <w:color w:val="000000" w:themeColor="text1"/>
          <w:szCs w:val="24"/>
          <w:lang w:val="en-GB"/>
        </w:rPr>
        <w:t>Finch</w:t>
      </w:r>
      <w:r w:rsidRPr="0028108F">
        <w:rPr>
          <w:rFonts w:ascii="Arial" w:hAnsi="Arial" w:cs="Arial"/>
          <w:color w:val="000000" w:themeColor="text1"/>
          <w:szCs w:val="24"/>
          <w:lang w:val="en-GB"/>
        </w:rPr>
        <w:t xml:space="preserve"> would try to skew his answers for the purpose of qualifying for the surgery because of his wrong belief that he would like to become a woman and this could solve his identity crisis.  Heyer stated that:</w:t>
      </w:r>
    </w:p>
    <w:p w:rsidR="00E773F6" w:rsidRPr="0028108F" w:rsidRDefault="00E773F6" w:rsidP="00E773F6">
      <w:pPr>
        <w:tabs>
          <w:tab w:val="left" w:pos="851"/>
        </w:tabs>
        <w:adjustRightInd w:val="0"/>
        <w:snapToGrid w:val="0"/>
        <w:jc w:val="both"/>
        <w:rPr>
          <w:rFonts w:ascii="Arial" w:hAnsi="Arial" w:cs="Arial"/>
          <w:color w:val="000000" w:themeColor="text1"/>
          <w:szCs w:val="24"/>
          <w:u w:val="single"/>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color w:val="000000" w:themeColor="text1"/>
          <w:szCs w:val="24"/>
          <w:lang w:val="en-GB"/>
        </w:rPr>
      </w:pPr>
      <w:r w:rsidRPr="0028108F">
        <w:rPr>
          <w:rFonts w:ascii="Arial" w:hAnsi="Arial" w:cs="Arial"/>
          <w:i/>
          <w:color w:val="000000" w:themeColor="text1"/>
          <w:szCs w:val="24"/>
          <w:lang w:val="en-GB"/>
        </w:rPr>
        <w:t>“Many transsexuals are psychologically in need.  They push their way into getting approved for surgery, buying into the lie that life will be sunny on the other side.  They do not have a clue about the rightness or the wrongness of surgery and do not understand the depth of their psychological disorders</w:t>
      </w:r>
      <w:r w:rsidRPr="0028108F">
        <w:rPr>
          <w:rFonts w:ascii="Arial" w:hAnsi="Arial" w:cs="Arial"/>
          <w:color w:val="000000" w:themeColor="text1"/>
          <w:szCs w:val="24"/>
          <w:lang w:val="en-GB"/>
        </w:rPr>
        <w:t>.”</w:t>
      </w:r>
    </w:p>
    <w:p w:rsidR="00E773F6" w:rsidRPr="0028108F" w:rsidRDefault="00E773F6" w:rsidP="00E773F6">
      <w:pPr>
        <w:tabs>
          <w:tab w:val="left" w:pos="851"/>
        </w:tabs>
        <w:adjustRightInd w:val="0"/>
        <w:snapToGrid w:val="0"/>
        <w:ind w:leftChars="295" w:left="708" w:rightChars="212" w:right="509"/>
        <w:jc w:val="both"/>
        <w:rPr>
          <w:rFonts w:ascii="Arial" w:hAnsi="Arial" w:cs="Arial"/>
          <w:color w:val="000000" w:themeColor="text1"/>
          <w:szCs w:val="24"/>
          <w:u w:val="single"/>
          <w:lang w:val="en-GB"/>
        </w:rPr>
      </w:pPr>
    </w:p>
    <w:p w:rsidR="00E773F6" w:rsidRPr="00181CF2" w:rsidRDefault="001B1158"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w:t>
      </w:r>
      <w:r w:rsidR="004542CE" w:rsidRPr="0028108F">
        <w:rPr>
          <w:rFonts w:ascii="Arial" w:hAnsi="Arial" w:cs="Arial"/>
          <w:szCs w:val="24"/>
          <w:lang w:val="en-GB"/>
        </w:rPr>
        <w:t>has been</w:t>
      </w:r>
      <w:r w:rsidRPr="0028108F">
        <w:rPr>
          <w:rFonts w:ascii="Arial" w:hAnsi="Arial" w:cs="Arial"/>
          <w:szCs w:val="24"/>
          <w:lang w:val="en-GB"/>
        </w:rPr>
        <w:t xml:space="preserve"> argued that p</w:t>
      </w:r>
      <w:r w:rsidR="00E773F6" w:rsidRPr="0028108F">
        <w:rPr>
          <w:rFonts w:ascii="Arial" w:hAnsi="Arial" w:cs="Arial"/>
          <w:szCs w:val="24"/>
          <w:lang w:val="en-GB"/>
        </w:rPr>
        <w:t xml:space="preserve">sychiatric misdiagnosis leading to sex change regret might be attributed to </w:t>
      </w:r>
      <w:r w:rsidR="004542CE" w:rsidRPr="0028108F">
        <w:rPr>
          <w:rFonts w:ascii="Arial" w:hAnsi="Arial" w:cs="Arial"/>
          <w:szCs w:val="24"/>
          <w:lang w:val="en-GB"/>
        </w:rPr>
        <w:t>a</w:t>
      </w:r>
      <w:r w:rsidR="00E773F6" w:rsidRPr="0028108F">
        <w:rPr>
          <w:rFonts w:ascii="Arial" w:hAnsi="Arial" w:cs="Arial"/>
          <w:szCs w:val="24"/>
          <w:lang w:val="en-GB"/>
        </w:rPr>
        <w:t xml:space="preserve"> lack of reliability of the current diagnosis practice and standards for diagnosis.  </w:t>
      </w:r>
      <w:r w:rsidR="00E43B33" w:rsidRPr="0028108F">
        <w:rPr>
          <w:rFonts w:ascii="Arial" w:hAnsi="Arial" w:cs="Arial"/>
          <w:szCs w:val="24"/>
          <w:lang w:val="en-GB"/>
        </w:rPr>
        <w:t>D</w:t>
      </w:r>
      <w:r w:rsidR="00E773F6" w:rsidRPr="00181CF2">
        <w:rPr>
          <w:rFonts w:ascii="Arial" w:hAnsi="Arial" w:cs="Arial"/>
          <w:szCs w:val="24"/>
          <w:lang w:val="en-GB"/>
        </w:rPr>
        <w:t>r Lai Hak-kan, Research Assistant Prof</w:t>
      </w:r>
      <w:r w:rsidR="00E773F6" w:rsidRPr="00C57CE1">
        <w:rPr>
          <w:rFonts w:ascii="Arial" w:hAnsi="Arial" w:cs="Arial"/>
          <w:szCs w:val="24"/>
          <w:lang w:val="en-GB"/>
        </w:rPr>
        <w:t xml:space="preserve">essor of the School of Public Health of the University of Hong Kong, </w:t>
      </w:r>
      <w:r w:rsidR="004542CE" w:rsidRPr="0028108F">
        <w:rPr>
          <w:rFonts w:ascii="Arial" w:hAnsi="Arial" w:cs="Arial"/>
          <w:szCs w:val="24"/>
          <w:lang w:val="en-GB"/>
        </w:rPr>
        <w:t xml:space="preserve">commented </w:t>
      </w:r>
      <w:r w:rsidR="00E773F6" w:rsidRPr="0028108F">
        <w:rPr>
          <w:rFonts w:ascii="Arial" w:hAnsi="Arial" w:cs="Arial"/>
          <w:szCs w:val="24"/>
          <w:lang w:val="en-GB"/>
        </w:rPr>
        <w:t>in his submissions to the Bills Committee on the Marriage (Amendment) Bill</w:t>
      </w:r>
      <w:r w:rsidR="00CB0A5F">
        <w:rPr>
          <w:rFonts w:ascii="Arial" w:hAnsi="Arial" w:cs="Arial"/>
          <w:szCs w:val="24"/>
          <w:lang w:val="en-GB"/>
        </w:rPr>
        <w:t xml:space="preserve"> 2014</w:t>
      </w:r>
      <w:r w:rsidR="00E773F6" w:rsidRPr="00181CF2">
        <w:rPr>
          <w:rFonts w:ascii="Arial" w:hAnsi="Arial" w:cs="Arial"/>
          <w:szCs w:val="24"/>
          <w:lang w:val="en-GB"/>
        </w:rPr>
        <w:t>,</w:t>
      </w:r>
      <w:r w:rsidR="00916B6B" w:rsidRPr="00181CF2">
        <w:rPr>
          <w:rStyle w:val="FootnoteReference"/>
          <w:rFonts w:ascii="Arial" w:hAnsi="Arial" w:cs="Arial"/>
          <w:szCs w:val="24"/>
          <w:lang w:val="en-GB"/>
        </w:rPr>
        <w:footnoteReference w:id="597"/>
      </w:r>
      <w:r w:rsidR="00E773F6" w:rsidRPr="00181CF2">
        <w:rPr>
          <w:rFonts w:ascii="Arial" w:hAnsi="Arial" w:cs="Arial"/>
          <w:szCs w:val="24"/>
          <w:lang w:val="en-GB"/>
        </w:rPr>
        <w:t xml:space="preserve"> </w:t>
      </w:r>
    </w:p>
    <w:p w:rsidR="00E773F6" w:rsidRPr="00C57CE1" w:rsidRDefault="00E773F6" w:rsidP="00E773F6">
      <w:pPr>
        <w:pStyle w:val="ListParagraph"/>
        <w:snapToGrid w:val="0"/>
        <w:ind w:leftChars="0" w:left="360"/>
        <w:rPr>
          <w:rFonts w:ascii="Arial" w:hAnsi="Arial" w:cs="Arial"/>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C57CE1">
        <w:rPr>
          <w:rFonts w:ascii="Arial" w:hAnsi="Arial" w:cs="Arial"/>
          <w:i/>
          <w:szCs w:val="24"/>
          <w:lang w:val="en-GB"/>
        </w:rPr>
        <w:t xml:space="preserve">“When regrets occur, they may reflect difficulties in making the transition to a </w:t>
      </w:r>
      <w:r w:rsidRPr="0028108F">
        <w:rPr>
          <w:rFonts w:ascii="Arial" w:hAnsi="Arial" w:cs="Arial"/>
          <w:i/>
          <w:color w:val="000000" w:themeColor="text1"/>
          <w:szCs w:val="24"/>
          <w:lang w:val="en-GB"/>
        </w:rPr>
        <w:t>different</w:t>
      </w:r>
      <w:r w:rsidRPr="0028108F">
        <w:rPr>
          <w:rFonts w:ascii="Arial" w:hAnsi="Arial" w:cs="Arial"/>
          <w:i/>
          <w:szCs w:val="24"/>
          <w:lang w:val="en-GB"/>
        </w:rPr>
        <w:t xml:space="preserve"> lifestyle </w:t>
      </w:r>
      <w:r w:rsidRPr="0028108F">
        <w:rPr>
          <w:rFonts w:ascii="Arial" w:hAnsi="Arial" w:cs="Arial"/>
          <w:i/>
          <w:color w:val="000000" w:themeColor="text1"/>
          <w:szCs w:val="24"/>
          <w:lang w:val="en-GB"/>
        </w:rPr>
        <w:t>because</w:t>
      </w:r>
      <w:r w:rsidRPr="0028108F">
        <w:rPr>
          <w:rFonts w:ascii="Arial" w:hAnsi="Arial" w:cs="Arial"/>
          <w:i/>
          <w:szCs w:val="24"/>
          <w:lang w:val="en-GB"/>
        </w:rPr>
        <w:t xml:space="preserve"> of appearance or limited social skills.  These problems appear to be more common in patients with late-onset transsexuality, who have lived in their natal sex for a long-time.</w:t>
      </w:r>
    </w:p>
    <w:p w:rsidR="00E773F6" w:rsidRPr="0028108F" w:rsidRDefault="00E773F6" w:rsidP="00E773F6">
      <w:pPr>
        <w:pStyle w:val="ListParagraph"/>
        <w:snapToGrid w:val="0"/>
        <w:ind w:leftChars="0" w:left="360"/>
        <w:rPr>
          <w:rFonts w:ascii="Arial" w:hAnsi="Arial" w:cs="Arial"/>
          <w:i/>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 xml:space="preserve">The most critical concern for legislation for this group of patients who suffers </w:t>
      </w:r>
      <w:r w:rsidRPr="0028108F">
        <w:rPr>
          <w:rFonts w:ascii="Arial" w:hAnsi="Arial" w:cs="Arial"/>
          <w:i/>
          <w:color w:val="000000" w:themeColor="text1"/>
          <w:szCs w:val="24"/>
          <w:lang w:val="en-GB"/>
        </w:rPr>
        <w:t>from</w:t>
      </w:r>
      <w:r w:rsidRPr="0028108F">
        <w:rPr>
          <w:rFonts w:ascii="Arial" w:hAnsi="Arial" w:cs="Arial"/>
          <w:i/>
          <w:szCs w:val="24"/>
          <w:lang w:val="en-GB"/>
        </w:rPr>
        <w:t xml:space="preserve"> gender identity disorder is the uncertainty of the effectiveness of the treatment since </w:t>
      </w:r>
      <w:r w:rsidRPr="0028108F">
        <w:rPr>
          <w:rFonts w:ascii="Arial" w:hAnsi="Arial" w:cs="Arial"/>
          <w:i/>
          <w:color w:val="000000" w:themeColor="text1"/>
          <w:szCs w:val="24"/>
          <w:lang w:val="en-GB"/>
        </w:rPr>
        <w:t>none</w:t>
      </w:r>
      <w:r w:rsidRPr="0028108F">
        <w:rPr>
          <w:rFonts w:ascii="Arial" w:hAnsi="Arial" w:cs="Arial"/>
          <w:i/>
          <w:szCs w:val="24"/>
          <w:lang w:val="en-GB"/>
        </w:rPr>
        <w:t xml:space="preserve"> have conclusively demonstrated that medical interventions can resolve gender dysphoria [Cohen-Kettenis and Gooren 1999</w:t>
      </w:r>
      <w:r w:rsidRPr="00181CF2">
        <w:rPr>
          <w:rStyle w:val="FootnoteReference"/>
          <w:rFonts w:ascii="Arial" w:hAnsi="Arial" w:cs="Arial"/>
          <w:i/>
          <w:szCs w:val="24"/>
          <w:lang w:val="en-GB"/>
        </w:rPr>
        <w:footnoteReference w:id="598"/>
      </w:r>
      <w:r w:rsidRPr="00181CF2">
        <w:rPr>
          <w:rFonts w:ascii="Arial" w:hAnsi="Arial" w:cs="Arial"/>
          <w:i/>
          <w:szCs w:val="24"/>
          <w:lang w:val="en-GB"/>
        </w:rPr>
        <w:t>; Smith et al 2005</w:t>
      </w:r>
      <w:r w:rsidRPr="00181CF2">
        <w:rPr>
          <w:rStyle w:val="FootnoteReference"/>
          <w:rFonts w:ascii="Arial" w:hAnsi="Arial" w:cs="Arial"/>
          <w:i/>
          <w:szCs w:val="24"/>
          <w:lang w:val="en-GB"/>
        </w:rPr>
        <w:footnoteReference w:id="599"/>
      </w:r>
      <w:r w:rsidRPr="00181CF2">
        <w:rPr>
          <w:rFonts w:ascii="Arial" w:hAnsi="Arial" w:cs="Arial"/>
          <w:i/>
          <w:szCs w:val="24"/>
          <w:lang w:val="en-GB"/>
        </w:rPr>
        <w:t>; Murad</w:t>
      </w:r>
      <w:r w:rsidRPr="00C57CE1">
        <w:rPr>
          <w:rFonts w:ascii="Arial" w:hAnsi="Arial" w:cs="Arial"/>
          <w:i/>
          <w:szCs w:val="24"/>
          <w:lang w:val="en-GB"/>
        </w:rPr>
        <w:t xml:space="preserve"> et al 2010</w:t>
      </w:r>
      <w:r w:rsidRPr="00181CF2">
        <w:rPr>
          <w:rStyle w:val="FootnoteReference"/>
          <w:rFonts w:ascii="Arial" w:hAnsi="Arial" w:cs="Arial"/>
          <w:i/>
          <w:szCs w:val="24"/>
          <w:lang w:val="en-GB"/>
        </w:rPr>
        <w:footnoteReference w:id="600"/>
      </w:r>
      <w:r w:rsidRPr="00181CF2">
        <w:rPr>
          <w:rFonts w:ascii="Arial" w:hAnsi="Arial" w:cs="Arial"/>
          <w:i/>
          <w:szCs w:val="24"/>
          <w:lang w:val="en-GB"/>
        </w:rPr>
        <w:t>].  Current practices are only based on expert opinion without support of large-scale population studies [Hembree et al 2009</w:t>
      </w:r>
      <w:r w:rsidRPr="00181CF2">
        <w:rPr>
          <w:rStyle w:val="FootnoteReference"/>
          <w:rFonts w:ascii="Arial" w:hAnsi="Arial" w:cs="Arial"/>
          <w:i/>
          <w:szCs w:val="24"/>
          <w:lang w:val="en-GB"/>
        </w:rPr>
        <w:footnoteReference w:id="601"/>
      </w:r>
      <w:r w:rsidRPr="00181CF2">
        <w:rPr>
          <w:rFonts w:ascii="Arial" w:hAnsi="Arial" w:cs="Arial"/>
          <w:i/>
          <w:szCs w:val="24"/>
          <w:lang w:val="en-GB"/>
        </w:rPr>
        <w:t>].  Unresolved questions are whether there is an age at which cross-sex hormonal treatment should be discontinued [Goor</w:t>
      </w:r>
      <w:r w:rsidRPr="00C57CE1">
        <w:rPr>
          <w:rFonts w:ascii="Arial" w:hAnsi="Arial" w:cs="Arial"/>
          <w:i/>
          <w:szCs w:val="24"/>
          <w:lang w:val="en-GB"/>
        </w:rPr>
        <w:t>en et al 2008</w:t>
      </w:r>
      <w:r w:rsidRPr="00181CF2">
        <w:rPr>
          <w:rStyle w:val="FootnoteReference"/>
          <w:rFonts w:ascii="Arial" w:hAnsi="Arial" w:cs="Arial"/>
          <w:i/>
          <w:szCs w:val="24"/>
          <w:lang w:val="en-GB"/>
        </w:rPr>
        <w:footnoteReference w:id="602"/>
      </w:r>
      <w:r w:rsidRPr="00181CF2">
        <w:rPr>
          <w:rFonts w:ascii="Arial" w:hAnsi="Arial" w:cs="Arial"/>
          <w:i/>
          <w:szCs w:val="24"/>
          <w:lang w:val="en-GB"/>
        </w:rPr>
        <w:t>] and whether hormone replacement should be avoided in older subjects.”</w:t>
      </w:r>
    </w:p>
    <w:p w:rsidR="00E773F6" w:rsidRPr="00C57CE1" w:rsidRDefault="00E773F6" w:rsidP="00E773F6">
      <w:pPr>
        <w:snapToGrid w:val="0"/>
        <w:rPr>
          <w:rFonts w:ascii="Arial" w:hAnsi="Arial" w:cs="Arial"/>
          <w:szCs w:val="24"/>
          <w:lang w:val="en-GB"/>
        </w:rPr>
      </w:pPr>
    </w:p>
    <w:p w:rsidR="00E773F6" w:rsidRPr="00181CF2" w:rsidRDefault="001B1158"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28108F">
        <w:rPr>
          <w:rFonts w:ascii="Arial" w:hAnsi="Arial" w:cs="Arial"/>
          <w:color w:val="000000" w:themeColor="text1"/>
          <w:szCs w:val="24"/>
          <w:lang w:val="en-GB"/>
        </w:rPr>
        <w:t xml:space="preserve">Similar views </w:t>
      </w:r>
      <w:r w:rsidR="005D49DF" w:rsidRPr="0028108F">
        <w:rPr>
          <w:rFonts w:ascii="Arial" w:hAnsi="Arial" w:cs="Arial"/>
          <w:color w:val="000000" w:themeColor="text1"/>
          <w:szCs w:val="24"/>
          <w:lang w:val="en-GB"/>
        </w:rPr>
        <w:t>have been expressed</w:t>
      </w:r>
      <w:r w:rsidRPr="0028108F">
        <w:rPr>
          <w:rFonts w:ascii="Arial" w:hAnsi="Arial" w:cs="Arial"/>
          <w:color w:val="000000" w:themeColor="text1"/>
          <w:szCs w:val="24"/>
          <w:lang w:val="en-GB"/>
        </w:rPr>
        <w:t xml:space="preserve"> by Dr </w:t>
      </w:r>
      <w:r w:rsidR="00E773F6" w:rsidRPr="0028108F">
        <w:rPr>
          <w:rFonts w:ascii="Arial" w:hAnsi="Arial" w:cs="Arial"/>
          <w:color w:val="000000" w:themeColor="text1"/>
          <w:szCs w:val="24"/>
          <w:lang w:val="en-GB"/>
        </w:rPr>
        <w:t>Madeline Deutsch</w:t>
      </w:r>
      <w:r w:rsidRPr="0028108F">
        <w:rPr>
          <w:rFonts w:ascii="Arial" w:hAnsi="Arial" w:cs="Arial"/>
          <w:color w:val="000000" w:themeColor="text1"/>
          <w:szCs w:val="24"/>
          <w:lang w:val="en-GB"/>
        </w:rPr>
        <w:t>, Associate Professor of Clinical Family &amp; Community Medicine</w:t>
      </w:r>
      <w:r w:rsidRPr="00181CF2">
        <w:rPr>
          <w:rFonts w:ascii="Arial" w:hAnsi="Arial" w:cs="Arial"/>
          <w:color w:val="000000" w:themeColor="text1"/>
          <w:szCs w:val="24"/>
          <w:lang w:val="en-GB"/>
        </w:rPr>
        <w:t xml:space="preserve">, </w:t>
      </w:r>
      <w:r w:rsidRPr="00C57CE1">
        <w:rPr>
          <w:rFonts w:ascii="Arial" w:hAnsi="Arial" w:cs="Arial"/>
          <w:color w:val="000000" w:themeColor="text1"/>
          <w:szCs w:val="24"/>
          <w:lang w:val="en-GB"/>
        </w:rPr>
        <w:t>U</w:t>
      </w:r>
      <w:r w:rsidRPr="0028108F">
        <w:rPr>
          <w:rFonts w:ascii="Arial" w:hAnsi="Arial" w:cs="Arial"/>
          <w:color w:val="000000" w:themeColor="text1"/>
          <w:szCs w:val="24"/>
          <w:lang w:val="en-GB"/>
        </w:rPr>
        <w:t>niversity of California San Francisco</w:t>
      </w:r>
      <w:r w:rsidR="005D49DF" w:rsidRPr="0028108F">
        <w:rPr>
          <w:rFonts w:ascii="Arial" w:hAnsi="Arial" w:cs="Arial"/>
          <w:color w:val="000000" w:themeColor="text1"/>
          <w:szCs w:val="24"/>
          <w:lang w:val="en-GB"/>
        </w:rPr>
        <w:t>:</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u w:val="single"/>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“Transgender individuals seeking gender-affirming surgery must fulfil certain criteria for the particular procedure sought, as described in the WPATH Standards </w:t>
      </w:r>
      <w:r w:rsidRPr="0028108F">
        <w:rPr>
          <w:rFonts w:ascii="Arial" w:hAnsi="Arial" w:cs="Arial"/>
          <w:i/>
          <w:szCs w:val="24"/>
          <w:lang w:val="en-GB"/>
        </w:rPr>
        <w:t>for</w:t>
      </w:r>
      <w:r w:rsidRPr="0028108F">
        <w:rPr>
          <w:rFonts w:ascii="Arial" w:hAnsi="Arial" w:cs="Arial"/>
          <w:i/>
          <w:color w:val="000000" w:themeColor="text1"/>
          <w:szCs w:val="24"/>
          <w:lang w:val="en-GB"/>
        </w:rPr>
        <w:t xml:space="preserve"> the Care of Transgender, Transsexual, and Gender Nonconforming People, Seventh Version (SOCv7).  These criteria focus on issues of diagnosis and capacity to provide informed consent.  For example, the SOCv7 criteria for genital reconstruction procedures include the presence of persistent and well documented gender dysphoria, capacity to make an informed decision and consent to treatment, age of majority, and reasonably good control of any coexisting significant medical or mental health conditions. …</w:t>
      </w:r>
      <w:r w:rsidR="001B6300"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While these recommendations have face validity and have formed the basis of gender-affirming preoperative evaluations for decades, it is important to note that they are not based on evidence.  No studies have been conducted to test the current criteria’s impact on postoperative satisfaction, outcomes, or complications.  No citations were provided to support the initial 1979 recommendations, which contain the same core recommendations as are found in SOCv7.</w:t>
      </w:r>
      <w:r w:rsidRPr="00181CF2">
        <w:rPr>
          <w:rStyle w:val="FootnoteReference"/>
          <w:rFonts w:ascii="Arial" w:hAnsi="Arial" w:cs="Arial"/>
          <w:i/>
          <w:color w:val="000000" w:themeColor="text1"/>
          <w:szCs w:val="24"/>
          <w:lang w:val="en-GB"/>
        </w:rPr>
        <w:footnoteReference w:id="603"/>
      </w:r>
      <w:r w:rsidRPr="00181CF2">
        <w:rPr>
          <w:rFonts w:ascii="Arial" w:hAnsi="Arial" w:cs="Arial"/>
          <w:i/>
          <w:color w:val="000000" w:themeColor="text1"/>
          <w:szCs w:val="24"/>
          <w:lang w:val="en-GB"/>
        </w:rPr>
        <w:t xml:space="preserve">… In reality these recommendations were assembled based on the anecdotal experiences of pioneers in the </w:t>
      </w:r>
      <w:r w:rsidRPr="00C57CE1">
        <w:rPr>
          <w:rFonts w:ascii="Arial" w:hAnsi="Arial" w:cs="Arial"/>
          <w:i/>
          <w:color w:val="000000" w:themeColor="text1"/>
          <w:szCs w:val="24"/>
          <w:lang w:val="en-GB"/>
        </w:rPr>
        <w:t>field, who developed their practices based on their empiric experience and clinical judgment.  Lost in this mental health model is a holistic assessment of an individual’s overall state of psychosocial functioning, capacity, and support system.”</w:t>
      </w:r>
      <w:r w:rsidR="009F1074" w:rsidRPr="0028108F">
        <w:rPr>
          <w:rStyle w:val="FootnoteReference"/>
          <w:rFonts w:ascii="Arial" w:hAnsi="Arial" w:cs="Arial"/>
          <w:color w:val="000000" w:themeColor="text1"/>
          <w:szCs w:val="24"/>
          <w:lang w:val="en-GB"/>
        </w:rPr>
        <w:t xml:space="preserve"> </w:t>
      </w:r>
      <w:r w:rsidR="009F1074" w:rsidRPr="00181CF2">
        <w:rPr>
          <w:rStyle w:val="FootnoteReference"/>
          <w:rFonts w:ascii="Arial" w:hAnsi="Arial" w:cs="Arial"/>
          <w:color w:val="000000" w:themeColor="text1"/>
          <w:szCs w:val="24"/>
          <w:lang w:val="en-GB"/>
        </w:rPr>
        <w:footnoteReference w:id="604"/>
      </w:r>
    </w:p>
    <w:p w:rsidR="00E773F6" w:rsidRPr="00C57CE1" w:rsidRDefault="00E773F6" w:rsidP="00E773F6">
      <w:pPr>
        <w:tabs>
          <w:tab w:val="left" w:pos="851"/>
        </w:tabs>
        <w:adjustRightInd w:val="0"/>
        <w:snapToGrid w:val="0"/>
        <w:jc w:val="both"/>
        <w:rPr>
          <w:rFonts w:ascii="Arial" w:hAnsi="Arial" w:cs="Arial"/>
          <w:i/>
          <w:color w:val="000000" w:themeColor="text1"/>
          <w:szCs w:val="24"/>
          <w:u w:val="single"/>
          <w:lang w:val="en-GB"/>
        </w:rPr>
      </w:pP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Argument (4): SRS is not a medical necessity for many transgender persons</w:t>
      </w:r>
    </w:p>
    <w:p w:rsidR="00E773F6" w:rsidRPr="0028108F" w:rsidRDefault="00E773F6" w:rsidP="00E773F6">
      <w:pPr>
        <w:tabs>
          <w:tab w:val="left" w:pos="851"/>
        </w:tabs>
        <w:adjustRightInd w:val="0"/>
        <w:snapToGrid w:val="0"/>
        <w:jc w:val="both"/>
        <w:rPr>
          <w:rFonts w:ascii="Arial" w:hAnsi="Arial" w:cs="Arial"/>
          <w:color w:val="0000FF"/>
          <w:szCs w:val="24"/>
          <w:lang w:val="en-GB"/>
        </w:rPr>
      </w:pPr>
    </w:p>
    <w:p w:rsidR="00E773F6" w:rsidRPr="00C57CE1" w:rsidRDefault="00CD38BE"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eastAsiaTheme="majorEastAsia" w:hAnsi="Arial" w:cs="Arial"/>
          <w:szCs w:val="24"/>
          <w:lang w:val="en-GB"/>
        </w:rPr>
        <w:t>T</w:t>
      </w:r>
      <w:r w:rsidR="00E773F6" w:rsidRPr="0028108F">
        <w:rPr>
          <w:rFonts w:ascii="Arial" w:eastAsiaTheme="majorEastAsia" w:hAnsi="Arial" w:cs="Arial"/>
          <w:szCs w:val="24"/>
          <w:lang w:val="en-GB"/>
        </w:rPr>
        <w:t xml:space="preserve">hough some transgender people do wish to have SRS, </w:t>
      </w:r>
      <w:r w:rsidR="001B6300" w:rsidRPr="0028108F">
        <w:rPr>
          <w:rFonts w:ascii="Arial" w:eastAsiaTheme="majorEastAsia" w:hAnsi="Arial" w:cs="Arial"/>
          <w:szCs w:val="24"/>
          <w:lang w:val="en-GB"/>
        </w:rPr>
        <w:t xml:space="preserve">there is an argument </w:t>
      </w:r>
      <w:r w:rsidRPr="0028108F">
        <w:rPr>
          <w:rFonts w:ascii="Arial" w:eastAsiaTheme="majorEastAsia" w:hAnsi="Arial" w:cs="Arial"/>
          <w:szCs w:val="24"/>
          <w:lang w:val="en-GB"/>
        </w:rPr>
        <w:t xml:space="preserve">that </w:t>
      </w:r>
      <w:r w:rsidR="00E773F6" w:rsidRPr="0028108F">
        <w:rPr>
          <w:rFonts w:ascii="Arial" w:eastAsiaTheme="majorEastAsia" w:hAnsi="Arial" w:cs="Arial"/>
          <w:szCs w:val="24"/>
          <w:lang w:val="en-GB"/>
        </w:rPr>
        <w:t>for many it is not necessary</w:t>
      </w:r>
      <w:r w:rsidRPr="0028108F">
        <w:rPr>
          <w:rFonts w:ascii="Arial" w:eastAsiaTheme="majorEastAsia" w:hAnsi="Arial" w:cs="Arial"/>
          <w:szCs w:val="24"/>
          <w:lang w:val="en-GB"/>
        </w:rPr>
        <w:t xml:space="preserve"> or</w:t>
      </w:r>
      <w:r w:rsidR="00E773F6" w:rsidRPr="0028108F">
        <w:rPr>
          <w:rFonts w:ascii="Arial" w:eastAsiaTheme="majorEastAsia" w:hAnsi="Arial" w:cs="Arial"/>
          <w:szCs w:val="24"/>
          <w:lang w:val="en-GB"/>
        </w:rPr>
        <w:t xml:space="preserve"> desirable, or even possible.  Th</w:t>
      </w:r>
      <w:r w:rsidRPr="0028108F">
        <w:rPr>
          <w:rFonts w:ascii="Arial" w:eastAsiaTheme="majorEastAsia" w:hAnsi="Arial" w:cs="Arial"/>
          <w:szCs w:val="24"/>
          <w:lang w:val="en-GB"/>
        </w:rPr>
        <w:t>is is</w:t>
      </w:r>
      <w:r w:rsidR="00E773F6" w:rsidRPr="0028108F">
        <w:rPr>
          <w:rFonts w:ascii="Arial" w:eastAsiaTheme="majorEastAsia" w:hAnsi="Arial" w:cs="Arial"/>
          <w:szCs w:val="24"/>
          <w:lang w:val="en-GB"/>
        </w:rPr>
        <w:t xml:space="preserve"> why m</w:t>
      </w:r>
      <w:r w:rsidR="00E773F6" w:rsidRPr="0028108F">
        <w:rPr>
          <w:rFonts w:ascii="Arial" w:hAnsi="Arial" w:cs="Arial"/>
          <w:color w:val="000000" w:themeColor="text1"/>
          <w:szCs w:val="24"/>
          <w:lang w:val="en-GB"/>
        </w:rPr>
        <w:t xml:space="preserve">edical practices </w:t>
      </w:r>
      <w:r w:rsidRPr="0028108F">
        <w:rPr>
          <w:rFonts w:ascii="Arial" w:hAnsi="Arial" w:cs="Arial"/>
          <w:color w:val="000000" w:themeColor="text1"/>
          <w:szCs w:val="24"/>
          <w:lang w:val="en-GB"/>
        </w:rPr>
        <w:t>such as those advocated by</w:t>
      </w:r>
      <w:r w:rsidR="00E773F6" w:rsidRPr="0028108F">
        <w:rPr>
          <w:rFonts w:ascii="Arial" w:hAnsi="Arial" w:cs="Arial"/>
          <w:color w:val="000000" w:themeColor="text1"/>
          <w:szCs w:val="24"/>
          <w:lang w:val="en-GB"/>
        </w:rPr>
        <w:t xml:space="preserve"> </w:t>
      </w:r>
      <w:r w:rsidR="00625D62" w:rsidRPr="0028108F">
        <w:rPr>
          <w:rFonts w:ascii="Arial" w:hAnsi="Arial" w:cs="Arial"/>
          <w:color w:val="000000" w:themeColor="text1"/>
          <w:szCs w:val="24"/>
          <w:lang w:val="en-GB"/>
        </w:rPr>
        <w:t xml:space="preserve">the </w:t>
      </w:r>
      <w:r w:rsidR="00E773F6" w:rsidRPr="0028108F">
        <w:rPr>
          <w:rFonts w:ascii="Arial" w:hAnsi="Arial" w:cs="Arial"/>
          <w:color w:val="000000" w:themeColor="text1"/>
          <w:szCs w:val="24"/>
          <w:lang w:val="en-GB"/>
        </w:rPr>
        <w:t>WPATH and the American Psychological Association presently do not mandate SRS, but instead regard it as one treatment option among many, to be considered within each patient’s individual context, and have disavowed conditioning legal gender identity recognition upon SRS.</w:t>
      </w:r>
      <w:r w:rsidR="00E773F6" w:rsidRPr="00181CF2">
        <w:rPr>
          <w:rStyle w:val="FootnoteReference"/>
          <w:rFonts w:ascii="Arial" w:hAnsi="Arial" w:cs="Arial"/>
          <w:color w:val="000000" w:themeColor="text1"/>
          <w:szCs w:val="24"/>
          <w:lang w:val="en-GB"/>
        </w:rPr>
        <w:footnoteReference w:id="605"/>
      </w:r>
      <w:r w:rsidR="00E773F6" w:rsidRPr="00181CF2">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u w:val="single"/>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28108F">
        <w:rPr>
          <w:rFonts w:ascii="Arial" w:hAnsi="Arial" w:cs="Arial"/>
          <w:szCs w:val="24"/>
          <w:lang w:val="en-GB"/>
        </w:rPr>
        <w:t>It has been argued that transgender persons may have a variety of medical, personal and practical reasons for not seeking or being able to undergo SRS.  As observed by Lisa Mottet</w:t>
      </w:r>
      <w:r w:rsidR="00062BC6" w:rsidRPr="0028108F">
        <w:rPr>
          <w:rFonts w:ascii="Arial" w:hAnsi="Arial" w:cs="Arial"/>
          <w:szCs w:val="24"/>
          <w:lang w:val="en-GB"/>
        </w:rPr>
        <w:t>,</w:t>
      </w:r>
      <w:r w:rsidR="00062BC6" w:rsidRPr="00181CF2">
        <w:rPr>
          <w:rFonts w:ascii="Arial" w:hAnsi="Arial" w:cs="Arial"/>
          <w:color w:val="000000" w:themeColor="text1"/>
          <w:szCs w:val="24"/>
          <w:lang w:val="en-GB"/>
        </w:rPr>
        <w:t xml:space="preserve"> </w:t>
      </w:r>
      <w:r w:rsidRPr="00C57CE1">
        <w:rPr>
          <w:rFonts w:ascii="Arial" w:hAnsi="Arial" w:cs="Arial"/>
          <w:szCs w:val="24"/>
          <w:lang w:val="en-GB"/>
        </w:rPr>
        <w:t>the following are some common barriers and considerations:</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i/>
          <w:szCs w:val="24"/>
          <w:lang w:val="en-GB"/>
        </w:rPr>
      </w:pPr>
    </w:p>
    <w:p w:rsidR="00E773F6" w:rsidRPr="0028108F" w:rsidRDefault="00E773F6" w:rsidP="0028108F">
      <w:pPr>
        <w:pStyle w:val="ListParagraph"/>
        <w:tabs>
          <w:tab w:val="left" w:pos="1418"/>
        </w:tabs>
        <w:adjustRightInd w:val="0"/>
        <w:snapToGrid w:val="0"/>
        <w:ind w:leftChars="354" w:left="1416" w:rightChars="212" w:right="509" w:hangingChars="236" w:hanging="566"/>
        <w:jc w:val="both"/>
        <w:rPr>
          <w:rFonts w:ascii="Arial" w:hAnsi="Arial" w:cs="Arial"/>
          <w:i/>
          <w:szCs w:val="24"/>
          <w:lang w:val="en-GB"/>
        </w:rPr>
      </w:pPr>
      <w:r w:rsidRPr="0028108F">
        <w:rPr>
          <w:rFonts w:ascii="Arial" w:hAnsi="Arial" w:cs="Arial"/>
          <w:i/>
          <w:szCs w:val="24"/>
          <w:lang w:val="en-GB"/>
        </w:rPr>
        <w:t>“(1)</w:t>
      </w:r>
      <w:r w:rsidRPr="0028108F">
        <w:rPr>
          <w:rFonts w:ascii="Arial" w:hAnsi="Arial" w:cs="Arial"/>
          <w:i/>
          <w:szCs w:val="24"/>
          <w:lang w:val="en-GB"/>
        </w:rPr>
        <w:tab/>
        <w:t>Some individuals cannot afford the surgery they desire, especially given that a large majority of private and public health insurance plans do not currently cover sex reassignment surgeries.</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(2)</w:t>
      </w:r>
      <w:r w:rsidRPr="0028108F">
        <w:rPr>
          <w:rFonts w:ascii="Arial" w:hAnsi="Arial" w:cs="Arial"/>
          <w:i/>
          <w:szCs w:val="24"/>
          <w:lang w:val="en-GB"/>
        </w:rPr>
        <w:tab/>
        <w:t>Many people have medical conditions that make surgery risky or contraindicated.</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(3)</w:t>
      </w:r>
      <w:r w:rsidRPr="0028108F">
        <w:rPr>
          <w:rFonts w:ascii="Arial" w:hAnsi="Arial" w:cs="Arial"/>
          <w:i/>
          <w:szCs w:val="24"/>
          <w:lang w:val="en-GB"/>
        </w:rPr>
        <w:tab/>
        <w:t>Many people who want and can afford surgery do not pursue it because they fear complications.</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(4)</w:t>
      </w:r>
      <w:r w:rsidRPr="0028108F">
        <w:rPr>
          <w:rFonts w:ascii="Arial" w:hAnsi="Arial" w:cs="Arial"/>
          <w:i/>
          <w:szCs w:val="24"/>
          <w:lang w:val="en-GB"/>
        </w:rPr>
        <w:tab/>
        <w:t>Many individuals are unsure whether the surgery will provide the desired physical or aesthetic result, especially given individual variation and the chance of achieving an optimal result.</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(5)</w:t>
      </w:r>
      <w:r w:rsidRPr="0028108F">
        <w:rPr>
          <w:rFonts w:ascii="Arial" w:hAnsi="Arial" w:cs="Arial"/>
          <w:i/>
          <w:szCs w:val="24"/>
          <w:lang w:val="en-GB"/>
        </w:rPr>
        <w:tab/>
        <w:t>Some are prevented by practical considerations involved in undergoing major surgery, including having difficulty in taking several weeks off from work or school, having care-giving responsibilities for family members, or lacking caregivers for themselves following surgery.</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(6)</w:t>
      </w:r>
      <w:r w:rsidRPr="0028108F">
        <w:rPr>
          <w:rFonts w:ascii="Arial" w:hAnsi="Arial" w:cs="Arial"/>
          <w:i/>
          <w:szCs w:val="24"/>
          <w:lang w:val="en-GB"/>
        </w:rPr>
        <w:tab/>
        <w:t>Some hold sincere religious beliefs, or personal beliefs, against surgical body modification.</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(7)</w:t>
      </w:r>
      <w:r w:rsidRPr="0028108F">
        <w:rPr>
          <w:rFonts w:ascii="Arial" w:hAnsi="Arial" w:cs="Arial"/>
          <w:i/>
          <w:szCs w:val="24"/>
          <w:lang w:val="en-GB"/>
        </w:rPr>
        <w:tab/>
        <w:t>Some have family members or other loved ones who would be upset if they had the surgery, and thus forgo surgeries to maintain these relationships.</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(8)</w:t>
      </w:r>
      <w:r w:rsidRPr="0028108F">
        <w:rPr>
          <w:rFonts w:ascii="Arial" w:hAnsi="Arial" w:cs="Arial"/>
          <w:i/>
          <w:szCs w:val="24"/>
          <w:lang w:val="en-GB"/>
        </w:rPr>
        <w:tab/>
        <w:t>For some, maintaining reproductive capacity is important and many surgeries eliminate this possibility.</w:t>
      </w:r>
    </w:p>
    <w:p w:rsidR="00E773F6" w:rsidRPr="0028108F"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i/>
          <w:szCs w:val="24"/>
          <w:lang w:val="en-GB"/>
        </w:rPr>
      </w:pPr>
      <w:r w:rsidRPr="0028108F">
        <w:rPr>
          <w:rFonts w:ascii="Arial" w:hAnsi="Arial" w:cs="Arial"/>
          <w:i/>
          <w:szCs w:val="24"/>
          <w:lang w:val="en-GB"/>
        </w:rPr>
        <w:t>(9)</w:t>
      </w:r>
      <w:r w:rsidRPr="0028108F">
        <w:rPr>
          <w:rFonts w:ascii="Arial" w:hAnsi="Arial" w:cs="Arial"/>
          <w:i/>
          <w:szCs w:val="24"/>
          <w:lang w:val="en-GB"/>
        </w:rPr>
        <w:tab/>
        <w:t>Some are denied access to needed approval or diagnosis ‘letters’ from psychologists when their life experiences do not neatly fit the ‘transsexual’ pattern, when they do not match closely enough the stereotypes of man or woman, or when they are not sufficiently ‘clinically distressed’.</w:t>
      </w:r>
    </w:p>
    <w:p w:rsidR="00E773F6" w:rsidRPr="00181CF2" w:rsidRDefault="00E773F6" w:rsidP="00E773F6">
      <w:pPr>
        <w:pStyle w:val="ListParagraph"/>
        <w:tabs>
          <w:tab w:val="left" w:pos="1418"/>
          <w:tab w:val="left" w:pos="2196"/>
        </w:tabs>
        <w:autoSpaceDE w:val="0"/>
        <w:autoSpaceDN w:val="0"/>
        <w:adjustRightInd w:val="0"/>
        <w:snapToGrid w:val="0"/>
        <w:ind w:leftChars="0" w:left="1418" w:rightChars="271" w:right="650" w:hanging="567"/>
        <w:jc w:val="both"/>
        <w:rPr>
          <w:rFonts w:ascii="Arial" w:hAnsi="Arial" w:cs="Arial"/>
          <w:szCs w:val="24"/>
          <w:lang w:val="en-GB"/>
        </w:rPr>
      </w:pPr>
      <w:r w:rsidRPr="0028108F">
        <w:rPr>
          <w:rFonts w:ascii="Arial" w:hAnsi="Arial" w:cs="Arial"/>
          <w:i/>
          <w:szCs w:val="24"/>
          <w:lang w:val="en-GB"/>
        </w:rPr>
        <w:t>(10)</w:t>
      </w:r>
      <w:r w:rsidRPr="0028108F">
        <w:rPr>
          <w:rFonts w:ascii="Arial" w:hAnsi="Arial" w:cs="Arial"/>
          <w:i/>
          <w:szCs w:val="24"/>
          <w:lang w:val="en-GB"/>
        </w:rPr>
        <w:tab/>
        <w:t>A significant percentage of transgender people have determined that surgery is not necessary for them to be comfortable living in their new gender.  Many transgender people determine that the alternations they make to their gendered appearance, names, and pronouns give them the well-being they need without further medical treatment.</w:t>
      </w:r>
      <w:r w:rsidRPr="0028108F">
        <w:rPr>
          <w:rFonts w:ascii="Arial" w:hAnsi="Arial" w:cs="Arial"/>
          <w:szCs w:val="24"/>
          <w:lang w:val="en-GB"/>
        </w:rPr>
        <w:t>”</w:t>
      </w:r>
      <w:r w:rsidRPr="00181CF2">
        <w:rPr>
          <w:rStyle w:val="FootnoteReference"/>
          <w:rFonts w:ascii="Arial" w:hAnsi="Arial" w:cs="Arial"/>
          <w:szCs w:val="24"/>
          <w:lang w:val="en-GB"/>
        </w:rPr>
        <w:footnoteReference w:id="606"/>
      </w:r>
    </w:p>
    <w:p w:rsidR="00E773F6" w:rsidRPr="00C57CE1" w:rsidRDefault="00E773F6" w:rsidP="00E773F6">
      <w:pPr>
        <w:pStyle w:val="ListParagraph"/>
        <w:tabs>
          <w:tab w:val="left" w:pos="1418"/>
          <w:tab w:val="left" w:pos="2196"/>
        </w:tabs>
        <w:autoSpaceDE w:val="0"/>
        <w:autoSpaceDN w:val="0"/>
        <w:adjustRightInd w:val="0"/>
        <w:snapToGrid w:val="0"/>
        <w:ind w:leftChars="0" w:left="1920" w:hanging="1920"/>
        <w:jc w:val="both"/>
        <w:rPr>
          <w:rFonts w:ascii="Arial" w:hAnsi="Arial" w:cs="Arial"/>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28108F">
        <w:rPr>
          <w:rFonts w:ascii="Arial" w:hAnsi="Arial" w:cs="Arial"/>
          <w:szCs w:val="24"/>
          <w:lang w:val="en-GB"/>
        </w:rPr>
        <w:t xml:space="preserve">In its commentary on the </w:t>
      </w:r>
      <w:r w:rsidR="007459D2" w:rsidRPr="0028108F">
        <w:rPr>
          <w:rFonts w:ascii="Arial" w:hAnsi="Arial" w:cs="Arial"/>
          <w:szCs w:val="24"/>
          <w:lang w:val="en-GB"/>
        </w:rPr>
        <w:t xml:space="preserve">then </w:t>
      </w:r>
      <w:r w:rsidRPr="0028108F">
        <w:rPr>
          <w:rFonts w:ascii="Arial" w:hAnsi="Arial" w:cs="Arial"/>
          <w:szCs w:val="24"/>
          <w:lang w:val="en-GB"/>
        </w:rPr>
        <w:t>Draft Gender Recognition Bill 2003</w:t>
      </w:r>
      <w:r w:rsidR="00062BC6" w:rsidRPr="0028108F">
        <w:rPr>
          <w:rFonts w:ascii="Arial" w:hAnsi="Arial" w:cs="Arial"/>
          <w:szCs w:val="24"/>
          <w:lang w:val="en-GB"/>
        </w:rPr>
        <w:t xml:space="preserve"> (UK)</w:t>
      </w:r>
      <w:r w:rsidRPr="0028108F">
        <w:rPr>
          <w:rFonts w:ascii="Arial" w:hAnsi="Arial" w:cs="Arial"/>
          <w:szCs w:val="24"/>
          <w:lang w:val="en-GB"/>
        </w:rPr>
        <w:t>, the Joint Committee on Human Rights noted that forced medical intervention inevitably discriminates because – for medical or financial reasons – some applicants will never be able to access the required procedures.</w:t>
      </w:r>
      <w:r w:rsidRPr="00181CF2">
        <w:rPr>
          <w:rStyle w:val="FootnoteReference"/>
          <w:rFonts w:ascii="Arial" w:hAnsi="Arial" w:cs="Arial"/>
          <w:szCs w:val="24"/>
          <w:lang w:val="en-GB"/>
        </w:rPr>
        <w:footnoteReference w:id="607"/>
      </w:r>
      <w:r w:rsidRPr="00181CF2">
        <w:rPr>
          <w:rFonts w:ascii="Arial" w:hAnsi="Arial" w:cs="Arial"/>
          <w:szCs w:val="24"/>
          <w:lang w:val="en-GB"/>
        </w:rPr>
        <w:t xml:space="preserve">  In rejecting surgery and sterilisation within the </w:t>
      </w:r>
      <w:r w:rsidR="00585F17" w:rsidRPr="00C57CE1">
        <w:rPr>
          <w:rFonts w:ascii="Arial" w:hAnsi="Arial" w:cs="Arial"/>
          <w:szCs w:val="24"/>
          <w:lang w:val="en-GB"/>
        </w:rPr>
        <w:t>UK GRA</w:t>
      </w:r>
      <w:r w:rsidRPr="0028108F">
        <w:rPr>
          <w:rFonts w:ascii="Arial" w:hAnsi="Arial" w:cs="Arial"/>
          <w:szCs w:val="24"/>
          <w:lang w:val="en-GB"/>
        </w:rPr>
        <w:t>, Parliament affirmed that gender recognition should be subject only to the applicant taking “</w:t>
      </w:r>
      <w:r w:rsidRPr="0028108F">
        <w:rPr>
          <w:rFonts w:ascii="Arial" w:hAnsi="Arial" w:cs="Arial"/>
          <w:i/>
          <w:szCs w:val="24"/>
          <w:lang w:val="en-GB"/>
        </w:rPr>
        <w:t>decisive steps to live fully and permanently in their acquired gender</w:t>
      </w:r>
      <w:r w:rsidRPr="0028108F">
        <w:rPr>
          <w:rFonts w:ascii="Arial" w:hAnsi="Arial" w:cs="Arial"/>
          <w:szCs w:val="24"/>
          <w:lang w:val="en-GB"/>
        </w:rPr>
        <w:t>”</w:t>
      </w:r>
      <w:r w:rsidR="007459D2" w:rsidRPr="0028108F">
        <w:rPr>
          <w:rFonts w:ascii="Arial" w:hAnsi="Arial" w:cs="Arial"/>
          <w:szCs w:val="24"/>
          <w:lang w:val="en-GB"/>
        </w:rPr>
        <w:t>,</w:t>
      </w:r>
      <w:r w:rsidRPr="0028108F">
        <w:rPr>
          <w:rFonts w:ascii="Arial" w:hAnsi="Arial" w:cs="Arial"/>
          <w:szCs w:val="24"/>
          <w:lang w:val="en-GB"/>
        </w:rPr>
        <w:t xml:space="preserve"> </w:t>
      </w:r>
      <w:r w:rsidR="007459D2" w:rsidRPr="0028108F">
        <w:rPr>
          <w:rFonts w:ascii="Arial" w:hAnsi="Arial" w:cs="Arial"/>
          <w:szCs w:val="24"/>
          <w:lang w:val="en-GB"/>
        </w:rPr>
        <w:t>and i</w:t>
      </w:r>
      <w:r w:rsidRPr="0028108F">
        <w:rPr>
          <w:rFonts w:ascii="Arial" w:hAnsi="Arial" w:cs="Arial"/>
          <w:szCs w:val="24"/>
          <w:lang w:val="en-GB"/>
        </w:rPr>
        <w:t>t should not be reserved to those who “</w:t>
      </w:r>
      <w:r w:rsidRPr="0028108F">
        <w:rPr>
          <w:rFonts w:ascii="Arial" w:hAnsi="Arial" w:cs="Arial"/>
          <w:i/>
          <w:szCs w:val="24"/>
          <w:lang w:val="en-GB"/>
        </w:rPr>
        <w:t>look the part</w:t>
      </w:r>
      <w:r w:rsidRPr="0028108F">
        <w:rPr>
          <w:rFonts w:ascii="Arial" w:hAnsi="Arial" w:cs="Arial"/>
          <w:szCs w:val="24"/>
          <w:lang w:val="en-GB"/>
        </w:rPr>
        <w:t>.”</w:t>
      </w:r>
      <w:r w:rsidRPr="00181CF2">
        <w:rPr>
          <w:rStyle w:val="FootnoteReference"/>
          <w:rFonts w:ascii="Arial" w:hAnsi="Arial" w:cs="Arial"/>
          <w:szCs w:val="24"/>
          <w:lang w:val="en-GB"/>
        </w:rPr>
        <w:footnoteReference w:id="608"/>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b/>
          <w:color w:val="000000" w:themeColor="text1"/>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hAnsi="Arial" w:cs="Arial"/>
          <w:color w:val="000000" w:themeColor="text1"/>
          <w:szCs w:val="24"/>
          <w:lang w:val="en-GB"/>
        </w:rPr>
        <w:t>Notably, in the opinion of Hon Michael Kirby</w:t>
      </w:r>
      <w:r w:rsidR="00CD487E" w:rsidRPr="0028108F">
        <w:rPr>
          <w:rFonts w:ascii="Arial" w:hAnsi="Arial" w:cs="Arial"/>
          <w:color w:val="000000" w:themeColor="text1"/>
          <w:szCs w:val="24"/>
          <w:lang w:val="en-GB"/>
        </w:rPr>
        <w:t>, former Justice of the High Court of Australia</w:t>
      </w:r>
      <w:r w:rsidRPr="0028108F">
        <w:rPr>
          <w:rFonts w:ascii="Arial" w:hAnsi="Arial" w:cs="Arial"/>
          <w:color w:val="000000" w:themeColor="text1"/>
          <w:szCs w:val="24"/>
          <w:lang w:val="en-GB"/>
        </w:rPr>
        <w:t>:</w:t>
      </w:r>
    </w:p>
    <w:p w:rsidR="00E773F6" w:rsidRPr="0028108F"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“The </w:t>
      </w:r>
      <w:r w:rsidRPr="0028108F">
        <w:rPr>
          <w:rFonts w:ascii="Arial" w:hAnsi="Arial" w:cs="Arial"/>
          <w:i/>
          <w:szCs w:val="24"/>
          <w:lang w:val="en-GB"/>
        </w:rPr>
        <w:t>possibility</w:t>
      </w:r>
      <w:r w:rsidRPr="0028108F">
        <w:rPr>
          <w:rFonts w:ascii="Arial" w:hAnsi="Arial" w:cs="Arial"/>
          <w:i/>
          <w:color w:val="000000" w:themeColor="text1"/>
          <w:szCs w:val="24"/>
          <w:lang w:val="en-GB"/>
        </w:rPr>
        <w:t xml:space="preserve">, from at least the 1990s, of radical hormone therapy and gender reassignment surgery (GRS) has presented options which a [transgender person] might desire.  However, such options are not, on any account, to be embarked upon lightly:  </w:t>
      </w: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color w:val="000000" w:themeColor="text1"/>
          <w:szCs w:val="24"/>
          <w:lang w:val="en-GB"/>
        </w:rPr>
        <w:t>The surge</w:t>
      </w:r>
      <w:r w:rsidRPr="0028108F">
        <w:rPr>
          <w:rFonts w:ascii="Arial" w:hAnsi="Arial" w:cs="Arial"/>
          <w:i/>
          <w:szCs w:val="24"/>
          <w:lang w:val="en-GB"/>
        </w:rPr>
        <w:t>ry is highly invasive;</w:t>
      </w: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color w:val="000000" w:themeColor="text1"/>
          <w:szCs w:val="24"/>
          <w:lang w:val="en-GB"/>
        </w:rPr>
        <w:t>The</w:t>
      </w:r>
      <w:r w:rsidRPr="0028108F">
        <w:rPr>
          <w:rFonts w:ascii="Arial" w:hAnsi="Arial" w:cs="Arial"/>
          <w:i/>
          <w:szCs w:val="24"/>
          <w:lang w:val="en-GB"/>
        </w:rPr>
        <w:t xml:space="preserve"> surgery results in sterilisation, destroying the possibility of subsequent genetically related children;</w:t>
      </w: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 xml:space="preserve">The </w:t>
      </w:r>
      <w:r w:rsidRPr="0028108F">
        <w:rPr>
          <w:rFonts w:ascii="Arial" w:hAnsi="Arial" w:cs="Arial"/>
          <w:i/>
          <w:color w:val="000000" w:themeColor="text1"/>
          <w:szCs w:val="24"/>
          <w:lang w:val="en-GB"/>
        </w:rPr>
        <w:t>surgery</w:t>
      </w:r>
      <w:r w:rsidRPr="0028108F">
        <w:rPr>
          <w:rFonts w:ascii="Arial" w:hAnsi="Arial" w:cs="Arial"/>
          <w:i/>
          <w:szCs w:val="24"/>
          <w:lang w:val="en-GB"/>
        </w:rPr>
        <w:t xml:space="preserve"> requires lifelong treatment, care and maintenance;</w:t>
      </w: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A significant 1% risk of failure in the surgery is recorded; and</w:t>
      </w: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szCs w:val="24"/>
          <w:lang w:val="en-GB"/>
        </w:rPr>
        <w:t xml:space="preserve">Hormonal and non-invasive therapy has its own side effects and adverse </w:t>
      </w:r>
      <w:r w:rsidRPr="0028108F">
        <w:rPr>
          <w:rFonts w:ascii="Arial" w:hAnsi="Arial" w:cs="Arial"/>
          <w:i/>
          <w:color w:val="000000" w:themeColor="text1"/>
          <w:szCs w:val="24"/>
          <w:lang w:val="en-GB"/>
        </w:rPr>
        <w:t>consequences.”</w:t>
      </w:r>
      <w:r w:rsidRPr="00181CF2">
        <w:rPr>
          <w:rStyle w:val="FootnoteReference"/>
          <w:rFonts w:ascii="Arial" w:hAnsi="Arial" w:cs="Arial"/>
          <w:color w:val="000000" w:themeColor="text1"/>
          <w:szCs w:val="24"/>
          <w:lang w:val="en-GB"/>
        </w:rPr>
        <w:footnoteReference w:id="609"/>
      </w:r>
    </w:p>
    <w:p w:rsidR="00E773F6" w:rsidRPr="00C57CE1"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Given the above views, it has been </w:t>
      </w:r>
      <w:r w:rsidRPr="0028108F">
        <w:rPr>
          <w:rFonts w:ascii="Arial" w:hAnsi="Arial" w:cs="Arial"/>
          <w:szCs w:val="24"/>
          <w:lang w:val="en-GB"/>
        </w:rPr>
        <w:t>argued</w:t>
      </w:r>
      <w:r w:rsidRPr="0028108F">
        <w:rPr>
          <w:rFonts w:ascii="Arial" w:hAnsi="Arial" w:cs="Arial"/>
          <w:color w:val="000000" w:themeColor="text1"/>
          <w:szCs w:val="24"/>
          <w:lang w:val="en-GB"/>
        </w:rPr>
        <w:t xml:space="preserve"> that </w:t>
      </w:r>
      <w:r w:rsidR="00927B34" w:rsidRPr="0028108F">
        <w:rPr>
          <w:rFonts w:ascii="Arial" w:hAnsi="Arial" w:cs="Arial"/>
          <w:color w:val="000000" w:themeColor="text1"/>
          <w:szCs w:val="24"/>
          <w:lang w:val="en-GB"/>
        </w:rPr>
        <w:t xml:space="preserve">pre-conditioning legal gender recognition on SRS may </w:t>
      </w:r>
      <w:r w:rsidR="00400335">
        <w:rPr>
          <w:rFonts w:ascii="Arial" w:hAnsi="Arial" w:cs="Arial" w:hint="eastAsia"/>
          <w:color w:val="000000" w:themeColor="text1"/>
          <w:szCs w:val="24"/>
          <w:lang w:val="en-GB"/>
        </w:rPr>
        <w:t>cause</w:t>
      </w:r>
      <w:r w:rsidR="00927B34" w:rsidRPr="0028108F">
        <w:rPr>
          <w:rFonts w:ascii="Arial" w:hAnsi="Arial" w:cs="Arial"/>
          <w:color w:val="000000" w:themeColor="text1"/>
          <w:szCs w:val="24"/>
          <w:lang w:val="en-GB"/>
        </w:rPr>
        <w:t xml:space="preserve"> transgender people </w:t>
      </w:r>
      <w:r w:rsidR="00400335">
        <w:rPr>
          <w:rFonts w:ascii="Arial" w:hAnsi="Arial" w:cs="Arial" w:hint="eastAsia"/>
          <w:color w:val="000000" w:themeColor="text1"/>
          <w:szCs w:val="24"/>
          <w:lang w:val="en-GB"/>
        </w:rPr>
        <w:t xml:space="preserve">to </w:t>
      </w:r>
      <w:r w:rsidR="00927B34" w:rsidRPr="0028108F">
        <w:rPr>
          <w:rFonts w:ascii="Arial" w:hAnsi="Arial" w:cs="Arial"/>
          <w:color w:val="000000" w:themeColor="text1"/>
          <w:szCs w:val="24"/>
          <w:lang w:val="en-GB"/>
        </w:rPr>
        <w:t xml:space="preserve">be subject to harassment, due to their gender markers on their identification documents not matching their external appearance.  It </w:t>
      </w:r>
      <w:r w:rsidR="00400335">
        <w:rPr>
          <w:rFonts w:ascii="Arial" w:hAnsi="Arial" w:cs="Arial" w:hint="eastAsia"/>
          <w:color w:val="000000" w:themeColor="text1"/>
          <w:szCs w:val="24"/>
          <w:lang w:val="en-GB"/>
        </w:rPr>
        <w:t>may</w:t>
      </w:r>
      <w:r w:rsidR="00400335" w:rsidRPr="0028108F">
        <w:rPr>
          <w:rFonts w:ascii="Arial" w:hAnsi="Arial" w:cs="Arial"/>
          <w:color w:val="000000" w:themeColor="text1"/>
          <w:szCs w:val="24"/>
          <w:lang w:val="en-GB"/>
        </w:rPr>
        <w:t xml:space="preserve"> </w:t>
      </w:r>
      <w:r w:rsidR="00927B34" w:rsidRPr="0028108F">
        <w:rPr>
          <w:rFonts w:ascii="Arial" w:hAnsi="Arial" w:cs="Arial"/>
          <w:color w:val="000000" w:themeColor="text1"/>
          <w:szCs w:val="24"/>
          <w:lang w:val="en-GB"/>
        </w:rPr>
        <w:t xml:space="preserve">also be argued that </w:t>
      </w:r>
      <w:r w:rsidR="00B66438" w:rsidRPr="0028108F">
        <w:rPr>
          <w:rFonts w:ascii="Arial" w:hAnsi="Arial" w:cs="Arial"/>
          <w:color w:val="000000" w:themeColor="text1"/>
          <w:szCs w:val="24"/>
          <w:lang w:val="en-GB"/>
        </w:rPr>
        <w:t>a</w:t>
      </w:r>
      <w:r w:rsidRPr="0028108F">
        <w:rPr>
          <w:rFonts w:ascii="Arial" w:hAnsi="Arial" w:cs="Arial"/>
          <w:color w:val="000000" w:themeColor="text1"/>
          <w:szCs w:val="24"/>
          <w:lang w:val="en-GB"/>
        </w:rPr>
        <w:t xml:space="preserve"> gender recognition policy imposing </w:t>
      </w:r>
      <w:r w:rsidR="0050636E"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 xml:space="preserve">SRS prerequisite would interfere with medical autonomy rights by requiring transgender individuals who would prefer not to undergo SRS to decide between honouring that personal preference and undergoing unwanted surgery </w:t>
      </w:r>
      <w:r w:rsidR="00927B34" w:rsidRPr="0028108F">
        <w:rPr>
          <w:rFonts w:ascii="Arial" w:hAnsi="Arial" w:cs="Arial"/>
          <w:color w:val="000000" w:themeColor="text1"/>
          <w:szCs w:val="24"/>
          <w:lang w:val="en-GB"/>
        </w:rPr>
        <w:t xml:space="preserve">simply </w:t>
      </w:r>
      <w:r w:rsidRPr="0028108F">
        <w:rPr>
          <w:rFonts w:ascii="Arial" w:hAnsi="Arial" w:cs="Arial"/>
          <w:color w:val="000000" w:themeColor="text1"/>
          <w:szCs w:val="24"/>
          <w:lang w:val="en-GB"/>
        </w:rPr>
        <w:t>to achieve legal recognition of their gender status.</w:t>
      </w:r>
      <w:r w:rsidRPr="00181CF2">
        <w:rPr>
          <w:rStyle w:val="FootnoteReference"/>
          <w:rFonts w:ascii="Arial" w:hAnsi="Arial" w:cs="Arial"/>
          <w:color w:val="000000" w:themeColor="text1"/>
          <w:szCs w:val="24"/>
          <w:lang w:val="en-GB"/>
        </w:rPr>
        <w:footnoteReference w:id="610"/>
      </w:r>
      <w:r w:rsidRPr="00181CF2">
        <w:rPr>
          <w:rFonts w:ascii="Arial" w:hAnsi="Arial" w:cs="Arial"/>
          <w:color w:val="000000" w:themeColor="text1"/>
          <w:szCs w:val="24"/>
          <w:lang w:val="en-GB"/>
        </w:rPr>
        <w:t xml:space="preserve">  </w:t>
      </w:r>
      <w:r w:rsidR="00927B34" w:rsidRPr="00C57CE1">
        <w:rPr>
          <w:rFonts w:ascii="Arial" w:hAnsi="Arial" w:cs="Arial"/>
          <w:color w:val="000000" w:themeColor="text1"/>
          <w:szCs w:val="24"/>
          <w:lang w:val="en-GB"/>
        </w:rPr>
        <w:t>Some t</w:t>
      </w:r>
      <w:r w:rsidR="0050636E" w:rsidRPr="0028108F">
        <w:rPr>
          <w:rFonts w:ascii="Arial" w:hAnsi="Arial" w:cs="Arial"/>
          <w:color w:val="000000" w:themeColor="text1"/>
          <w:szCs w:val="24"/>
          <w:lang w:val="en-GB"/>
        </w:rPr>
        <w:t xml:space="preserve">ransgender activists may </w:t>
      </w:r>
      <w:r w:rsidR="00927B34" w:rsidRPr="0028108F">
        <w:rPr>
          <w:rFonts w:ascii="Arial" w:hAnsi="Arial" w:cs="Arial"/>
          <w:color w:val="000000" w:themeColor="text1"/>
          <w:szCs w:val="24"/>
          <w:lang w:val="en-GB"/>
        </w:rPr>
        <w:t>dismiss as nons</w:t>
      </w:r>
      <w:r w:rsidR="007C3FDD" w:rsidRPr="0028108F">
        <w:rPr>
          <w:rFonts w:ascii="Arial" w:hAnsi="Arial" w:cs="Arial"/>
          <w:color w:val="000000" w:themeColor="text1"/>
          <w:szCs w:val="24"/>
          <w:lang w:val="en-GB"/>
        </w:rPr>
        <w:t>ensical</w:t>
      </w:r>
      <w:r w:rsidR="00927B34" w:rsidRPr="00181CF2">
        <w:rPr>
          <w:rFonts w:ascii="Arial" w:hAnsi="Arial" w:cs="Arial"/>
          <w:color w:val="000000" w:themeColor="text1"/>
          <w:szCs w:val="24"/>
          <w:lang w:val="en-GB"/>
        </w:rPr>
        <w:t xml:space="preserve"> </w:t>
      </w:r>
      <w:r w:rsidR="0050636E" w:rsidRPr="0028108F">
        <w:rPr>
          <w:rFonts w:ascii="Arial" w:hAnsi="Arial" w:cs="Arial"/>
          <w:color w:val="000000" w:themeColor="text1"/>
          <w:szCs w:val="24"/>
          <w:lang w:val="en-GB"/>
        </w:rPr>
        <w:t>t</w:t>
      </w:r>
      <w:r w:rsidRPr="0028108F">
        <w:rPr>
          <w:rFonts w:ascii="Arial" w:hAnsi="Arial" w:cs="Arial"/>
          <w:color w:val="000000" w:themeColor="text1"/>
          <w:szCs w:val="24"/>
          <w:lang w:val="en-GB"/>
        </w:rPr>
        <w:t xml:space="preserve">he </w:t>
      </w:r>
      <w:r w:rsidR="00927B34" w:rsidRPr="0028108F">
        <w:rPr>
          <w:rFonts w:ascii="Arial" w:hAnsi="Arial" w:cs="Arial"/>
          <w:color w:val="000000" w:themeColor="text1"/>
          <w:szCs w:val="24"/>
          <w:lang w:val="en-GB"/>
        </w:rPr>
        <w:t>contention</w:t>
      </w:r>
      <w:r w:rsidRPr="0028108F">
        <w:rPr>
          <w:rFonts w:ascii="Arial" w:hAnsi="Arial" w:cs="Arial"/>
          <w:color w:val="000000" w:themeColor="text1"/>
          <w:szCs w:val="24"/>
          <w:lang w:val="en-GB"/>
        </w:rPr>
        <w:t xml:space="preserve"> that the procedure is what is wanted </w:t>
      </w:r>
      <w:r w:rsidR="00927B34" w:rsidRPr="0028108F">
        <w:rPr>
          <w:rFonts w:ascii="Arial" w:hAnsi="Arial" w:cs="Arial"/>
          <w:color w:val="000000" w:themeColor="text1"/>
          <w:szCs w:val="24"/>
          <w:lang w:val="en-GB"/>
        </w:rPr>
        <w:t xml:space="preserve">by the persons involved </w:t>
      </w:r>
      <w:r w:rsidR="0050636E" w:rsidRPr="0028108F">
        <w:rPr>
          <w:rFonts w:ascii="Arial" w:hAnsi="Arial" w:cs="Arial"/>
          <w:color w:val="000000" w:themeColor="text1"/>
          <w:szCs w:val="24"/>
          <w:lang w:val="en-GB"/>
        </w:rPr>
        <w:t>and</w:t>
      </w:r>
      <w:r w:rsidR="00DB79B0" w:rsidRPr="0028108F">
        <w:rPr>
          <w:rFonts w:ascii="Arial" w:hAnsi="Arial" w:cs="Arial"/>
          <w:color w:val="000000" w:themeColor="text1"/>
          <w:szCs w:val="24"/>
          <w:lang w:val="en-GB"/>
        </w:rPr>
        <w:t xml:space="preserve"> they have, in any event,</w:t>
      </w:r>
      <w:r w:rsidRPr="0028108F">
        <w:rPr>
          <w:rFonts w:ascii="Arial" w:hAnsi="Arial" w:cs="Arial"/>
          <w:color w:val="000000" w:themeColor="text1"/>
          <w:szCs w:val="24"/>
          <w:lang w:val="en-GB"/>
        </w:rPr>
        <w:t xml:space="preserve"> the right to object to such procedures</w:t>
      </w:r>
      <w:r w:rsidR="00DB79B0" w:rsidRPr="0028108F">
        <w:rPr>
          <w:rFonts w:ascii="Arial" w:hAnsi="Arial" w:cs="Arial"/>
          <w:color w:val="000000" w:themeColor="text1"/>
          <w:szCs w:val="24"/>
          <w:lang w:val="en-GB"/>
        </w:rPr>
        <w:t xml:space="preserve">. </w:t>
      </w:r>
      <w:r w:rsidR="0050636E" w:rsidRPr="0028108F">
        <w:rPr>
          <w:rFonts w:ascii="Arial" w:hAnsi="Arial" w:cs="Arial"/>
          <w:color w:val="000000" w:themeColor="text1"/>
          <w:szCs w:val="24"/>
          <w:lang w:val="en-GB"/>
        </w:rPr>
        <w:t xml:space="preserve"> </w:t>
      </w:r>
      <w:r w:rsidR="00DB79B0" w:rsidRPr="0028108F">
        <w:rPr>
          <w:rFonts w:ascii="Arial" w:hAnsi="Arial" w:cs="Arial"/>
          <w:color w:val="000000" w:themeColor="text1"/>
          <w:szCs w:val="24"/>
          <w:lang w:val="en-GB"/>
        </w:rPr>
        <w:t>Those opposing this view might hold that</w:t>
      </w:r>
      <w:r w:rsidRPr="0028108F">
        <w:rPr>
          <w:rFonts w:ascii="Arial" w:hAnsi="Arial" w:cs="Arial"/>
          <w:color w:val="000000" w:themeColor="text1"/>
          <w:szCs w:val="24"/>
          <w:lang w:val="en-GB"/>
        </w:rPr>
        <w:t xml:space="preserve"> the desire to maintain the existing family law structures cannot justify the deep and profound interference with – and indeed violation of </w:t>
      </w:r>
      <w:r w:rsidR="00A5111D">
        <w:rPr>
          <w:rFonts w:ascii="Arial" w:hAnsi="Arial" w:cs="Arial"/>
          <w:color w:val="000000" w:themeColor="text1"/>
          <w:szCs w:val="24"/>
          <w:lang w:val="en-GB"/>
        </w:rPr>
        <w:t>–</w:t>
      </w:r>
      <w:r w:rsidRPr="0028108F">
        <w:rPr>
          <w:rFonts w:ascii="Arial" w:hAnsi="Arial" w:cs="Arial"/>
          <w:color w:val="000000" w:themeColor="text1"/>
          <w:szCs w:val="24"/>
          <w:lang w:val="en-GB"/>
        </w:rPr>
        <w:t xml:space="preserve"> the physical integrity of those immediately concerned.</w:t>
      </w:r>
      <w:r w:rsidRPr="00181CF2">
        <w:rPr>
          <w:rStyle w:val="FootnoteReference"/>
          <w:rFonts w:ascii="Arial" w:hAnsi="Arial" w:cs="Arial"/>
          <w:color w:val="000000" w:themeColor="text1"/>
          <w:szCs w:val="24"/>
          <w:lang w:val="en-GB"/>
        </w:rPr>
        <w:footnoteReference w:id="611"/>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D0D0D" w:themeColor="text1" w:themeTint="F2"/>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In the view of Micah Grzywnowicz,</w:t>
      </w:r>
      <w:r w:rsidR="00E21175" w:rsidRPr="0028108F">
        <w:rPr>
          <w:rFonts w:ascii="Arial" w:hAnsi="Arial" w:cs="Arial"/>
          <w:szCs w:val="24"/>
          <w:lang w:val="en-GB"/>
        </w:rPr>
        <w:t xml:space="preserve"> a transgender activist,</w:t>
      </w:r>
      <w:r w:rsidRPr="00181CF2">
        <w:rPr>
          <w:rStyle w:val="FootnoteReference"/>
          <w:rFonts w:ascii="Arial" w:hAnsi="Arial" w:cs="Arial"/>
          <w:szCs w:val="24"/>
          <w:lang w:val="en-GB"/>
        </w:rPr>
        <w:footnoteReference w:id="612"/>
      </w:r>
      <w:r w:rsidRPr="00181CF2">
        <w:rPr>
          <w:rFonts w:ascii="Arial" w:hAnsi="Arial" w:cs="Arial"/>
          <w:szCs w:val="24"/>
          <w:lang w:val="en-GB"/>
        </w:rPr>
        <w:t xml:space="preserve"> a system requiring transgender persons to undergo SRS is “</w:t>
      </w:r>
      <w:r w:rsidRPr="0028108F">
        <w:rPr>
          <w:rFonts w:ascii="Arial" w:hAnsi="Arial" w:cs="Arial"/>
          <w:i/>
          <w:szCs w:val="24"/>
          <w:lang w:val="en-GB"/>
        </w:rPr>
        <w:t>unjust</w:t>
      </w:r>
      <w:r w:rsidRPr="00181CF2">
        <w:rPr>
          <w:rFonts w:ascii="Arial" w:hAnsi="Arial" w:cs="Arial"/>
          <w:szCs w:val="24"/>
          <w:lang w:val="en-GB"/>
        </w:rPr>
        <w:t>” because they are unable to make decisions about their own bodies.  He says:</w:t>
      </w:r>
    </w:p>
    <w:p w:rsidR="00E773F6" w:rsidRPr="00C57CE1" w:rsidRDefault="00E773F6" w:rsidP="00E773F6">
      <w:pPr>
        <w:jc w:val="both"/>
        <w:rPr>
          <w:rFonts w:ascii="Arial" w:hAnsi="Arial" w:cs="Arial"/>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i/>
          <w:szCs w:val="24"/>
          <w:lang w:val="en-GB"/>
        </w:rPr>
        <w:t>“When cisgender men suffer from a condition called gynecomastia, which results in breast tissue growing in ‘abnormal amounts,’ they are provided, without any additional tests or diagnosis, with chest reconstruction operations in order to create a masculine, flat chest.  Moreover, reconstruction surgeries, for cisgender individuals, of breasts, penises, or testicles lost (due to illness or accident) are also performed without any further diagnosis.  At the same time, no one questions those people’s gender identity or gender markers in their legal documents, in case they choose not to go through those procedures.  In that case, one could question: is a man who lost his testicles in an accident still a man?  Or is a woman who lost her breasts due to cancer still a woman?  The only difference between trans* and cisgender individuals is that trans* people seem to be challenging accepted gender norms, whereas cisgender persons seem to try to ‘fix’ their bodies to fit those gender norms.”</w:t>
      </w:r>
      <w:r w:rsidRPr="00181CF2">
        <w:rPr>
          <w:rStyle w:val="FootnoteReference"/>
          <w:rFonts w:ascii="Arial" w:hAnsi="Arial" w:cs="Arial"/>
          <w:szCs w:val="24"/>
          <w:lang w:val="en-GB"/>
        </w:rPr>
        <w:footnoteReference w:id="613"/>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D0D0D" w:themeColor="text1" w:themeTint="F2"/>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D0D0D" w:themeColor="text1" w:themeTint="F2"/>
          <w:szCs w:val="24"/>
          <w:lang w:val="en-GB"/>
        </w:rPr>
      </w:pPr>
      <w:r w:rsidRPr="0028108F">
        <w:rPr>
          <w:rFonts w:ascii="Arial" w:hAnsi="Arial" w:cs="Arial"/>
          <w:szCs w:val="24"/>
          <w:lang w:val="en-GB"/>
        </w:rPr>
        <w:t>The Interdepartmental Working Group on Transsexual People set up by the Home Office in the UK had considered in 2000 whether sterility should be a pre-condition</w:t>
      </w:r>
      <w:r w:rsidR="004F581B" w:rsidRPr="0028108F">
        <w:rPr>
          <w:rFonts w:ascii="Arial" w:hAnsi="Arial" w:cs="Arial"/>
          <w:szCs w:val="24"/>
          <w:lang w:val="en-GB"/>
        </w:rPr>
        <w:t xml:space="preserve"> to gender recognition.  They stated</w:t>
      </w:r>
      <w:r w:rsidRPr="0028108F">
        <w:rPr>
          <w:rFonts w:ascii="Arial" w:hAnsi="Arial" w:cs="Arial"/>
          <w:color w:val="0D0D0D" w:themeColor="text1" w:themeTint="F2"/>
          <w:szCs w:val="24"/>
          <w:lang w:val="en-GB"/>
        </w:rPr>
        <w: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color w:val="0D0D0D" w:themeColor="text1" w:themeTint="F2"/>
          <w:szCs w:val="24"/>
          <w:lang w:val="en-GB"/>
        </w:rPr>
        <w:t>“</w:t>
      </w:r>
      <w:r w:rsidRPr="0028108F">
        <w:rPr>
          <w:rFonts w:ascii="Arial" w:hAnsi="Arial" w:cs="Arial"/>
          <w:i/>
          <w:szCs w:val="24"/>
          <w:lang w:val="en-GB"/>
        </w:rPr>
        <w:t>Several countries which recognise a change of gender require a transsexual person to be sterile before recognition can be given (see, for example, Sweden and the Netherlands).  The transsexual community however is opposed to such a provision.  Their view is that it is unnecessary because, after a few years, the hormone treatment undertaken by transsexual people will have rendered them infertile.  They also suggest that the requirement is discriminatory as some transsexual people, for health reasons, cannot take the high hormone levels normally prescribed, nor can they necessarily undergo extensive surgery.</w:t>
      </w:r>
    </w:p>
    <w:p w:rsidR="00E773F6" w:rsidRPr="0028108F" w:rsidRDefault="00E773F6" w:rsidP="00E773F6">
      <w:pPr>
        <w:pStyle w:val="ListParagraph"/>
        <w:tabs>
          <w:tab w:val="left" w:pos="1418"/>
          <w:tab w:val="left" w:pos="2552"/>
        </w:tabs>
        <w:autoSpaceDE w:val="0"/>
        <w:autoSpaceDN w:val="0"/>
        <w:adjustRightInd w:val="0"/>
        <w:snapToGrid w:val="0"/>
        <w:ind w:leftChars="0" w:left="1418"/>
        <w:jc w:val="both"/>
        <w:rPr>
          <w:rFonts w:ascii="Arial" w:hAnsi="Arial" w:cs="Arial"/>
          <w:i/>
          <w:szCs w:val="24"/>
          <w:lang w:val="en-GB"/>
        </w:rPr>
      </w:pPr>
    </w:p>
    <w:p w:rsidR="00E773F6" w:rsidRPr="00C57CE1"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It is certainly the case that not all transsexual women are medically in a position to undergo sufficient treatment (whether surgery or high doses of hormones) for fertility to cease.  And surgical options for transsexual men will not irretrievably remove the option of fertility at some later date - the substantial medical risks involved in hysterectomy, phalloplasty and the surgical closing of the vaginal opening are such that many or most transsexual men choose to forgo these surgical procedures.</w:t>
      </w:r>
      <w:r w:rsidRPr="0028108F">
        <w:rPr>
          <w:rFonts w:ascii="Arial" w:hAnsi="Arial" w:cs="Arial"/>
          <w:color w:val="000000" w:themeColor="text1"/>
          <w:szCs w:val="24"/>
          <w:lang w:val="en-GB"/>
        </w:rPr>
        <w:t>”</w:t>
      </w:r>
      <w:r w:rsidRPr="00181CF2">
        <w:rPr>
          <w:rStyle w:val="FootnoteReference"/>
          <w:rFonts w:ascii="Arial" w:hAnsi="Arial" w:cs="Arial"/>
          <w:szCs w:val="24"/>
          <w:lang w:val="en-GB"/>
        </w:rPr>
        <w:footnoteReference w:id="614"/>
      </w:r>
      <w:r w:rsidRPr="00181CF2">
        <w:rPr>
          <w:rFonts w:ascii="Arial" w:hAnsi="Arial" w:cs="Arial"/>
          <w:color w:val="0000FF"/>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1418"/>
        <w:jc w:val="both"/>
        <w:rPr>
          <w:rFonts w:ascii="Arial" w:hAnsi="Arial" w:cs="Arial"/>
          <w:color w:val="000000" w:themeColor="text1"/>
          <w:szCs w:val="24"/>
          <w:u w:val="single"/>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28108F">
        <w:rPr>
          <w:rFonts w:ascii="Arial" w:hAnsi="Arial" w:cs="Arial"/>
          <w:color w:val="000000" w:themeColor="text1"/>
          <w:szCs w:val="24"/>
          <w:lang w:val="en-GB"/>
        </w:rPr>
        <w:t xml:space="preserve">Some people </w:t>
      </w:r>
      <w:r w:rsidR="00910E11" w:rsidRPr="0028108F">
        <w:rPr>
          <w:rFonts w:ascii="Arial" w:hAnsi="Arial" w:cs="Arial"/>
          <w:color w:val="000000" w:themeColor="text1"/>
          <w:szCs w:val="24"/>
          <w:lang w:val="en-GB"/>
        </w:rPr>
        <w:t xml:space="preserve">have </w:t>
      </w:r>
      <w:r w:rsidRPr="0028108F">
        <w:rPr>
          <w:rFonts w:ascii="Arial" w:hAnsi="Arial" w:cs="Arial"/>
          <w:color w:val="000000" w:themeColor="text1"/>
          <w:szCs w:val="24"/>
          <w:lang w:val="en-GB"/>
        </w:rPr>
        <w:t xml:space="preserve">asserted that there is a spectrum of severity for </w:t>
      </w:r>
      <w:r w:rsidR="00334997" w:rsidRPr="0028108F">
        <w:rPr>
          <w:rFonts w:ascii="Arial" w:hAnsi="Arial" w:cs="Arial"/>
          <w:color w:val="000000" w:themeColor="text1"/>
          <w:szCs w:val="24"/>
          <w:lang w:val="en-GB"/>
        </w:rPr>
        <w:t>gender identity disorder</w:t>
      </w:r>
      <w:r w:rsidRPr="0028108F">
        <w:rPr>
          <w:rFonts w:ascii="Arial" w:hAnsi="Arial" w:cs="Arial"/>
          <w:color w:val="000000" w:themeColor="text1"/>
          <w:szCs w:val="24"/>
          <w:lang w:val="en-GB"/>
        </w:rPr>
        <w:t xml:space="preserve"> or gender dysphoria</w:t>
      </w:r>
      <w:r w:rsidR="00342A74"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and </w:t>
      </w:r>
      <w:r w:rsidR="009B7144" w:rsidRPr="0028108F">
        <w:rPr>
          <w:rFonts w:ascii="Arial" w:hAnsi="Arial" w:cs="Arial"/>
          <w:color w:val="000000" w:themeColor="text1"/>
          <w:szCs w:val="24"/>
          <w:lang w:val="en-GB"/>
        </w:rPr>
        <w:t>persons</w:t>
      </w:r>
      <w:r w:rsidRPr="00181CF2">
        <w:rPr>
          <w:rFonts w:ascii="Arial" w:hAnsi="Arial" w:cs="Arial"/>
          <w:color w:val="000000" w:themeColor="text1"/>
          <w:szCs w:val="24"/>
          <w:lang w:val="en-GB"/>
        </w:rPr>
        <w:t xml:space="preserve"> having the most severe symptoms would have a stronger desire to undergo transition to the opposite gender typically through hormones and surgery.  Therefore, it is arguable that current medical thinking has rejec</w:t>
      </w:r>
      <w:r w:rsidRPr="00C57CE1">
        <w:rPr>
          <w:rFonts w:ascii="Arial" w:hAnsi="Arial" w:cs="Arial"/>
          <w:color w:val="000000" w:themeColor="text1"/>
          <w:szCs w:val="24"/>
          <w:lang w:val="en-GB"/>
        </w:rPr>
        <w:t>ted the one-size-fits-all mentality that was common in early treatment of transgender people.</w:t>
      </w:r>
      <w:r w:rsidRPr="00181CF2">
        <w:rPr>
          <w:rStyle w:val="FootnoteReference"/>
          <w:rFonts w:ascii="Arial" w:hAnsi="Arial" w:cs="Arial"/>
          <w:szCs w:val="24"/>
          <w:lang w:val="en-GB"/>
        </w:rPr>
        <w:footnoteReference w:id="615"/>
      </w:r>
      <w:r w:rsidRPr="00181CF2">
        <w:rPr>
          <w:rFonts w:ascii="Arial" w:hAnsi="Arial" w:cs="Arial"/>
          <w:color w:val="000000" w:themeColor="text1"/>
          <w:szCs w:val="24"/>
          <w:lang w:val="en-GB"/>
        </w:rPr>
        <w:t xml:space="preserve">  Further, </w:t>
      </w:r>
      <w:r w:rsidR="00625D62" w:rsidRPr="00C57CE1">
        <w:rPr>
          <w:rFonts w:ascii="Arial" w:hAnsi="Arial" w:cs="Arial"/>
          <w:color w:val="000000" w:themeColor="text1"/>
          <w:szCs w:val="24"/>
          <w:lang w:val="en-GB"/>
        </w:rPr>
        <w:t xml:space="preserve">the </w:t>
      </w:r>
      <w:r w:rsidRPr="0028108F">
        <w:rPr>
          <w:rFonts w:ascii="Arial" w:hAnsi="Arial" w:cs="Arial"/>
          <w:color w:val="000000" w:themeColor="text1"/>
          <w:szCs w:val="24"/>
          <w:lang w:val="en-GB"/>
        </w:rPr>
        <w:t>WPATH has increasingly encouraged and required individuali</w:t>
      </w:r>
      <w:r w:rsidR="0008412F" w:rsidRPr="0028108F">
        <w:rPr>
          <w:rFonts w:ascii="Arial" w:hAnsi="Arial" w:cs="Arial"/>
          <w:color w:val="000000" w:themeColor="text1"/>
          <w:szCs w:val="24"/>
          <w:lang w:val="en-GB"/>
        </w:rPr>
        <w:t>s</w:t>
      </w:r>
      <w:r w:rsidRPr="0028108F">
        <w:rPr>
          <w:rFonts w:ascii="Arial" w:hAnsi="Arial" w:cs="Arial"/>
          <w:color w:val="000000" w:themeColor="text1"/>
          <w:szCs w:val="24"/>
          <w:lang w:val="en-GB"/>
        </w:rPr>
        <w:t>ed evaluation and individuali</w:t>
      </w:r>
      <w:r w:rsidR="0008412F" w:rsidRPr="0028108F">
        <w:rPr>
          <w:rFonts w:ascii="Arial" w:hAnsi="Arial" w:cs="Arial"/>
          <w:color w:val="000000" w:themeColor="text1"/>
          <w:szCs w:val="24"/>
          <w:lang w:val="en-GB"/>
        </w:rPr>
        <w:t>s</w:t>
      </w:r>
      <w:r w:rsidRPr="0028108F">
        <w:rPr>
          <w:rFonts w:ascii="Arial" w:hAnsi="Arial" w:cs="Arial"/>
          <w:color w:val="000000" w:themeColor="text1"/>
          <w:szCs w:val="24"/>
          <w:lang w:val="en-GB"/>
        </w:rPr>
        <w:t>ed treatment.  Its latest statement on identity recognition in 2015 has called for the removal of surgery or sterilisation as requirements to change legal gender.</w:t>
      </w:r>
      <w:r w:rsidRPr="00181CF2">
        <w:rPr>
          <w:rStyle w:val="FootnoteReference"/>
          <w:rFonts w:ascii="Arial" w:hAnsi="Arial" w:cs="Arial"/>
          <w:szCs w:val="24"/>
          <w:lang w:val="en-GB"/>
        </w:rPr>
        <w:footnoteReference w:id="616"/>
      </w:r>
      <w:r w:rsidRPr="00181CF2">
        <w:rPr>
          <w:rFonts w:ascii="Arial" w:hAnsi="Arial" w:cs="Arial"/>
          <w:color w:val="000000" w:themeColor="text1"/>
          <w:szCs w:val="24"/>
          <w:lang w:val="en-GB"/>
        </w:rPr>
        <w:t xml:space="preserve">  In addition to </w:t>
      </w:r>
      <w:r w:rsidR="00625D62" w:rsidRPr="00C57CE1">
        <w:rPr>
          <w:rFonts w:ascii="Arial" w:hAnsi="Arial" w:cs="Arial"/>
          <w:color w:val="000000" w:themeColor="text1"/>
          <w:szCs w:val="24"/>
          <w:lang w:val="en-GB"/>
        </w:rPr>
        <w:t xml:space="preserve">the </w:t>
      </w:r>
      <w:r w:rsidRPr="0028108F">
        <w:rPr>
          <w:rFonts w:ascii="Arial" w:hAnsi="Arial" w:cs="Arial"/>
          <w:color w:val="000000" w:themeColor="text1"/>
          <w:szCs w:val="24"/>
          <w:lang w:val="en-GB"/>
        </w:rPr>
        <w:t>WPATH, the American Medical Association released a statement in 2014 stating that it “</w:t>
      </w:r>
      <w:r w:rsidRPr="0028108F">
        <w:rPr>
          <w:rFonts w:ascii="Arial" w:hAnsi="Arial" w:cs="Arial"/>
          <w:i/>
          <w:color w:val="000000" w:themeColor="text1"/>
          <w:szCs w:val="24"/>
          <w:lang w:val="en-GB"/>
        </w:rPr>
        <w:t>adopted new policy supporting the elimination of any government requirement that an individual must have undergone surgery in order to change the sex indicated on a birth certificate</w:t>
      </w:r>
      <w:r w:rsidR="00910E11" w:rsidRPr="0028108F">
        <w:rPr>
          <w:rFonts w:ascii="Arial" w:hAnsi="Arial" w:cs="Arial"/>
          <w:i/>
          <w:color w:val="000000" w:themeColor="text1"/>
          <w:szCs w:val="24"/>
          <w:lang w:val="en-GB"/>
        </w:rPr>
        <w:t>.</w:t>
      </w:r>
      <w:r w:rsidRPr="0028108F">
        <w:rPr>
          <w:rFonts w:ascii="Arial" w:hAnsi="Arial" w:cs="Arial"/>
          <w:color w:val="000000" w:themeColor="text1"/>
          <w:szCs w:val="24"/>
          <w:lang w:val="en-GB"/>
        </w:rPr>
        <w:t>”</w:t>
      </w:r>
      <w:r w:rsidRPr="00181CF2">
        <w:rPr>
          <w:rStyle w:val="FootnoteReference"/>
          <w:rFonts w:ascii="Arial" w:hAnsi="Arial" w:cs="Arial"/>
          <w:szCs w:val="24"/>
          <w:lang w:val="en-GB"/>
        </w:rPr>
        <w:footnoteReference w:id="617"/>
      </w:r>
      <w:r w:rsidRPr="00181CF2">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910E11"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Some have suggested that, f</w:t>
      </w:r>
      <w:r w:rsidR="00E773F6" w:rsidRPr="0028108F">
        <w:rPr>
          <w:rFonts w:ascii="Arial" w:hAnsi="Arial" w:cs="Arial"/>
          <w:color w:val="000000" w:themeColor="text1"/>
          <w:szCs w:val="24"/>
          <w:lang w:val="en-GB"/>
        </w:rPr>
        <w:t xml:space="preserve">or transgender persons who are unable to undergo surgery owing to health problems, </w:t>
      </w:r>
      <w:r w:rsidR="00E773F6" w:rsidRPr="0028108F">
        <w:rPr>
          <w:rFonts w:ascii="Arial" w:hAnsi="Arial" w:cs="Arial"/>
          <w:szCs w:val="24"/>
          <w:lang w:val="en-GB"/>
        </w:rPr>
        <w:t>exemptions could be provided for these applicants for gender recognition.  However, practical problems may arise from this suggestion</w:t>
      </w:r>
      <w:r w:rsidR="005158DE" w:rsidRPr="0028108F">
        <w:rPr>
          <w:rFonts w:ascii="Arial" w:hAnsi="Arial" w:cs="Arial"/>
          <w:szCs w:val="24"/>
          <w:lang w:val="en-GB"/>
        </w:rPr>
        <w:t>;</w:t>
      </w:r>
      <w:r w:rsidR="00E773F6" w:rsidRPr="0028108F">
        <w:rPr>
          <w:rFonts w:ascii="Arial" w:hAnsi="Arial" w:cs="Arial"/>
          <w:szCs w:val="24"/>
          <w:lang w:val="en-GB"/>
        </w:rPr>
        <w:t xml:space="preserve"> for example, the list of exemptions would be non-exhaustive as many disabilities and diseases might need to be included and there might be challenges in court that some justifiable exemptions were not included.</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i/>
          <w:kern w:val="0"/>
          <w:szCs w:val="24"/>
          <w:lang w:val="en-GB"/>
        </w:rPr>
      </w:pPr>
      <w:r w:rsidRPr="0028108F">
        <w:rPr>
          <w:rFonts w:ascii="Arial" w:hAnsi="Arial" w:cs="Arial"/>
          <w:i/>
          <w:szCs w:val="24"/>
          <w:lang w:val="en-GB"/>
        </w:rPr>
        <w:t xml:space="preserve">Argument (5): </w:t>
      </w:r>
      <w:r w:rsidRPr="0028108F">
        <w:rPr>
          <w:rFonts w:ascii="Arial" w:eastAsiaTheme="minorEastAsia" w:hAnsi="Arial" w:cs="Arial"/>
          <w:i/>
          <w:kern w:val="0"/>
          <w:szCs w:val="24"/>
          <w:lang w:val="en-GB"/>
        </w:rPr>
        <w:t xml:space="preserve">Concerns about </w:t>
      </w:r>
      <w:r w:rsidR="00400335">
        <w:rPr>
          <w:rFonts w:ascii="Arial" w:eastAsiaTheme="minorEastAsia" w:hAnsi="Arial" w:cs="Arial" w:hint="eastAsia"/>
          <w:i/>
          <w:kern w:val="0"/>
          <w:szCs w:val="24"/>
          <w:lang w:val="en-GB"/>
        </w:rPr>
        <w:t xml:space="preserve">possible </w:t>
      </w:r>
      <w:r w:rsidRPr="0028108F">
        <w:rPr>
          <w:rFonts w:ascii="Arial" w:eastAsiaTheme="minorEastAsia" w:hAnsi="Arial" w:cs="Arial"/>
          <w:i/>
          <w:kern w:val="0"/>
          <w:szCs w:val="24"/>
          <w:lang w:val="en-GB"/>
        </w:rPr>
        <w:t>fraud or security is not evidentially supported and security can be enhanced by not imposing SRS for recognition</w:t>
      </w:r>
    </w:p>
    <w:p w:rsidR="00E773F6" w:rsidRPr="0028108F" w:rsidRDefault="00E773F6" w:rsidP="00E773F6">
      <w:pPr>
        <w:adjustRightInd w:val="0"/>
        <w:snapToGrid w:val="0"/>
        <w:jc w:val="both"/>
        <w:rPr>
          <w:rFonts w:ascii="Arial" w:hAnsi="Arial" w:cs="Arial"/>
          <w:b/>
          <w:color w:val="0000FF"/>
          <w:szCs w:val="24"/>
          <w:lang w:val="en-GB"/>
        </w:rPr>
      </w:pPr>
    </w:p>
    <w:p w:rsidR="00E773F6" w:rsidRPr="00181CF2" w:rsidRDefault="00922392"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M</w:t>
      </w:r>
      <w:r w:rsidR="00CB0184" w:rsidRPr="0028108F">
        <w:rPr>
          <w:rFonts w:ascii="Arial" w:hAnsi="Arial" w:cs="Arial"/>
          <w:szCs w:val="24"/>
          <w:lang w:val="en-GB"/>
        </w:rPr>
        <w:t xml:space="preserve">any in the community </w:t>
      </w:r>
      <w:r w:rsidRPr="0028108F">
        <w:rPr>
          <w:rFonts w:ascii="Arial" w:hAnsi="Arial" w:cs="Arial"/>
          <w:szCs w:val="24"/>
          <w:lang w:val="en-GB"/>
        </w:rPr>
        <w:t xml:space="preserve">may </w:t>
      </w:r>
      <w:r w:rsidR="00CB0184" w:rsidRPr="0028108F">
        <w:rPr>
          <w:rFonts w:ascii="Arial" w:hAnsi="Arial" w:cs="Arial"/>
          <w:szCs w:val="24"/>
          <w:lang w:val="en-GB"/>
        </w:rPr>
        <w:t xml:space="preserve">express anxiety that some </w:t>
      </w:r>
      <w:r w:rsidRPr="0028108F">
        <w:rPr>
          <w:rFonts w:ascii="Arial" w:hAnsi="Arial" w:cs="Arial"/>
          <w:szCs w:val="24"/>
          <w:lang w:val="en-GB"/>
        </w:rPr>
        <w:t xml:space="preserve">individuals could </w:t>
      </w:r>
      <w:r w:rsidR="00CB0184" w:rsidRPr="0028108F">
        <w:rPr>
          <w:rFonts w:ascii="Arial" w:hAnsi="Arial" w:cs="Arial"/>
          <w:szCs w:val="24"/>
          <w:lang w:val="en-GB"/>
        </w:rPr>
        <w:t xml:space="preserve">disguise their gender </w:t>
      </w:r>
      <w:r w:rsidRPr="0028108F">
        <w:rPr>
          <w:rFonts w:ascii="Arial" w:hAnsi="Arial" w:cs="Arial"/>
          <w:szCs w:val="24"/>
          <w:lang w:val="en-GB"/>
        </w:rPr>
        <w:t xml:space="preserve">in order </w:t>
      </w:r>
      <w:r w:rsidR="00CB0184" w:rsidRPr="0028108F">
        <w:rPr>
          <w:rFonts w:ascii="Arial" w:hAnsi="Arial" w:cs="Arial"/>
          <w:szCs w:val="24"/>
          <w:lang w:val="en-GB"/>
        </w:rPr>
        <w:t xml:space="preserve">to enter sex-segregated public accommodation </w:t>
      </w:r>
      <w:r w:rsidR="005158DE" w:rsidRPr="0028108F">
        <w:rPr>
          <w:rFonts w:ascii="Arial" w:hAnsi="Arial" w:cs="Arial"/>
          <w:szCs w:val="24"/>
          <w:lang w:val="en-GB"/>
        </w:rPr>
        <w:t>to</w:t>
      </w:r>
      <w:r w:rsidR="00CB0184" w:rsidRPr="0028108F">
        <w:rPr>
          <w:rFonts w:ascii="Arial" w:hAnsi="Arial" w:cs="Arial"/>
          <w:szCs w:val="24"/>
          <w:lang w:val="en-GB"/>
        </w:rPr>
        <w:t xml:space="preserve"> exploit the vulnerability of other bathroom </w:t>
      </w:r>
      <w:r w:rsidR="005158DE" w:rsidRPr="0028108F">
        <w:rPr>
          <w:rFonts w:ascii="Arial" w:hAnsi="Arial" w:cs="Arial"/>
          <w:szCs w:val="24"/>
          <w:lang w:val="en-GB"/>
        </w:rPr>
        <w:t>users</w:t>
      </w:r>
      <w:r w:rsidR="00CB0184" w:rsidRPr="0028108F">
        <w:rPr>
          <w:rFonts w:ascii="Arial" w:hAnsi="Arial" w:cs="Arial"/>
          <w:szCs w:val="24"/>
          <w:lang w:val="en-GB"/>
        </w:rPr>
        <w:t xml:space="preserve">, especially women and girls.  </w:t>
      </w:r>
      <w:r w:rsidR="005158DE" w:rsidRPr="0028108F">
        <w:rPr>
          <w:rFonts w:ascii="Arial" w:hAnsi="Arial" w:cs="Arial"/>
          <w:szCs w:val="24"/>
          <w:lang w:val="en-GB"/>
        </w:rPr>
        <w:t>T</w:t>
      </w:r>
      <w:r w:rsidR="00CB0184" w:rsidRPr="0028108F">
        <w:rPr>
          <w:rFonts w:ascii="Arial" w:hAnsi="Arial" w:cs="Arial"/>
          <w:szCs w:val="24"/>
          <w:lang w:val="en-GB"/>
        </w:rPr>
        <w:t xml:space="preserve">here are </w:t>
      </w:r>
      <w:r w:rsidR="00AD56DD" w:rsidRPr="0028108F">
        <w:rPr>
          <w:rFonts w:ascii="Arial" w:hAnsi="Arial" w:cs="Arial"/>
          <w:szCs w:val="24"/>
          <w:lang w:val="en-GB"/>
        </w:rPr>
        <w:t>counter</w:t>
      </w:r>
      <w:r w:rsidRPr="0028108F">
        <w:rPr>
          <w:rFonts w:ascii="Arial" w:hAnsi="Arial" w:cs="Arial"/>
          <w:szCs w:val="24"/>
          <w:lang w:val="en-GB"/>
        </w:rPr>
        <w:t>-</w:t>
      </w:r>
      <w:r w:rsidR="00CB0184" w:rsidRPr="0028108F">
        <w:rPr>
          <w:rFonts w:ascii="Arial" w:hAnsi="Arial" w:cs="Arial"/>
          <w:szCs w:val="24"/>
          <w:lang w:val="en-GB"/>
        </w:rPr>
        <w:t xml:space="preserve">arguments </w:t>
      </w:r>
      <w:r w:rsidR="00AD56DD" w:rsidRPr="0028108F">
        <w:rPr>
          <w:rFonts w:ascii="Arial" w:hAnsi="Arial" w:cs="Arial"/>
          <w:szCs w:val="24"/>
          <w:lang w:val="en-GB"/>
        </w:rPr>
        <w:t>against such allegations</w:t>
      </w:r>
      <w:r w:rsidRPr="0028108F">
        <w:rPr>
          <w:rFonts w:ascii="Arial" w:hAnsi="Arial" w:cs="Arial"/>
          <w:szCs w:val="24"/>
          <w:lang w:val="en-GB"/>
        </w:rPr>
        <w:t>, however</w:t>
      </w:r>
      <w:r w:rsidR="00562F79" w:rsidRPr="0028108F">
        <w:rPr>
          <w:rFonts w:ascii="Arial" w:hAnsi="Arial" w:cs="Arial"/>
          <w:szCs w:val="24"/>
          <w:lang w:val="en-GB"/>
        </w:rPr>
        <w:t xml:space="preserve">. </w:t>
      </w:r>
      <w:r w:rsidR="00E773F6" w:rsidRPr="0028108F">
        <w:rPr>
          <w:rFonts w:ascii="Arial" w:hAnsi="Arial" w:cs="Arial"/>
          <w:szCs w:val="24"/>
          <w:lang w:val="en-GB"/>
        </w:rPr>
        <w:t xml:space="preserve"> </w:t>
      </w:r>
      <w:r w:rsidR="008662EB">
        <w:rPr>
          <w:rFonts w:ascii="Arial" w:hAnsi="Arial" w:cs="Arial" w:hint="eastAsia"/>
          <w:szCs w:val="24"/>
          <w:lang w:val="en-GB"/>
        </w:rPr>
        <w:t xml:space="preserve">Professor </w:t>
      </w:r>
      <w:r w:rsidR="00E773F6" w:rsidRPr="0028108F">
        <w:rPr>
          <w:rFonts w:ascii="Arial" w:hAnsi="Arial" w:cs="Arial"/>
          <w:color w:val="0D0D0D" w:themeColor="text1" w:themeTint="F2"/>
          <w:szCs w:val="24"/>
          <w:lang w:val="en-GB"/>
        </w:rPr>
        <w:t>Kenji Yoshino</w:t>
      </w:r>
      <w:r w:rsidR="008662EB">
        <w:rPr>
          <w:rFonts w:ascii="Arial" w:hAnsi="Arial" w:cs="Arial" w:hint="eastAsia"/>
          <w:color w:val="0D0D0D" w:themeColor="text1" w:themeTint="F2"/>
          <w:szCs w:val="24"/>
          <w:lang w:val="en-GB"/>
        </w:rPr>
        <w:t xml:space="preserve"> </w:t>
      </w:r>
      <w:r w:rsidR="00E773F6" w:rsidRPr="0028108F">
        <w:rPr>
          <w:rFonts w:ascii="Arial" w:hAnsi="Arial" w:cs="Arial"/>
          <w:szCs w:val="24"/>
          <w:lang w:val="en-GB"/>
        </w:rPr>
        <w:t>note</w:t>
      </w:r>
      <w:r w:rsidR="00CB0184" w:rsidRPr="0028108F">
        <w:rPr>
          <w:rFonts w:ascii="Arial" w:hAnsi="Arial" w:cs="Arial"/>
          <w:szCs w:val="24"/>
          <w:lang w:val="en-GB"/>
        </w:rPr>
        <w:t>d</w:t>
      </w:r>
      <w:r w:rsidR="00E773F6" w:rsidRPr="0028108F">
        <w:rPr>
          <w:rFonts w:ascii="Arial" w:hAnsi="Arial" w:cs="Arial"/>
          <w:szCs w:val="24"/>
          <w:lang w:val="en-GB"/>
        </w:rPr>
        <w:t xml:space="preserve"> a potential objection</w:t>
      </w:r>
      <w:r w:rsidR="00CB0184" w:rsidRPr="0028108F">
        <w:rPr>
          <w:rFonts w:ascii="Arial" w:hAnsi="Arial" w:cs="Arial"/>
          <w:szCs w:val="24"/>
          <w:lang w:val="en-GB"/>
        </w:rPr>
        <w:t xml:space="preserve"> </w:t>
      </w:r>
      <w:r w:rsidR="00AD56DD" w:rsidRPr="0028108F">
        <w:rPr>
          <w:rFonts w:ascii="Arial" w:hAnsi="Arial" w:cs="Arial"/>
          <w:szCs w:val="24"/>
          <w:lang w:val="en-GB"/>
        </w:rPr>
        <w:t>against this fraud concern</w:t>
      </w:r>
      <w:r w:rsidR="00E773F6" w:rsidRPr="0028108F">
        <w:rPr>
          <w:rFonts w:ascii="Arial" w:hAnsi="Arial" w:cs="Arial"/>
          <w:szCs w:val="24"/>
          <w:lang w:val="en-GB"/>
        </w:rPr>
        <w:t>:</w:t>
      </w:r>
      <w:r w:rsidR="00E773F6" w:rsidRPr="00181CF2">
        <w:rPr>
          <w:rStyle w:val="FootnoteReference"/>
          <w:rFonts w:ascii="Arial" w:hAnsi="Arial" w:cs="Arial"/>
          <w:szCs w:val="24"/>
          <w:lang w:val="en-GB"/>
        </w:rPr>
        <w:footnoteReference w:id="618"/>
      </w:r>
    </w:p>
    <w:p w:rsidR="00E773F6" w:rsidRPr="00C57CE1" w:rsidRDefault="00E773F6" w:rsidP="00E773F6">
      <w:pPr>
        <w:tabs>
          <w:tab w:val="left" w:pos="1418"/>
          <w:tab w:val="left" w:pos="2552"/>
        </w:tabs>
        <w:autoSpaceDE w:val="0"/>
        <w:autoSpaceDN w:val="0"/>
        <w:adjustRightInd w:val="0"/>
        <w:snapToGrid w:val="0"/>
        <w:jc w:val="both"/>
        <w:rPr>
          <w:rFonts w:ascii="Arial" w:hAnsi="Arial" w:cs="Arial"/>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“There is little evidence that transgender individuals present a security risk to women, while there is a great deal of evidence that transgender individuals themselves are at immense risk if they are not given accommodations.  To the extent that privacy concerns rest on a fear of sexual objectification, they rely on a specious assumption of universal heterosexuality.  Fraud seems unlikely when a perpetrator would have to live two years in another gender to effectuate his ends.  National security would not be undermined if the original records were sealed to all but those in charge of enforcement.”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AD56DD"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Another c</w:t>
      </w:r>
      <w:r w:rsidR="00E773F6" w:rsidRPr="0028108F">
        <w:rPr>
          <w:rFonts w:ascii="Arial" w:hAnsi="Arial" w:cs="Arial"/>
          <w:szCs w:val="24"/>
          <w:lang w:val="en-GB"/>
        </w:rPr>
        <w:t>ounterargument</w:t>
      </w:r>
      <w:r w:rsidRPr="0028108F">
        <w:rPr>
          <w:rFonts w:ascii="Arial" w:hAnsi="Arial" w:cs="Arial"/>
          <w:szCs w:val="24"/>
          <w:lang w:val="en-GB"/>
        </w:rPr>
        <w:t xml:space="preserve"> is</w:t>
      </w:r>
      <w:r w:rsidR="00E773F6" w:rsidRPr="0028108F">
        <w:rPr>
          <w:rFonts w:ascii="Arial" w:hAnsi="Arial" w:cs="Arial"/>
          <w:szCs w:val="24"/>
          <w:lang w:val="en-GB"/>
        </w:rPr>
        <w:t xml:space="preserve"> that </w:t>
      </w:r>
      <w:r w:rsidRPr="0028108F">
        <w:rPr>
          <w:rFonts w:ascii="Arial" w:hAnsi="Arial" w:cs="Arial"/>
          <w:szCs w:val="24"/>
          <w:lang w:val="en-GB"/>
        </w:rPr>
        <w:t>in jurisdictions where</w:t>
      </w:r>
      <w:r w:rsidR="00E773F6" w:rsidRPr="0028108F">
        <w:rPr>
          <w:rFonts w:ascii="Arial" w:hAnsi="Arial" w:cs="Arial"/>
          <w:szCs w:val="24"/>
          <w:lang w:val="en-GB"/>
        </w:rPr>
        <w:t xml:space="preserve"> gender recognition laws</w:t>
      </w:r>
      <w:r w:rsidRPr="0028108F">
        <w:rPr>
          <w:rFonts w:ascii="Arial" w:hAnsi="Arial" w:cs="Arial"/>
          <w:szCs w:val="24"/>
          <w:lang w:val="en-GB"/>
        </w:rPr>
        <w:t xml:space="preserve"> are in place, nothing</w:t>
      </w:r>
      <w:r w:rsidR="00E773F6" w:rsidRPr="0028108F">
        <w:rPr>
          <w:rFonts w:ascii="Arial" w:hAnsi="Arial" w:cs="Arial"/>
          <w:szCs w:val="24"/>
          <w:lang w:val="en-GB"/>
        </w:rPr>
        <w:t xml:space="preserve"> </w:t>
      </w:r>
      <w:r w:rsidRPr="0028108F">
        <w:rPr>
          <w:rFonts w:ascii="Arial" w:hAnsi="Arial" w:cs="Arial"/>
          <w:szCs w:val="24"/>
          <w:lang w:val="en-GB"/>
        </w:rPr>
        <w:t xml:space="preserve">in such laws would </w:t>
      </w:r>
      <w:r w:rsidR="00E773F6" w:rsidRPr="0028108F">
        <w:rPr>
          <w:rFonts w:ascii="Arial" w:hAnsi="Arial" w:cs="Arial"/>
          <w:szCs w:val="24"/>
          <w:lang w:val="en-GB"/>
        </w:rPr>
        <w:t xml:space="preserve">make it legal to commit sexual assault </w:t>
      </w:r>
      <w:r w:rsidRPr="0028108F">
        <w:rPr>
          <w:rFonts w:ascii="Arial" w:hAnsi="Arial" w:cs="Arial"/>
          <w:szCs w:val="24"/>
          <w:lang w:val="en-GB"/>
        </w:rPr>
        <w:t xml:space="preserve">or other sex related crimes </w:t>
      </w:r>
      <w:r w:rsidR="00E773F6" w:rsidRPr="0028108F">
        <w:rPr>
          <w:rFonts w:ascii="Arial" w:hAnsi="Arial" w:cs="Arial"/>
          <w:szCs w:val="24"/>
          <w:lang w:val="en-GB"/>
        </w:rPr>
        <w:t xml:space="preserve">in public facilities.  In the US, some </w:t>
      </w:r>
      <w:r w:rsidRPr="0028108F">
        <w:rPr>
          <w:rFonts w:ascii="Arial" w:hAnsi="Arial" w:cs="Arial"/>
          <w:szCs w:val="24"/>
          <w:lang w:val="en-GB"/>
        </w:rPr>
        <w:t xml:space="preserve">people </w:t>
      </w:r>
      <w:r w:rsidR="00E773F6" w:rsidRPr="0028108F">
        <w:rPr>
          <w:rFonts w:ascii="Arial" w:hAnsi="Arial" w:cs="Arial"/>
          <w:szCs w:val="24"/>
          <w:lang w:val="en-GB"/>
        </w:rPr>
        <w:t xml:space="preserve">claim that municipalities which already have legislation on non-discrimination on </w:t>
      </w:r>
      <w:r w:rsidR="005158DE" w:rsidRPr="0028108F">
        <w:rPr>
          <w:rFonts w:ascii="Arial" w:hAnsi="Arial" w:cs="Arial"/>
          <w:szCs w:val="24"/>
          <w:lang w:val="en-GB"/>
        </w:rPr>
        <w:t xml:space="preserve">the </w:t>
      </w:r>
      <w:r w:rsidR="00E773F6" w:rsidRPr="0028108F">
        <w:rPr>
          <w:rFonts w:ascii="Arial" w:hAnsi="Arial" w:cs="Arial"/>
          <w:szCs w:val="24"/>
          <w:lang w:val="en-GB"/>
        </w:rPr>
        <w:t>grounds of gender identity, which allow</w:t>
      </w:r>
      <w:r w:rsidR="00FB3DF9" w:rsidRPr="0028108F">
        <w:rPr>
          <w:rFonts w:ascii="Arial" w:hAnsi="Arial" w:cs="Arial"/>
          <w:szCs w:val="24"/>
          <w:lang w:val="en-GB"/>
        </w:rPr>
        <w:t>s</w:t>
      </w:r>
      <w:r w:rsidR="00E773F6" w:rsidRPr="0028108F">
        <w:rPr>
          <w:rFonts w:ascii="Arial" w:hAnsi="Arial" w:cs="Arial"/>
          <w:szCs w:val="24"/>
          <w:lang w:val="en-GB"/>
        </w:rPr>
        <w:t xml:space="preserve"> transgender </w:t>
      </w:r>
      <w:r w:rsidR="005158DE" w:rsidRPr="0028108F">
        <w:rPr>
          <w:rFonts w:ascii="Arial" w:hAnsi="Arial" w:cs="Arial"/>
          <w:szCs w:val="24"/>
          <w:lang w:val="en-GB"/>
        </w:rPr>
        <w:t xml:space="preserve">persons </w:t>
      </w:r>
      <w:r w:rsidR="00E773F6" w:rsidRPr="0028108F">
        <w:rPr>
          <w:rFonts w:ascii="Arial" w:hAnsi="Arial" w:cs="Arial"/>
          <w:szCs w:val="24"/>
          <w:lang w:val="en-GB"/>
        </w:rPr>
        <w:t xml:space="preserve">to go into </w:t>
      </w:r>
      <w:r w:rsidR="00FB3DF9" w:rsidRPr="0028108F">
        <w:rPr>
          <w:rFonts w:ascii="Arial" w:hAnsi="Arial" w:cs="Arial"/>
          <w:szCs w:val="24"/>
          <w:lang w:val="en-GB"/>
        </w:rPr>
        <w:t xml:space="preserve">the </w:t>
      </w:r>
      <w:r w:rsidR="00E773F6" w:rsidRPr="0028108F">
        <w:rPr>
          <w:rFonts w:ascii="Arial" w:hAnsi="Arial" w:cs="Arial"/>
          <w:szCs w:val="24"/>
          <w:lang w:val="en-GB"/>
        </w:rPr>
        <w:t xml:space="preserve">public bathrooms of </w:t>
      </w:r>
      <w:r w:rsidR="005158DE" w:rsidRPr="0028108F">
        <w:rPr>
          <w:rFonts w:ascii="Arial" w:hAnsi="Arial" w:cs="Arial"/>
          <w:szCs w:val="24"/>
          <w:lang w:val="en-GB"/>
        </w:rPr>
        <w:t>their</w:t>
      </w:r>
      <w:r w:rsidR="00E773F6" w:rsidRPr="0028108F">
        <w:rPr>
          <w:rFonts w:ascii="Arial" w:hAnsi="Arial" w:cs="Arial"/>
          <w:szCs w:val="24"/>
          <w:lang w:val="en-GB"/>
        </w:rPr>
        <w:t xml:space="preserve"> acquired gender, have not seen any increase in reports of bathroom assaults.</w:t>
      </w:r>
      <w:r w:rsidR="00E773F6" w:rsidRPr="00181CF2">
        <w:rPr>
          <w:rStyle w:val="FootnoteReference"/>
          <w:rFonts w:ascii="Arial" w:hAnsi="Arial" w:cs="Arial"/>
          <w:szCs w:val="24"/>
          <w:lang w:val="en-GB"/>
        </w:rPr>
        <w:footnoteReference w:id="619"/>
      </w:r>
      <w:r w:rsidR="00E773F6" w:rsidRPr="00181CF2">
        <w:rPr>
          <w:rFonts w:ascii="Arial" w:hAnsi="Arial" w:cs="Arial"/>
          <w:szCs w:val="24"/>
          <w:lang w:val="en-GB"/>
        </w:rPr>
        <w:t xml:space="preserve">  </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u w:val="single"/>
          <w:lang w:val="en-GB"/>
        </w:rPr>
      </w:pPr>
      <w:r w:rsidRPr="00C57CE1">
        <w:rPr>
          <w:rFonts w:ascii="Arial" w:hAnsi="Arial" w:cs="Arial"/>
          <w:color w:val="000000" w:themeColor="text1"/>
          <w:szCs w:val="24"/>
          <w:lang w:val="en-GB"/>
        </w:rPr>
        <w:t>It has also been argued that</w:t>
      </w:r>
      <w:r w:rsidR="00636C6F"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on a daily basis and in almost all social situations, a person’s genitals remain entirely private, even inside sex-segregated facilities or in work situations where a person is performing gender-specific duties.</w:t>
      </w:r>
      <w:r w:rsidRPr="00181CF2">
        <w:rPr>
          <w:rStyle w:val="FootnoteReference"/>
          <w:rFonts w:ascii="Arial" w:hAnsi="Arial" w:cs="Arial"/>
          <w:szCs w:val="24"/>
          <w:lang w:val="en-GB"/>
        </w:rPr>
        <w:footnoteReference w:id="620"/>
      </w:r>
      <w:r w:rsidRPr="00181CF2">
        <w:rPr>
          <w:rFonts w:ascii="Arial" w:hAnsi="Arial" w:cs="Arial"/>
          <w:color w:val="000000" w:themeColor="text1"/>
          <w:szCs w:val="24"/>
          <w:lang w:val="en-GB"/>
        </w:rPr>
        <w:t xml:space="preserve">  In response to the concern of some people that pre-operative transgender women may enter women’s bathrooms and changing rooms to sexually assault non-transgender women who are using those fac</w:t>
      </w:r>
      <w:r w:rsidRPr="00C57CE1">
        <w:rPr>
          <w:rFonts w:ascii="Arial" w:hAnsi="Arial" w:cs="Arial"/>
          <w:color w:val="000000" w:themeColor="text1"/>
          <w:szCs w:val="24"/>
          <w:lang w:val="en-GB"/>
        </w:rPr>
        <w:t xml:space="preserve">ilities, </w:t>
      </w:r>
      <w:r w:rsidRPr="0028108F">
        <w:rPr>
          <w:rFonts w:ascii="Arial" w:hAnsi="Arial" w:cs="Arial"/>
          <w:szCs w:val="24"/>
          <w:lang w:val="en-GB"/>
        </w:rPr>
        <w:t>Lisa Mottet</w:t>
      </w:r>
      <w:r w:rsidR="00062BC6" w:rsidRPr="0028108F">
        <w:rPr>
          <w:rFonts w:ascii="Arial" w:hAnsi="Arial" w:cs="Arial"/>
          <w:szCs w:val="24"/>
          <w:lang w:val="en-GB"/>
        </w:rPr>
        <w:t xml:space="preserve"> </w:t>
      </w:r>
      <w:r w:rsidR="0092225A" w:rsidRPr="0028108F">
        <w:rPr>
          <w:rFonts w:ascii="Arial" w:hAnsi="Arial" w:cs="Arial"/>
          <w:color w:val="000000" w:themeColor="text1"/>
          <w:szCs w:val="24"/>
          <w:lang w:val="en-GB"/>
        </w:rPr>
        <w:t>observ</w:t>
      </w:r>
      <w:r w:rsidR="00062BC6" w:rsidRPr="0028108F">
        <w:rPr>
          <w:rFonts w:ascii="Arial" w:hAnsi="Arial" w:cs="Arial"/>
          <w:color w:val="000000" w:themeColor="text1"/>
          <w:szCs w:val="24"/>
          <w:lang w:val="en-GB"/>
        </w:rPr>
        <w:t>ed</w:t>
      </w:r>
      <w:r w:rsidRPr="0028108F">
        <w:rPr>
          <w:rFonts w:ascii="Arial" w:hAnsi="Arial" w:cs="Arial"/>
          <w:color w:val="000000" w:themeColor="text1"/>
          <w:szCs w:val="24"/>
          <w:lang w:val="en-GB"/>
        </w:rPr>
        <w:t xml:space="preserve"> that:</w:t>
      </w:r>
    </w:p>
    <w:p w:rsidR="00E773F6" w:rsidRPr="0028108F" w:rsidRDefault="00E773F6" w:rsidP="00E773F6">
      <w:pPr>
        <w:pStyle w:val="ListParagraph"/>
        <w:rPr>
          <w:rFonts w:ascii="Arial" w:hAnsi="Arial" w:cs="Arial"/>
          <w:color w:val="000000" w:themeColor="text1"/>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“As a general rule, transgender people who have not had genital surgery are very likely to go to great lengths to avoid having other people observe their unclothed bodies. </w:t>
      </w:r>
      <w:r w:rsidR="00907B7B"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 xml:space="preserve">If they are able to do so, their bodily characteristics should not be considered relevant.  If one is not able to keep their body private, the facility will learn of the person’s </w:t>
      </w:r>
      <w:r w:rsidRPr="0028108F">
        <w:rPr>
          <w:rFonts w:ascii="Arial" w:hAnsi="Arial" w:cs="Arial"/>
          <w:i/>
          <w:szCs w:val="24"/>
          <w:lang w:val="en-GB"/>
        </w:rPr>
        <w:t>bodily</w:t>
      </w:r>
      <w:r w:rsidRPr="0028108F">
        <w:rPr>
          <w:rFonts w:ascii="Arial" w:hAnsi="Arial" w:cs="Arial"/>
          <w:i/>
          <w:color w:val="000000" w:themeColor="text1"/>
          <w:szCs w:val="24"/>
          <w:lang w:val="en-GB"/>
        </w:rPr>
        <w:t xml:space="preserve"> anatomy as a practical matter, typically through voluntary verbal disclosure. [FN: It is difficult to imagine an instance where a transgender woman, who still has male genitalia and who has struggled all her life to be seen as a woman by others, would walk into an open women’s shower without attempting to conceal that area of her body.]</w:t>
      </w:r>
    </w:p>
    <w:p w:rsidR="00E773F6" w:rsidRPr="0028108F" w:rsidRDefault="00E773F6" w:rsidP="00E773F6">
      <w:pPr>
        <w:pStyle w:val="ListParagraph"/>
        <w:tabs>
          <w:tab w:val="left" w:pos="1418"/>
          <w:tab w:val="left" w:pos="2552"/>
        </w:tabs>
        <w:autoSpaceDE w:val="0"/>
        <w:autoSpaceDN w:val="0"/>
        <w:adjustRightInd w:val="0"/>
        <w:snapToGrid w:val="0"/>
        <w:ind w:leftChars="0" w:left="1418"/>
        <w:jc w:val="both"/>
        <w:rPr>
          <w:rFonts w:ascii="Arial" w:hAnsi="Arial" w:cs="Arial"/>
          <w:i/>
          <w:color w:val="000000" w:themeColor="text1"/>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Individuals who believe that transgender people should complete surgery before being allowed to change their birth certificates often cite the protection of women as their main goal. </w:t>
      </w:r>
      <w:r w:rsidR="00907B7B"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 xml:space="preserve">More specifically, these individuals feel that transgender women who have not undergone surgery will enter women’s bathrooms and locker rooms to sexually assault non-transgender women who also frequent those </w:t>
      </w:r>
      <w:r w:rsidRPr="0028108F">
        <w:rPr>
          <w:rFonts w:ascii="Arial" w:hAnsi="Arial" w:cs="Arial"/>
          <w:i/>
          <w:szCs w:val="24"/>
          <w:lang w:val="en-GB"/>
        </w:rPr>
        <w:t>facilities</w:t>
      </w:r>
      <w:r w:rsidRPr="0028108F">
        <w:rPr>
          <w:rFonts w:ascii="Arial" w:hAnsi="Arial" w:cs="Arial"/>
          <w:i/>
          <w:color w:val="000000" w:themeColor="text1"/>
          <w:szCs w:val="24"/>
          <w:lang w:val="en-GB"/>
        </w:rPr>
        <w:t xml:space="preserve">.  However, this concern is based on several incorrect assumptions, including that access to these facilities is currently based on the gender marker listed on a person’s birth certificate.  </w:t>
      </w:r>
    </w:p>
    <w:p w:rsidR="00E773F6" w:rsidRPr="0028108F" w:rsidRDefault="00E773F6" w:rsidP="00E773F6">
      <w:pPr>
        <w:pStyle w:val="ListParagraph"/>
        <w:tabs>
          <w:tab w:val="left" w:pos="1418"/>
          <w:tab w:val="left" w:pos="2552"/>
        </w:tabs>
        <w:autoSpaceDE w:val="0"/>
        <w:autoSpaceDN w:val="0"/>
        <w:adjustRightInd w:val="0"/>
        <w:snapToGrid w:val="0"/>
        <w:ind w:leftChars="0" w:left="1418"/>
        <w:jc w:val="both"/>
        <w:rPr>
          <w:rFonts w:ascii="Arial" w:hAnsi="Arial" w:cs="Arial"/>
          <w:i/>
          <w:color w:val="000000" w:themeColor="text1"/>
          <w:szCs w:val="24"/>
          <w:lang w:val="en-GB"/>
        </w:rPr>
      </w:pPr>
    </w:p>
    <w:p w:rsidR="00E773F6" w:rsidRPr="00181CF2" w:rsidRDefault="00E773F6" w:rsidP="0028108F">
      <w:pPr>
        <w:pStyle w:val="ListParagraph"/>
        <w:tabs>
          <w:tab w:val="left" w:pos="851"/>
        </w:tabs>
        <w:adjustRightInd w:val="0"/>
        <w:snapToGrid w:val="0"/>
        <w:ind w:leftChars="0" w:left="851" w:rightChars="212" w:right="509"/>
        <w:jc w:val="both"/>
        <w:rPr>
          <w:rFonts w:ascii="Arial" w:hAnsi="Arial" w:cs="Arial"/>
          <w:color w:val="000000" w:themeColor="text1"/>
          <w:szCs w:val="24"/>
          <w:lang w:val="en-GB"/>
        </w:rPr>
      </w:pPr>
      <w:r w:rsidRPr="0028108F">
        <w:rPr>
          <w:rFonts w:ascii="Arial" w:hAnsi="Arial" w:cs="Arial"/>
          <w:i/>
          <w:color w:val="000000" w:themeColor="text1"/>
          <w:szCs w:val="24"/>
          <w:lang w:val="en-GB"/>
        </w:rPr>
        <w:t>In fact, the large majority of sex-segregated facilities do not maintain written policies with regard to restroom access.  Although this is changing, the default rule is essentially a social one: if you look like a man, you can use the men’s room and if you look like a woman, you can use the women’s room.</w:t>
      </w:r>
      <w:r w:rsidRPr="0028108F">
        <w:rPr>
          <w:rFonts w:ascii="Arial" w:hAnsi="Arial" w:cs="Arial"/>
          <w:color w:val="000000" w:themeColor="text1"/>
          <w:szCs w:val="24"/>
          <w:lang w:val="en-GB"/>
        </w:rPr>
        <w:t>”</w:t>
      </w:r>
      <w:r w:rsidRPr="00181CF2">
        <w:rPr>
          <w:rStyle w:val="FootnoteReference"/>
          <w:rFonts w:ascii="Arial" w:hAnsi="Arial" w:cs="Arial"/>
          <w:szCs w:val="24"/>
          <w:lang w:val="en-GB"/>
        </w:rPr>
        <w:footnoteReference w:id="621"/>
      </w:r>
      <w:r w:rsidRPr="00181CF2">
        <w:rPr>
          <w:rFonts w:ascii="Arial" w:hAnsi="Arial" w:cs="Arial"/>
          <w:color w:val="000000" w:themeColor="text1"/>
          <w:szCs w:val="24"/>
          <w:lang w:val="en-GB"/>
        </w:rPr>
        <w:t xml:space="preserve">  </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Another counterargument is that security and law enforcement agencies’ ability to protect the public </w:t>
      </w:r>
      <w:r w:rsidR="0069002B" w:rsidRPr="0028108F">
        <w:rPr>
          <w:rFonts w:ascii="Arial" w:hAnsi="Arial" w:cs="Arial"/>
          <w:szCs w:val="24"/>
          <w:lang w:val="en-GB"/>
        </w:rPr>
        <w:t xml:space="preserve">could be </w:t>
      </w:r>
      <w:r w:rsidRPr="0028108F">
        <w:rPr>
          <w:rFonts w:ascii="Arial" w:hAnsi="Arial" w:cs="Arial"/>
          <w:szCs w:val="24"/>
          <w:lang w:val="en-GB"/>
        </w:rPr>
        <w:t>enhanced by having gender marker policies that are not based on surgeries, but are instead based on the gender to which a person has transitioned which accords with his or her external gender expression.  As Lisa Mottet observed</w:t>
      </w:r>
      <w:r w:rsidR="008A592E" w:rsidRPr="0028108F">
        <w:rPr>
          <w:rFonts w:ascii="Arial" w:hAnsi="Arial" w:cs="Arial"/>
          <w:szCs w:val="24"/>
          <w:lang w:val="en-GB"/>
        </w:rPr>
        <w:t>.</w:t>
      </w:r>
      <w:r w:rsidRPr="00181CF2">
        <w:rPr>
          <w:rStyle w:val="FootnoteReference"/>
          <w:rFonts w:ascii="Arial" w:hAnsi="Arial" w:cs="Arial"/>
          <w:szCs w:val="24"/>
          <w:lang w:val="en-GB"/>
        </w:rPr>
        <w:footnoteReference w:id="622"/>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 xml:space="preserve">“Transgender </w:t>
      </w:r>
      <w:r w:rsidRPr="0028108F">
        <w:rPr>
          <w:rFonts w:ascii="Arial" w:hAnsi="Arial" w:cs="Arial"/>
          <w:i/>
          <w:color w:val="000000" w:themeColor="text1"/>
          <w:szCs w:val="24"/>
          <w:lang w:val="en-GB"/>
        </w:rPr>
        <w:t>people</w:t>
      </w:r>
      <w:r w:rsidRPr="0028108F">
        <w:rPr>
          <w:rFonts w:ascii="Arial" w:hAnsi="Arial" w:cs="Arial"/>
          <w:i/>
          <w:szCs w:val="24"/>
          <w:lang w:val="en-GB"/>
        </w:rPr>
        <w:t xml:space="preserve"> often report being delayed, detained, or otherwise harassed by law enforcement officers because the gender </w:t>
      </w:r>
      <w:r w:rsidRPr="0028108F">
        <w:rPr>
          <w:rFonts w:ascii="Arial" w:hAnsi="Arial" w:cs="Arial"/>
          <w:i/>
          <w:color w:val="000000" w:themeColor="text1"/>
          <w:szCs w:val="24"/>
          <w:lang w:val="en-GB"/>
        </w:rPr>
        <w:t>marker</w:t>
      </w:r>
      <w:r w:rsidRPr="0028108F">
        <w:rPr>
          <w:rFonts w:ascii="Arial" w:hAnsi="Arial" w:cs="Arial"/>
          <w:i/>
          <w:szCs w:val="24"/>
          <w:lang w:val="en-GB"/>
        </w:rPr>
        <w:t xml:space="preserve"> on their ID does not match their external gender expression.  Sometimes officers are concerned the ID is fraudulent and take various steps to determine the legitimacy of the document.  This extra scrutiny consumes law enforcement resources that are better spent identifying truly counterfeit identity documents or dealing with other law enforcement duties.  </w:t>
      </w:r>
    </w:p>
    <w:p w:rsidR="00E773F6" w:rsidRPr="0028108F" w:rsidRDefault="00E773F6" w:rsidP="00E773F6">
      <w:pPr>
        <w:tabs>
          <w:tab w:val="left" w:pos="851"/>
        </w:tabs>
        <w:adjustRightInd w:val="0"/>
        <w:snapToGrid w:val="0"/>
        <w:ind w:leftChars="295" w:left="708" w:rightChars="212" w:right="509"/>
        <w:jc w:val="both"/>
        <w:rPr>
          <w:rFonts w:ascii="Arial" w:hAnsi="Arial" w:cs="Arial"/>
          <w:i/>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 xml:space="preserve">A second advantage for law enforcement of accurate, up-to-date gender markers involves situations in which police officers respond to crimes, identify witnesses, or attempt to locate persons of interest.  The officer attempting to locate someone is better served by </w:t>
      </w:r>
      <w:r w:rsidRPr="0028108F">
        <w:rPr>
          <w:rFonts w:ascii="Arial" w:hAnsi="Arial" w:cs="Arial"/>
          <w:i/>
          <w:color w:val="000000" w:themeColor="text1"/>
          <w:szCs w:val="24"/>
          <w:lang w:val="en-GB"/>
        </w:rPr>
        <w:t>knowing</w:t>
      </w:r>
      <w:r w:rsidRPr="0028108F">
        <w:rPr>
          <w:rFonts w:ascii="Arial" w:hAnsi="Arial" w:cs="Arial"/>
          <w:i/>
          <w:szCs w:val="24"/>
          <w:lang w:val="en-GB"/>
        </w:rPr>
        <w:t xml:space="preserve"> the gender that the person is known as by friends and acquaintances, who may be confused or unhelpful when the officer asks about the “woman” or “man” who lives next door.  Similarly, when the officers interact with a victim or a witness, they are more likely to alienate a transgender man, with a female designation on his license, by using the terms “ma’am” and “Ms.,” or by using “sir” or “Mr.” for a transgender woman.  This alienation could make the transgender person, or others aware of the disrespect shown, less likely to trust, inform, and work with police in the instant case or in future situations.</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i/>
          <w:szCs w:val="24"/>
          <w:lang w:val="en-GB"/>
        </w:rPr>
      </w:pPr>
    </w:p>
    <w:p w:rsidR="00E773F6" w:rsidRPr="0028108F" w:rsidRDefault="00E773F6" w:rsidP="0028108F">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 xml:space="preserve">In conclusion, there </w:t>
      </w:r>
      <w:r w:rsidRPr="0028108F">
        <w:rPr>
          <w:rFonts w:ascii="Arial" w:hAnsi="Arial" w:cs="Arial"/>
          <w:i/>
          <w:color w:val="000000" w:themeColor="text1"/>
          <w:szCs w:val="24"/>
          <w:lang w:val="en-GB"/>
        </w:rPr>
        <w:t>are</w:t>
      </w:r>
      <w:r w:rsidRPr="0028108F">
        <w:rPr>
          <w:rFonts w:ascii="Arial" w:hAnsi="Arial" w:cs="Arial"/>
          <w:i/>
          <w:szCs w:val="24"/>
          <w:lang w:val="en-GB"/>
        </w:rPr>
        <w:t xml:space="preserve"> no realistic fraud or security concerns that are addressed by maintaining a surgery requirement.”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C57CE1"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eastAsiaTheme="minorEastAsia" w:hAnsi="Arial" w:cs="Arial"/>
          <w:kern w:val="0"/>
          <w:szCs w:val="24"/>
          <w:lang w:val="en-GB"/>
        </w:rPr>
        <w:t>There is a</w:t>
      </w:r>
      <w:r w:rsidR="00400335">
        <w:rPr>
          <w:rFonts w:ascii="Arial" w:eastAsiaTheme="minorEastAsia" w:hAnsi="Arial" w:cs="Arial" w:hint="eastAsia"/>
          <w:kern w:val="0"/>
          <w:szCs w:val="24"/>
          <w:lang w:val="en-GB"/>
        </w:rPr>
        <w:t xml:space="preserve"> considerable</w:t>
      </w:r>
      <w:r w:rsidRPr="0028108F">
        <w:rPr>
          <w:rFonts w:ascii="Arial" w:eastAsiaTheme="minorEastAsia" w:hAnsi="Arial" w:cs="Arial"/>
          <w:kern w:val="0"/>
          <w:szCs w:val="24"/>
          <w:lang w:val="en-GB"/>
        </w:rPr>
        <w:t xml:space="preserve"> body of literature and campaigning activism </w:t>
      </w:r>
      <w:r w:rsidR="0069002B" w:rsidRPr="0028108F">
        <w:rPr>
          <w:rFonts w:ascii="Arial" w:eastAsiaTheme="minorEastAsia" w:hAnsi="Arial" w:cs="Arial"/>
          <w:kern w:val="0"/>
          <w:szCs w:val="24"/>
          <w:lang w:val="en-GB"/>
        </w:rPr>
        <w:t>lobbying for</w:t>
      </w:r>
      <w:r w:rsidRPr="0028108F">
        <w:rPr>
          <w:rFonts w:ascii="Arial" w:eastAsiaTheme="minorEastAsia" w:hAnsi="Arial" w:cs="Arial"/>
          <w:kern w:val="0"/>
          <w:szCs w:val="24"/>
          <w:lang w:val="en-GB"/>
        </w:rPr>
        <w:t xml:space="preserve"> gender-neutral public toilets</w:t>
      </w:r>
      <w:r w:rsidR="00A808ED" w:rsidRPr="0028108F">
        <w:rPr>
          <w:rFonts w:ascii="Arial" w:eastAsiaTheme="minorEastAsia" w:hAnsi="Arial" w:cs="Arial"/>
          <w:kern w:val="0"/>
          <w:szCs w:val="24"/>
          <w:lang w:val="en-GB"/>
        </w:rPr>
        <w:t>.</w:t>
      </w:r>
      <w:r w:rsidRPr="00181CF2">
        <w:rPr>
          <w:rStyle w:val="FootnoteReference"/>
          <w:rFonts w:ascii="Arial" w:hAnsi="Arial" w:cs="Arial"/>
          <w:kern w:val="0"/>
          <w:szCs w:val="24"/>
          <w:lang w:val="en-GB"/>
        </w:rPr>
        <w:footnoteReference w:id="623"/>
      </w:r>
      <w:r w:rsidRPr="00C57CE1">
        <w:rPr>
          <w:rFonts w:ascii="Arial" w:eastAsiaTheme="minorEastAsia" w:hAnsi="Arial" w:cs="Arial"/>
          <w:kern w:val="0"/>
          <w:szCs w:val="24"/>
          <w:lang w:val="en-GB"/>
        </w:rPr>
        <w:t xml:space="preserve">  However, to some </w:t>
      </w:r>
      <w:r w:rsidR="004422E5" w:rsidRPr="0028108F">
        <w:rPr>
          <w:rFonts w:ascii="Arial" w:eastAsiaTheme="minorEastAsia" w:hAnsi="Arial" w:cs="Arial"/>
          <w:kern w:val="0"/>
          <w:szCs w:val="24"/>
          <w:lang w:val="en-GB"/>
        </w:rPr>
        <w:t xml:space="preserve">transgender </w:t>
      </w:r>
      <w:r w:rsidRPr="0028108F">
        <w:rPr>
          <w:rFonts w:ascii="Arial" w:eastAsiaTheme="minorEastAsia" w:hAnsi="Arial" w:cs="Arial"/>
          <w:kern w:val="0"/>
          <w:szCs w:val="24"/>
          <w:lang w:val="en-GB"/>
        </w:rPr>
        <w:t>pe</w:t>
      </w:r>
      <w:r w:rsidR="004422E5" w:rsidRPr="0028108F">
        <w:rPr>
          <w:rFonts w:ascii="Arial" w:eastAsiaTheme="minorEastAsia" w:hAnsi="Arial" w:cs="Arial"/>
          <w:kern w:val="0"/>
          <w:szCs w:val="24"/>
          <w:lang w:val="en-GB"/>
        </w:rPr>
        <w:t>rsons</w:t>
      </w:r>
      <w:r w:rsidRPr="0028108F">
        <w:rPr>
          <w:rFonts w:ascii="Arial" w:eastAsiaTheme="minorEastAsia" w:hAnsi="Arial" w:cs="Arial"/>
          <w:kern w:val="0"/>
          <w:szCs w:val="24"/>
          <w:lang w:val="en-GB"/>
        </w:rPr>
        <w:t xml:space="preserve"> this idea might not be </w:t>
      </w:r>
      <w:r w:rsidR="004422E5" w:rsidRPr="0028108F">
        <w:rPr>
          <w:rFonts w:ascii="Arial" w:eastAsiaTheme="minorEastAsia" w:hAnsi="Arial" w:cs="Arial"/>
          <w:kern w:val="0"/>
          <w:szCs w:val="24"/>
          <w:lang w:val="en-GB"/>
        </w:rPr>
        <w:t xml:space="preserve">a </w:t>
      </w:r>
      <w:r w:rsidRPr="0028108F">
        <w:rPr>
          <w:rFonts w:ascii="Arial" w:eastAsiaTheme="minorEastAsia" w:hAnsi="Arial" w:cs="Arial"/>
          <w:kern w:val="0"/>
          <w:szCs w:val="24"/>
          <w:lang w:val="en-GB"/>
        </w:rPr>
        <w:t xml:space="preserve">solution as </w:t>
      </w:r>
      <w:r w:rsidR="004422E5" w:rsidRPr="0028108F">
        <w:rPr>
          <w:rFonts w:ascii="Arial" w:eastAsiaTheme="minorEastAsia" w:hAnsi="Arial" w:cs="Arial"/>
          <w:kern w:val="0"/>
          <w:szCs w:val="24"/>
          <w:lang w:val="en-GB"/>
        </w:rPr>
        <w:t>they</w:t>
      </w:r>
      <w:r w:rsidRPr="0028108F">
        <w:rPr>
          <w:rFonts w:ascii="Arial" w:eastAsiaTheme="minorEastAsia" w:hAnsi="Arial" w:cs="Arial"/>
          <w:kern w:val="0"/>
          <w:szCs w:val="24"/>
          <w:lang w:val="en-GB"/>
        </w:rPr>
        <w:t xml:space="preserve"> might feel uncomfortable, belittled or even discriminated </w:t>
      </w:r>
      <w:r w:rsidR="00B06321" w:rsidRPr="0028108F">
        <w:rPr>
          <w:rFonts w:ascii="Arial" w:eastAsiaTheme="minorEastAsia" w:hAnsi="Arial" w:cs="Arial"/>
          <w:kern w:val="0"/>
          <w:szCs w:val="24"/>
          <w:lang w:val="en-GB"/>
        </w:rPr>
        <w:t>against by not</w:t>
      </w:r>
      <w:r w:rsidR="004422E5" w:rsidRPr="0028108F">
        <w:rPr>
          <w:rFonts w:ascii="Arial" w:eastAsiaTheme="minorEastAsia" w:hAnsi="Arial" w:cs="Arial"/>
          <w:kern w:val="0"/>
          <w:szCs w:val="24"/>
          <w:lang w:val="en-GB"/>
        </w:rPr>
        <w:t xml:space="preserve"> being allowed</w:t>
      </w:r>
      <w:r w:rsidRPr="0028108F">
        <w:rPr>
          <w:rFonts w:ascii="Arial" w:eastAsiaTheme="minorEastAsia" w:hAnsi="Arial" w:cs="Arial"/>
          <w:kern w:val="0"/>
          <w:szCs w:val="24"/>
          <w:lang w:val="en-GB"/>
        </w:rPr>
        <w:t xml:space="preserve"> to use </w:t>
      </w:r>
      <w:r w:rsidR="00A808ED" w:rsidRPr="0028108F">
        <w:rPr>
          <w:rFonts w:ascii="Arial" w:eastAsiaTheme="minorEastAsia" w:hAnsi="Arial" w:cs="Arial"/>
          <w:kern w:val="0"/>
          <w:szCs w:val="24"/>
          <w:lang w:val="en-GB"/>
        </w:rPr>
        <w:t xml:space="preserve">as of right </w:t>
      </w:r>
      <w:r w:rsidRPr="0028108F">
        <w:rPr>
          <w:rFonts w:ascii="Arial" w:eastAsiaTheme="minorEastAsia" w:hAnsi="Arial" w:cs="Arial"/>
          <w:kern w:val="0"/>
          <w:szCs w:val="24"/>
          <w:lang w:val="en-GB"/>
        </w:rPr>
        <w:t xml:space="preserve">the toilets matching their acquired gender identity.  </w:t>
      </w:r>
      <w:r w:rsidR="00B06321" w:rsidRPr="0028108F">
        <w:rPr>
          <w:rFonts w:ascii="Arial" w:eastAsiaTheme="minorEastAsia" w:hAnsi="Arial" w:cs="Arial"/>
          <w:kern w:val="0"/>
          <w:szCs w:val="24"/>
          <w:lang w:val="en-GB"/>
        </w:rPr>
        <w:t>It has been suggested that t</w:t>
      </w:r>
      <w:r w:rsidRPr="0028108F">
        <w:rPr>
          <w:rFonts w:ascii="Arial" w:eastAsiaTheme="minorEastAsia" w:hAnsi="Arial" w:cs="Arial"/>
          <w:kern w:val="0"/>
          <w:szCs w:val="24"/>
          <w:lang w:val="en-GB"/>
        </w:rPr>
        <w:t xml:space="preserve">heir insistence </w:t>
      </w:r>
      <w:r w:rsidR="00B06321" w:rsidRPr="0028108F">
        <w:rPr>
          <w:rFonts w:ascii="Arial" w:eastAsiaTheme="minorEastAsia" w:hAnsi="Arial" w:cs="Arial"/>
          <w:kern w:val="0"/>
          <w:szCs w:val="24"/>
          <w:lang w:val="en-GB"/>
        </w:rPr>
        <w:t>on</w:t>
      </w:r>
      <w:r w:rsidRPr="0028108F">
        <w:rPr>
          <w:rFonts w:ascii="Arial" w:eastAsiaTheme="minorEastAsia" w:hAnsi="Arial" w:cs="Arial"/>
          <w:kern w:val="0"/>
          <w:szCs w:val="24"/>
          <w:lang w:val="en-GB"/>
        </w:rPr>
        <w:t xml:space="preserve"> being able to use such toilets and public accommodations </w:t>
      </w:r>
      <w:r w:rsidR="00B06321" w:rsidRPr="0028108F">
        <w:rPr>
          <w:rFonts w:ascii="Arial" w:eastAsiaTheme="minorEastAsia" w:hAnsi="Arial" w:cs="Arial"/>
          <w:kern w:val="0"/>
          <w:szCs w:val="24"/>
          <w:lang w:val="en-GB"/>
        </w:rPr>
        <w:t>may</w:t>
      </w:r>
      <w:r w:rsidR="004422E5" w:rsidRPr="0028108F">
        <w:rPr>
          <w:rFonts w:ascii="Arial" w:eastAsiaTheme="minorEastAsia" w:hAnsi="Arial" w:cs="Arial"/>
          <w:kern w:val="0"/>
          <w:szCs w:val="24"/>
          <w:lang w:val="en-GB"/>
        </w:rPr>
        <w:t xml:space="preserve"> stem from</w:t>
      </w:r>
      <w:r w:rsidRPr="0028108F">
        <w:rPr>
          <w:rFonts w:ascii="Arial" w:eastAsiaTheme="minorEastAsia" w:hAnsi="Arial" w:cs="Arial"/>
          <w:kern w:val="0"/>
          <w:szCs w:val="24"/>
          <w:lang w:val="en-GB"/>
        </w:rPr>
        <w:t xml:space="preserve"> their anxiety</w:t>
      </w:r>
      <w:r w:rsidR="00B06321" w:rsidRPr="0028108F">
        <w:rPr>
          <w:rFonts w:ascii="Arial" w:eastAsiaTheme="minorEastAsia" w:hAnsi="Arial" w:cs="Arial"/>
          <w:kern w:val="0"/>
          <w:szCs w:val="24"/>
          <w:lang w:val="en-GB"/>
        </w:rPr>
        <w:t xml:space="preserve"> and</w:t>
      </w:r>
      <w:r w:rsidRPr="0028108F">
        <w:rPr>
          <w:rFonts w:ascii="Arial" w:eastAsiaTheme="minorEastAsia" w:hAnsi="Arial" w:cs="Arial"/>
          <w:kern w:val="0"/>
          <w:szCs w:val="24"/>
          <w:lang w:val="en-GB"/>
        </w:rPr>
        <w:t xml:space="preserve"> desperate need for acceptance as a man or woman</w:t>
      </w:r>
      <w:r w:rsidR="00A808ED" w:rsidRPr="0028108F">
        <w:rPr>
          <w:rFonts w:ascii="Arial" w:eastAsiaTheme="minorEastAsia" w:hAnsi="Arial" w:cs="Arial"/>
          <w:kern w:val="0"/>
          <w:szCs w:val="24"/>
          <w:lang w:val="en-GB"/>
        </w:rPr>
        <w:t>,</w:t>
      </w:r>
      <w:r w:rsidRPr="0028108F">
        <w:rPr>
          <w:rFonts w:ascii="Arial" w:eastAsiaTheme="minorEastAsia" w:hAnsi="Arial" w:cs="Arial"/>
          <w:kern w:val="0"/>
          <w:szCs w:val="24"/>
          <w:lang w:val="en-GB"/>
        </w:rPr>
        <w:t xml:space="preserve"> as the case may be</w:t>
      </w:r>
      <w:r w:rsidR="00B06321" w:rsidRPr="0028108F">
        <w:rPr>
          <w:rFonts w:ascii="Arial" w:eastAsiaTheme="minorEastAsia" w:hAnsi="Arial" w:cs="Arial"/>
          <w:kern w:val="0"/>
          <w:szCs w:val="24"/>
          <w:lang w:val="en-GB"/>
        </w:rPr>
        <w:t>.</w:t>
      </w:r>
      <w:r w:rsidRPr="00181CF2">
        <w:rPr>
          <w:rStyle w:val="FootnoteReference"/>
          <w:rFonts w:ascii="Arial" w:hAnsi="Arial" w:cs="Arial"/>
          <w:kern w:val="0"/>
          <w:szCs w:val="24"/>
          <w:lang w:val="en-GB"/>
        </w:rPr>
        <w:footnoteReference w:id="624"/>
      </w:r>
      <w:r w:rsidRPr="00181CF2">
        <w:rPr>
          <w:rFonts w:ascii="Arial" w:eastAsiaTheme="minorEastAsia" w:hAnsi="Arial" w:cs="Arial"/>
          <w:kern w:val="0"/>
          <w:szCs w:val="24"/>
          <w:lang w:val="en-GB"/>
        </w:rPr>
        <w:t xml:space="preserve">  On the other hand, </w:t>
      </w:r>
      <w:r w:rsidR="004422E5" w:rsidRPr="0028108F">
        <w:rPr>
          <w:rFonts w:ascii="Arial" w:eastAsiaTheme="minorEastAsia" w:hAnsi="Arial" w:cs="Arial"/>
          <w:kern w:val="0"/>
          <w:szCs w:val="24"/>
          <w:lang w:val="en-GB"/>
        </w:rPr>
        <w:t xml:space="preserve">some people </w:t>
      </w:r>
      <w:r w:rsidRPr="0028108F">
        <w:rPr>
          <w:rFonts w:ascii="Arial" w:eastAsiaTheme="minorEastAsia" w:hAnsi="Arial" w:cs="Arial"/>
          <w:kern w:val="0"/>
          <w:szCs w:val="24"/>
          <w:lang w:val="en-GB"/>
        </w:rPr>
        <w:t xml:space="preserve">might </w:t>
      </w:r>
      <w:r w:rsidR="004422E5" w:rsidRPr="0028108F">
        <w:rPr>
          <w:rFonts w:ascii="Arial" w:eastAsiaTheme="minorEastAsia" w:hAnsi="Arial" w:cs="Arial"/>
          <w:kern w:val="0"/>
          <w:szCs w:val="24"/>
          <w:lang w:val="en-GB"/>
        </w:rPr>
        <w:t>contend</w:t>
      </w:r>
      <w:r w:rsidRPr="0028108F">
        <w:rPr>
          <w:rFonts w:ascii="Arial" w:eastAsiaTheme="minorEastAsia" w:hAnsi="Arial" w:cs="Arial"/>
          <w:kern w:val="0"/>
          <w:szCs w:val="24"/>
          <w:lang w:val="en-GB"/>
        </w:rPr>
        <w:t xml:space="preserve"> that toilet provision should remain sex</w:t>
      </w:r>
      <w:r w:rsidR="00B06321" w:rsidRPr="0028108F">
        <w:rPr>
          <w:rFonts w:ascii="Arial" w:eastAsiaTheme="minorEastAsia" w:hAnsi="Arial" w:cs="Arial"/>
          <w:kern w:val="0"/>
          <w:szCs w:val="24"/>
          <w:lang w:val="en-GB"/>
        </w:rPr>
        <w:t>-</w:t>
      </w:r>
      <w:r w:rsidRPr="0028108F">
        <w:rPr>
          <w:rFonts w:ascii="Arial" w:eastAsiaTheme="minorEastAsia" w:hAnsi="Arial" w:cs="Arial"/>
          <w:kern w:val="0"/>
          <w:szCs w:val="24"/>
          <w:lang w:val="en-GB"/>
        </w:rPr>
        <w:t xml:space="preserve">segregated or take the form of individual cubicles that offer privacy and safety to all </w:t>
      </w:r>
      <w:r w:rsidR="004422E5" w:rsidRPr="0028108F">
        <w:rPr>
          <w:rFonts w:ascii="Arial" w:eastAsiaTheme="minorEastAsia" w:hAnsi="Arial" w:cs="Arial"/>
          <w:kern w:val="0"/>
          <w:szCs w:val="24"/>
          <w:lang w:val="en-GB"/>
        </w:rPr>
        <w:t xml:space="preserve">(especially female) </w:t>
      </w:r>
      <w:r w:rsidRPr="0028108F">
        <w:rPr>
          <w:rFonts w:ascii="Arial" w:eastAsiaTheme="minorEastAsia" w:hAnsi="Arial" w:cs="Arial"/>
          <w:kern w:val="0"/>
          <w:szCs w:val="24"/>
          <w:lang w:val="en-GB"/>
        </w:rPr>
        <w:t>users.</w:t>
      </w:r>
      <w:r w:rsidRPr="00181CF2">
        <w:rPr>
          <w:rStyle w:val="FootnoteReference"/>
          <w:rFonts w:ascii="Arial" w:hAnsi="Arial" w:cs="Arial"/>
          <w:kern w:val="0"/>
          <w:szCs w:val="24"/>
          <w:lang w:val="en-GB"/>
        </w:rPr>
        <w:footnoteReference w:id="625"/>
      </w:r>
      <w:r w:rsidRPr="00181CF2">
        <w:rPr>
          <w:rFonts w:ascii="Arial" w:eastAsiaTheme="minorEastAsia" w:hAnsi="Arial" w:cs="Arial"/>
          <w:kern w:val="0"/>
          <w:szCs w:val="24"/>
          <w:lang w:val="en-GB"/>
        </w:rPr>
        <w:t xml:space="preserve">  Conversely, there are</w:t>
      </w:r>
      <w:r w:rsidRPr="00C57CE1">
        <w:rPr>
          <w:rFonts w:ascii="Arial" w:eastAsiaTheme="minorEastAsia" w:hAnsi="Arial" w:cs="Arial"/>
          <w:kern w:val="0"/>
          <w:szCs w:val="24"/>
          <w:lang w:val="en-GB"/>
        </w:rPr>
        <w:t xml:space="preserve"> voices from LGBT</w:t>
      </w:r>
      <w:r w:rsidR="004422E5" w:rsidRPr="0028108F">
        <w:rPr>
          <w:rFonts w:ascii="Arial" w:eastAsiaTheme="minorEastAsia" w:hAnsi="Arial" w:cs="Arial"/>
          <w:kern w:val="0"/>
          <w:szCs w:val="24"/>
          <w:lang w:val="en-GB"/>
        </w:rPr>
        <w:t>I</w:t>
      </w:r>
      <w:r w:rsidRPr="0028108F">
        <w:rPr>
          <w:rFonts w:ascii="Arial" w:eastAsiaTheme="minorEastAsia" w:hAnsi="Arial" w:cs="Arial"/>
          <w:kern w:val="0"/>
          <w:szCs w:val="24"/>
          <w:lang w:val="en-GB"/>
        </w:rPr>
        <w:t xml:space="preserve"> </w:t>
      </w:r>
      <w:r w:rsidR="00A808ED" w:rsidRPr="0028108F">
        <w:rPr>
          <w:rFonts w:ascii="Arial" w:eastAsiaTheme="minorEastAsia" w:hAnsi="Arial" w:cs="Arial"/>
          <w:kern w:val="0"/>
          <w:szCs w:val="24"/>
          <w:lang w:val="en-GB"/>
        </w:rPr>
        <w:t>community</w:t>
      </w:r>
      <w:r w:rsidRPr="0028108F">
        <w:rPr>
          <w:rFonts w:ascii="Arial" w:eastAsiaTheme="minorEastAsia" w:hAnsi="Arial" w:cs="Arial"/>
          <w:kern w:val="0"/>
          <w:szCs w:val="24"/>
          <w:lang w:val="en-GB"/>
        </w:rPr>
        <w:t xml:space="preserve"> in favour of gender neutral bathrooms for avoidance of misunderstanding, harassment or hatred by other sex-segregated public facilit</w:t>
      </w:r>
      <w:r w:rsidR="00B06321" w:rsidRPr="0028108F">
        <w:rPr>
          <w:rFonts w:ascii="Arial" w:eastAsiaTheme="minorEastAsia" w:hAnsi="Arial" w:cs="Arial"/>
          <w:kern w:val="0"/>
          <w:szCs w:val="24"/>
          <w:lang w:val="en-GB"/>
        </w:rPr>
        <w:t>y users</w:t>
      </w:r>
      <w:r w:rsidRPr="0028108F">
        <w:rPr>
          <w:rFonts w:ascii="Arial" w:eastAsiaTheme="minorEastAsia" w:hAnsi="Arial" w:cs="Arial"/>
          <w:kern w:val="0"/>
          <w:szCs w:val="24"/>
          <w:lang w:val="en-GB"/>
        </w:rPr>
        <w:t xml:space="preserve"> and/or security.</w:t>
      </w:r>
      <w:r w:rsidRPr="00181CF2">
        <w:rPr>
          <w:rStyle w:val="FootnoteReference"/>
          <w:rFonts w:ascii="Arial" w:hAnsi="Arial" w:cs="Arial"/>
          <w:kern w:val="0"/>
          <w:szCs w:val="24"/>
          <w:lang w:val="en-GB"/>
        </w:rPr>
        <w:footnoteReference w:id="626"/>
      </w:r>
      <w:r w:rsidRPr="00181CF2">
        <w:rPr>
          <w:rFonts w:ascii="Arial" w:eastAsiaTheme="minorEastAsia" w:hAnsi="Arial" w:cs="Arial"/>
          <w:kern w:val="0"/>
          <w:szCs w:val="24"/>
          <w:lang w:val="en-GB"/>
        </w:rPr>
        <w:t xml:space="preserve">  </w:t>
      </w:r>
      <w:r w:rsidR="00B06321" w:rsidRPr="00C57CE1">
        <w:rPr>
          <w:rFonts w:ascii="Arial" w:eastAsiaTheme="minorEastAsia" w:hAnsi="Arial" w:cs="Arial"/>
          <w:kern w:val="0"/>
          <w:szCs w:val="24"/>
          <w:lang w:val="en-GB"/>
        </w:rPr>
        <w:t>Also</w:t>
      </w:r>
      <w:r w:rsidRPr="0028108F">
        <w:rPr>
          <w:rFonts w:ascii="Arial" w:eastAsiaTheme="minorEastAsia" w:hAnsi="Arial" w:cs="Arial"/>
          <w:kern w:val="0"/>
          <w:szCs w:val="24"/>
          <w:lang w:val="en-GB"/>
        </w:rPr>
        <w:t xml:space="preserve">, some might </w:t>
      </w:r>
      <w:r w:rsidR="00B06321" w:rsidRPr="0028108F">
        <w:rPr>
          <w:rFonts w:ascii="Arial" w:eastAsiaTheme="minorEastAsia" w:hAnsi="Arial" w:cs="Arial"/>
          <w:kern w:val="0"/>
          <w:szCs w:val="24"/>
          <w:lang w:val="en-GB"/>
        </w:rPr>
        <w:t>argue</w:t>
      </w:r>
      <w:r w:rsidRPr="0028108F">
        <w:rPr>
          <w:rFonts w:ascii="Arial" w:eastAsiaTheme="minorEastAsia" w:hAnsi="Arial" w:cs="Arial"/>
          <w:kern w:val="0"/>
          <w:szCs w:val="24"/>
          <w:lang w:val="en-GB"/>
        </w:rPr>
        <w:t xml:space="preserve"> that </w:t>
      </w:r>
      <w:r w:rsidR="00684543" w:rsidRPr="0028108F">
        <w:rPr>
          <w:rFonts w:ascii="Arial" w:eastAsiaTheme="minorEastAsia" w:hAnsi="Arial" w:cs="Arial"/>
          <w:kern w:val="0"/>
          <w:szCs w:val="24"/>
          <w:lang w:val="en-GB"/>
        </w:rPr>
        <w:t xml:space="preserve">setting up </w:t>
      </w:r>
      <w:r w:rsidRPr="0028108F">
        <w:rPr>
          <w:rFonts w:ascii="Arial" w:eastAsiaTheme="minorEastAsia" w:hAnsi="Arial" w:cs="Arial"/>
          <w:kern w:val="0"/>
          <w:szCs w:val="24"/>
          <w:lang w:val="en-GB"/>
        </w:rPr>
        <w:t xml:space="preserve">gender neutral bathrooms would </w:t>
      </w:r>
      <w:r w:rsidR="00684543" w:rsidRPr="0028108F">
        <w:rPr>
          <w:rFonts w:ascii="Arial" w:eastAsiaTheme="minorEastAsia" w:hAnsi="Arial" w:cs="Arial"/>
          <w:kern w:val="0"/>
          <w:szCs w:val="24"/>
          <w:lang w:val="en-GB"/>
        </w:rPr>
        <w:t xml:space="preserve">serve </w:t>
      </w:r>
      <w:r w:rsidR="00B06321" w:rsidRPr="0028108F">
        <w:rPr>
          <w:rFonts w:ascii="Arial" w:eastAsiaTheme="minorEastAsia" w:hAnsi="Arial" w:cs="Arial"/>
          <w:kern w:val="0"/>
          <w:szCs w:val="24"/>
          <w:lang w:val="en-GB"/>
        </w:rPr>
        <w:t xml:space="preserve">an </w:t>
      </w:r>
      <w:r w:rsidRPr="0028108F">
        <w:rPr>
          <w:rFonts w:ascii="Arial" w:eastAsiaTheme="minorEastAsia" w:hAnsi="Arial" w:cs="Arial"/>
          <w:kern w:val="0"/>
          <w:szCs w:val="24"/>
          <w:lang w:val="en-GB"/>
        </w:rPr>
        <w:t xml:space="preserve">educational </w:t>
      </w:r>
      <w:r w:rsidR="00684543" w:rsidRPr="0028108F">
        <w:rPr>
          <w:rFonts w:ascii="Arial" w:eastAsiaTheme="minorEastAsia" w:hAnsi="Arial" w:cs="Arial"/>
          <w:kern w:val="0"/>
          <w:szCs w:val="24"/>
          <w:lang w:val="en-GB"/>
        </w:rPr>
        <w:t xml:space="preserve">purpose </w:t>
      </w:r>
      <w:r w:rsidRPr="0028108F">
        <w:rPr>
          <w:rFonts w:ascii="Arial" w:eastAsiaTheme="minorEastAsia" w:hAnsi="Arial" w:cs="Arial"/>
          <w:kern w:val="0"/>
          <w:szCs w:val="24"/>
          <w:lang w:val="en-GB"/>
        </w:rPr>
        <w:t>in reminding the public that the current binary gender categories are inadequate</w:t>
      </w:r>
      <w:r w:rsidR="00684543" w:rsidRPr="0028108F">
        <w:rPr>
          <w:rFonts w:ascii="Arial" w:eastAsiaTheme="minorEastAsia" w:hAnsi="Arial" w:cs="Arial"/>
          <w:kern w:val="0"/>
          <w:szCs w:val="24"/>
          <w:lang w:val="en-GB"/>
        </w:rPr>
        <w:t xml:space="preserve"> and unsatisfactory</w:t>
      </w:r>
      <w:r w:rsidRPr="0028108F">
        <w:rPr>
          <w:rFonts w:ascii="Arial" w:eastAsiaTheme="minorEastAsia" w:hAnsi="Arial" w:cs="Arial"/>
          <w:kern w:val="0"/>
          <w:szCs w:val="24"/>
          <w:lang w:val="en-GB"/>
        </w:rPr>
        <w:t>.  Indeed</w:t>
      </w:r>
      <w:r w:rsidR="00AF7058" w:rsidRPr="0028108F">
        <w:rPr>
          <w:rFonts w:ascii="Arial" w:eastAsiaTheme="minorEastAsia" w:hAnsi="Arial" w:cs="Arial"/>
          <w:kern w:val="0"/>
          <w:szCs w:val="24"/>
          <w:lang w:val="en-GB"/>
        </w:rPr>
        <w:t>,</w:t>
      </w:r>
      <w:r w:rsidRPr="0028108F">
        <w:rPr>
          <w:rFonts w:ascii="Arial" w:eastAsiaTheme="minorEastAsia" w:hAnsi="Arial" w:cs="Arial"/>
          <w:kern w:val="0"/>
          <w:szCs w:val="24"/>
          <w:lang w:val="en-GB"/>
        </w:rPr>
        <w:t xml:space="preserve"> gender-neutral bathrooms are becoming increasingly common as a way of addressing the bathroom tension</w:t>
      </w:r>
      <w:r w:rsidR="00AF7058" w:rsidRPr="0028108F">
        <w:rPr>
          <w:rFonts w:ascii="Arial" w:eastAsiaTheme="minorEastAsia" w:hAnsi="Arial" w:cs="Arial"/>
          <w:kern w:val="0"/>
          <w:szCs w:val="24"/>
          <w:lang w:val="en-GB"/>
        </w:rPr>
        <w:t xml:space="preserve">.  </w:t>
      </w:r>
      <w:r w:rsidR="00B06321" w:rsidRPr="0028108F">
        <w:rPr>
          <w:rFonts w:ascii="Arial" w:eastAsiaTheme="minorEastAsia" w:hAnsi="Arial" w:cs="Arial"/>
          <w:kern w:val="0"/>
          <w:szCs w:val="24"/>
          <w:lang w:val="en-GB"/>
        </w:rPr>
        <w:t>In the US, f</w:t>
      </w:r>
      <w:r w:rsidR="00AF7058" w:rsidRPr="0028108F">
        <w:rPr>
          <w:rFonts w:ascii="Arial" w:eastAsiaTheme="minorEastAsia" w:hAnsi="Arial" w:cs="Arial"/>
          <w:kern w:val="0"/>
          <w:szCs w:val="24"/>
          <w:lang w:val="en-GB"/>
        </w:rPr>
        <w:t>or example,</w:t>
      </w:r>
      <w:r w:rsidRPr="0028108F">
        <w:rPr>
          <w:rFonts w:ascii="Arial" w:eastAsiaTheme="minorEastAsia" w:hAnsi="Arial" w:cs="Arial"/>
          <w:kern w:val="0"/>
          <w:szCs w:val="24"/>
          <w:lang w:val="en-GB"/>
        </w:rPr>
        <w:t xml:space="preserve"> legislation </w:t>
      </w:r>
      <w:r w:rsidR="00AF7058" w:rsidRPr="0028108F">
        <w:rPr>
          <w:rFonts w:ascii="Arial" w:eastAsiaTheme="minorEastAsia" w:hAnsi="Arial" w:cs="Arial"/>
          <w:kern w:val="0"/>
          <w:szCs w:val="24"/>
          <w:lang w:val="en-GB"/>
        </w:rPr>
        <w:t xml:space="preserve">was </w:t>
      </w:r>
      <w:r w:rsidRPr="0028108F">
        <w:rPr>
          <w:rFonts w:ascii="Arial" w:eastAsiaTheme="minorEastAsia" w:hAnsi="Arial" w:cs="Arial"/>
          <w:kern w:val="0"/>
          <w:szCs w:val="24"/>
          <w:lang w:val="en-GB"/>
        </w:rPr>
        <w:t xml:space="preserve">passed in May 2013 </w:t>
      </w:r>
      <w:r w:rsidR="00B06321" w:rsidRPr="0028108F">
        <w:rPr>
          <w:rFonts w:ascii="Arial" w:eastAsiaTheme="minorEastAsia" w:hAnsi="Arial" w:cs="Arial"/>
          <w:kern w:val="0"/>
          <w:szCs w:val="24"/>
          <w:lang w:val="en-GB"/>
        </w:rPr>
        <w:t xml:space="preserve">in Philadelphia </w:t>
      </w:r>
      <w:r w:rsidRPr="0028108F">
        <w:rPr>
          <w:rFonts w:ascii="Arial" w:eastAsiaTheme="minorEastAsia" w:hAnsi="Arial" w:cs="Arial"/>
          <w:kern w:val="0"/>
          <w:szCs w:val="24"/>
          <w:lang w:val="en-GB"/>
        </w:rPr>
        <w:t>that br</w:t>
      </w:r>
      <w:r w:rsidR="00AF7058" w:rsidRPr="0028108F">
        <w:rPr>
          <w:rFonts w:ascii="Arial" w:eastAsiaTheme="minorEastAsia" w:hAnsi="Arial" w:cs="Arial"/>
          <w:kern w:val="0"/>
          <w:szCs w:val="24"/>
          <w:lang w:val="en-GB"/>
        </w:rPr>
        <w:t>ought</w:t>
      </w:r>
      <w:r w:rsidRPr="0028108F">
        <w:rPr>
          <w:rFonts w:ascii="Arial" w:eastAsiaTheme="minorEastAsia" w:hAnsi="Arial" w:cs="Arial"/>
          <w:kern w:val="0"/>
          <w:szCs w:val="24"/>
          <w:lang w:val="en-GB"/>
        </w:rPr>
        <w:t xml:space="preserve"> a number of protections</w:t>
      </w:r>
      <w:r w:rsidR="00A808ED" w:rsidRPr="0028108F">
        <w:rPr>
          <w:rFonts w:ascii="Arial" w:eastAsiaTheme="minorEastAsia" w:hAnsi="Arial" w:cs="Arial"/>
          <w:kern w:val="0"/>
          <w:szCs w:val="24"/>
          <w:lang w:val="en-GB"/>
        </w:rPr>
        <w:t>,</w:t>
      </w:r>
      <w:r w:rsidRPr="0028108F">
        <w:rPr>
          <w:rFonts w:ascii="Arial" w:eastAsiaTheme="minorEastAsia" w:hAnsi="Arial" w:cs="Arial"/>
          <w:kern w:val="0"/>
          <w:szCs w:val="24"/>
          <w:lang w:val="en-GB"/>
        </w:rPr>
        <w:t xml:space="preserve"> including the addition of gender-neutral restrooms in new or renovated city-owned buildings</w:t>
      </w:r>
      <w:r w:rsidR="00645594" w:rsidRPr="0028108F">
        <w:rPr>
          <w:rFonts w:ascii="Arial" w:eastAsiaTheme="minorEastAsia" w:hAnsi="Arial" w:cs="Arial"/>
          <w:kern w:val="0"/>
          <w:szCs w:val="24"/>
          <w:lang w:val="en-GB"/>
        </w:rPr>
        <w:t>.</w:t>
      </w:r>
      <w:r w:rsidRPr="00181CF2">
        <w:rPr>
          <w:rStyle w:val="FootnoteReference"/>
          <w:rFonts w:ascii="Arial" w:hAnsi="Arial" w:cs="Arial"/>
          <w:kern w:val="0"/>
          <w:szCs w:val="24"/>
          <w:lang w:val="en-GB"/>
        </w:rPr>
        <w:footnoteReference w:id="627"/>
      </w:r>
      <w:r w:rsidRPr="00C57CE1">
        <w:rPr>
          <w:rFonts w:ascii="Arial" w:eastAsiaTheme="minorEastAsia" w:hAnsi="Arial" w:cs="Arial"/>
          <w:kern w:val="0"/>
          <w:szCs w:val="24"/>
          <w:lang w:val="en-GB"/>
        </w:rPr>
        <w:t xml:space="preserve"> </w:t>
      </w:r>
      <w:r w:rsidR="00AF7058" w:rsidRPr="0028108F">
        <w:rPr>
          <w:rFonts w:ascii="Arial" w:eastAsiaTheme="minorEastAsia" w:hAnsi="Arial" w:cs="Arial"/>
          <w:kern w:val="0"/>
          <w:szCs w:val="24"/>
          <w:lang w:val="en-GB"/>
        </w:rPr>
        <w:t xml:space="preserve"> I</w:t>
      </w:r>
      <w:r w:rsidRPr="0028108F">
        <w:rPr>
          <w:rFonts w:ascii="Arial" w:eastAsiaTheme="minorEastAsia" w:hAnsi="Arial" w:cs="Arial"/>
          <w:kern w:val="0"/>
          <w:szCs w:val="24"/>
          <w:lang w:val="en-GB"/>
        </w:rPr>
        <w:t xml:space="preserve">n the District of Columbia, all covered entities with single-occupancy restroom facilities </w:t>
      </w:r>
      <w:r w:rsidR="00B06321" w:rsidRPr="0028108F">
        <w:rPr>
          <w:rFonts w:ascii="Arial" w:eastAsiaTheme="minorEastAsia" w:hAnsi="Arial" w:cs="Arial"/>
          <w:kern w:val="0"/>
          <w:szCs w:val="24"/>
          <w:lang w:val="en-GB"/>
        </w:rPr>
        <w:t>are required to</w:t>
      </w:r>
      <w:r w:rsidRPr="0028108F">
        <w:rPr>
          <w:rFonts w:ascii="Arial" w:eastAsiaTheme="minorEastAsia" w:hAnsi="Arial" w:cs="Arial"/>
          <w:kern w:val="0"/>
          <w:szCs w:val="24"/>
          <w:lang w:val="en-GB"/>
        </w:rPr>
        <w:t xml:space="preserve"> use gender-neutral signage for those facilities.</w:t>
      </w:r>
      <w:r w:rsidRPr="00181CF2">
        <w:rPr>
          <w:rStyle w:val="FootnoteReference"/>
          <w:rFonts w:ascii="Arial" w:hAnsi="Arial" w:cs="Arial"/>
          <w:kern w:val="0"/>
          <w:szCs w:val="24"/>
          <w:lang w:val="en-GB"/>
        </w:rPr>
        <w:footnoteReference w:id="628"/>
      </w:r>
    </w:p>
    <w:p w:rsidR="00E773F6" w:rsidRPr="0028108F" w:rsidRDefault="00E773F6" w:rsidP="00E773F6">
      <w:pPr>
        <w:pStyle w:val="ListParagraph"/>
        <w:tabs>
          <w:tab w:val="left" w:pos="1418"/>
          <w:tab w:val="left" w:pos="2552"/>
        </w:tabs>
        <w:autoSpaceDE w:val="0"/>
        <w:autoSpaceDN w:val="0"/>
        <w:adjustRightInd w:val="0"/>
        <w:snapToGrid w:val="0"/>
        <w:ind w:leftChars="0" w:left="840"/>
        <w:jc w:val="both"/>
        <w:rPr>
          <w:rFonts w:ascii="Arial" w:hAnsi="Arial" w:cs="Arial"/>
          <w:b/>
          <w:color w:val="000000" w:themeColor="text1"/>
          <w:szCs w:val="24"/>
          <w:lang w:val="en-GB"/>
        </w:rPr>
      </w:pPr>
    </w:p>
    <w:p w:rsidR="00E773F6" w:rsidRPr="00181CF2" w:rsidRDefault="009467A9"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b/>
          <w:color w:val="000000" w:themeColor="text1"/>
          <w:szCs w:val="24"/>
          <w:lang w:val="en-GB"/>
        </w:rPr>
      </w:pPr>
      <w:r w:rsidRPr="0028108F">
        <w:rPr>
          <w:rFonts w:ascii="Arial" w:hAnsi="Arial" w:cs="Arial"/>
          <w:color w:val="000000" w:themeColor="text1"/>
          <w:szCs w:val="24"/>
          <w:lang w:val="en-GB"/>
        </w:rPr>
        <w:t xml:space="preserve">Dr </w:t>
      </w:r>
      <w:r w:rsidR="00E773F6" w:rsidRPr="0028108F">
        <w:rPr>
          <w:rFonts w:ascii="Arial" w:hAnsi="Arial" w:cs="Arial"/>
          <w:color w:val="000000" w:themeColor="text1"/>
          <w:szCs w:val="24"/>
          <w:lang w:val="en-GB"/>
        </w:rPr>
        <w:t>Scherpe</w:t>
      </w:r>
      <w:r w:rsidR="00B06321" w:rsidRPr="0028108F">
        <w:rPr>
          <w:rFonts w:ascii="Arial" w:hAnsi="Arial" w:cs="Arial"/>
          <w:color w:val="000000" w:themeColor="text1"/>
          <w:szCs w:val="24"/>
          <w:lang w:val="en-GB"/>
        </w:rPr>
        <w:t xml:space="preserve"> notes that</w:t>
      </w:r>
      <w:r w:rsidR="00E773F6" w:rsidRPr="0028108F">
        <w:rPr>
          <w:rFonts w:ascii="Arial" w:hAnsi="Arial" w:cs="Arial"/>
          <w:color w:val="000000" w:themeColor="text1"/>
          <w:szCs w:val="24"/>
          <w:lang w:val="en-GB"/>
        </w:rPr>
        <w:t xml:space="preserve"> all legal processes in principle are at risk of being abused (eg</w:t>
      </w:r>
      <w:r w:rsidR="00940215" w:rsidRPr="0028108F">
        <w:rPr>
          <w:rFonts w:ascii="Arial" w:hAnsi="Arial" w:cs="Arial"/>
          <w:color w:val="000000" w:themeColor="text1"/>
          <w:szCs w:val="24"/>
          <w:lang w:val="en-GB"/>
        </w:rPr>
        <w:t>,</w:t>
      </w:r>
      <w:r w:rsidR="00E773F6" w:rsidRPr="00181CF2">
        <w:rPr>
          <w:rFonts w:ascii="Arial" w:hAnsi="Arial" w:cs="Arial"/>
          <w:color w:val="000000" w:themeColor="text1"/>
          <w:szCs w:val="24"/>
          <w:lang w:val="en-GB"/>
        </w:rPr>
        <w:t xml:space="preserve"> sham marriages for immigration purposes), but this has not led to calls for abolishing or restricting these processes.  He </w:t>
      </w:r>
      <w:r w:rsidR="00684543" w:rsidRPr="00C57CE1">
        <w:rPr>
          <w:rFonts w:ascii="Arial" w:hAnsi="Arial" w:cs="Arial"/>
          <w:color w:val="000000" w:themeColor="text1"/>
          <w:szCs w:val="24"/>
          <w:lang w:val="en-GB"/>
        </w:rPr>
        <w:t xml:space="preserve">therefore </w:t>
      </w:r>
      <w:r w:rsidR="00B06321" w:rsidRPr="0028108F">
        <w:rPr>
          <w:rFonts w:ascii="Arial" w:hAnsi="Arial" w:cs="Arial"/>
          <w:color w:val="000000" w:themeColor="text1"/>
          <w:szCs w:val="24"/>
          <w:lang w:val="en-GB"/>
        </w:rPr>
        <w:t>takes</w:t>
      </w:r>
      <w:r w:rsidR="00E773F6" w:rsidRPr="0028108F">
        <w:rPr>
          <w:rFonts w:ascii="Arial" w:hAnsi="Arial" w:cs="Arial"/>
          <w:color w:val="000000" w:themeColor="text1"/>
          <w:szCs w:val="24"/>
          <w:lang w:val="en-GB"/>
        </w:rPr>
        <w:t xml:space="preserve"> the view that potential abuse of legal gender recognition </w:t>
      </w:r>
      <w:r w:rsidR="00E773F6" w:rsidRPr="0028108F">
        <w:rPr>
          <w:rFonts w:ascii="Arial" w:hAnsi="Arial" w:cs="Arial"/>
          <w:i/>
          <w:color w:val="000000" w:themeColor="text1"/>
          <w:szCs w:val="24"/>
          <w:lang w:val="en-GB"/>
        </w:rPr>
        <w:t>“simply needs to be monitored like all other potential abuses.</w:t>
      </w:r>
      <w:r w:rsidR="00E773F6" w:rsidRPr="0028108F">
        <w:rPr>
          <w:rFonts w:ascii="Arial" w:hAnsi="Arial" w:cs="Arial"/>
          <w:color w:val="000000" w:themeColor="text1"/>
          <w:szCs w:val="24"/>
          <w:lang w:val="en-GB"/>
        </w:rPr>
        <w:t>”</w:t>
      </w:r>
      <w:r w:rsidR="00E773F6" w:rsidRPr="00181CF2">
        <w:rPr>
          <w:rStyle w:val="FootnoteReference"/>
          <w:rFonts w:ascii="Arial" w:hAnsi="Arial" w:cs="Arial"/>
          <w:color w:val="000000" w:themeColor="text1"/>
          <w:lang w:val="en-GB"/>
        </w:rPr>
        <w:footnoteReference w:id="629"/>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kern w:val="0"/>
          <w:szCs w:val="24"/>
          <w:lang w:val="en-GB"/>
        </w:rPr>
      </w:pPr>
    </w:p>
    <w:p w:rsidR="00E773F6" w:rsidRPr="00C57CE1" w:rsidRDefault="0006282B" w:rsidP="00E773F6">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b/>
          <w:i/>
          <w:kern w:val="0"/>
          <w:szCs w:val="24"/>
          <w:lang w:val="en-GB"/>
        </w:rPr>
      </w:pPr>
      <w:r w:rsidRPr="0028108F">
        <w:rPr>
          <w:rFonts w:ascii="Arial" w:eastAsiaTheme="minorEastAsia" w:hAnsi="Arial" w:cs="Arial"/>
          <w:b/>
          <w:i/>
          <w:kern w:val="0"/>
          <w:szCs w:val="24"/>
          <w:lang w:val="en-GB"/>
        </w:rPr>
        <w:t>Arguments in support of and against</w:t>
      </w:r>
      <w:r w:rsidR="00E773F6" w:rsidRPr="00C57CE1">
        <w:rPr>
          <w:rFonts w:ascii="Arial" w:eastAsiaTheme="minorEastAsia" w:hAnsi="Arial" w:cs="Arial"/>
          <w:b/>
          <w:i/>
          <w:kern w:val="0"/>
          <w:szCs w:val="24"/>
          <w:lang w:val="en-GB"/>
        </w:rPr>
        <w:t xml:space="preserve"> recognising SRS performed overseas</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b/>
          <w:szCs w:val="24"/>
          <w:lang w:val="en-GB"/>
        </w:rPr>
      </w:pPr>
    </w:p>
    <w:p w:rsidR="00E773F6" w:rsidRPr="0028108F" w:rsidRDefault="00C92FC0"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i/>
          <w:szCs w:val="24"/>
          <w:lang w:val="en-GB"/>
        </w:rPr>
      </w:pPr>
      <w:r w:rsidRPr="0028108F">
        <w:rPr>
          <w:rFonts w:ascii="Arial" w:hAnsi="Arial" w:cs="Arial"/>
          <w:szCs w:val="24"/>
          <w:lang w:val="en-GB"/>
        </w:rPr>
        <w:t>If</w:t>
      </w:r>
      <w:r w:rsidR="00684543" w:rsidRPr="0028108F">
        <w:rPr>
          <w:rFonts w:ascii="Arial" w:hAnsi="Arial" w:cs="Arial"/>
          <w:szCs w:val="24"/>
          <w:lang w:val="en-GB"/>
        </w:rPr>
        <w:t xml:space="preserve"> SRS </w:t>
      </w:r>
      <w:r w:rsidRPr="0028108F">
        <w:rPr>
          <w:rFonts w:ascii="Arial" w:hAnsi="Arial" w:cs="Arial"/>
          <w:szCs w:val="24"/>
          <w:lang w:val="en-GB"/>
        </w:rPr>
        <w:t xml:space="preserve">were to be adopted as </w:t>
      </w:r>
      <w:r w:rsidR="00684543" w:rsidRPr="0028108F">
        <w:rPr>
          <w:rFonts w:ascii="Arial" w:hAnsi="Arial" w:cs="Arial"/>
          <w:szCs w:val="24"/>
          <w:lang w:val="en-GB"/>
        </w:rPr>
        <w:t>a pre-condition for gender recognition</w:t>
      </w:r>
      <w:r w:rsidR="0040740B" w:rsidRPr="0028108F">
        <w:rPr>
          <w:rFonts w:ascii="Arial" w:hAnsi="Arial" w:cs="Arial"/>
          <w:szCs w:val="24"/>
          <w:lang w:val="en-GB"/>
        </w:rPr>
        <w:t xml:space="preserve"> in Hong Kong</w:t>
      </w:r>
      <w:r w:rsidR="00684543" w:rsidRPr="0028108F">
        <w:rPr>
          <w:rFonts w:ascii="Arial" w:hAnsi="Arial" w:cs="Arial"/>
          <w:szCs w:val="24"/>
          <w:lang w:val="en-GB"/>
        </w:rPr>
        <w:t xml:space="preserve">, </w:t>
      </w:r>
      <w:r w:rsidR="002B2C68" w:rsidRPr="0028108F">
        <w:rPr>
          <w:rFonts w:ascii="Arial" w:hAnsi="Arial" w:cs="Arial"/>
          <w:szCs w:val="24"/>
          <w:lang w:val="en-GB"/>
        </w:rPr>
        <w:t>a</w:t>
      </w:r>
      <w:r w:rsidR="00684543" w:rsidRPr="0028108F">
        <w:rPr>
          <w:rFonts w:ascii="Arial" w:hAnsi="Arial" w:cs="Arial"/>
          <w:szCs w:val="24"/>
          <w:lang w:val="en-GB"/>
        </w:rPr>
        <w:t xml:space="preserve"> question </w:t>
      </w:r>
      <w:r w:rsidRPr="0028108F">
        <w:rPr>
          <w:rFonts w:ascii="Arial" w:hAnsi="Arial" w:cs="Arial"/>
          <w:szCs w:val="24"/>
          <w:lang w:val="en-GB"/>
        </w:rPr>
        <w:t xml:space="preserve">arises as to </w:t>
      </w:r>
      <w:r w:rsidR="00E773F6" w:rsidRPr="0028108F">
        <w:rPr>
          <w:rFonts w:ascii="Arial" w:hAnsi="Arial" w:cs="Arial"/>
          <w:szCs w:val="24"/>
          <w:lang w:val="en-GB"/>
        </w:rPr>
        <w:t xml:space="preserve">whether SRS performed overseas should be recognised.  It </w:t>
      </w:r>
      <w:r w:rsidRPr="0028108F">
        <w:rPr>
          <w:rFonts w:ascii="Arial" w:hAnsi="Arial" w:cs="Arial"/>
          <w:szCs w:val="24"/>
          <w:lang w:val="en-GB"/>
        </w:rPr>
        <w:t>should</w:t>
      </w:r>
      <w:r w:rsidR="00E773F6" w:rsidRPr="0028108F">
        <w:rPr>
          <w:rFonts w:ascii="Arial" w:hAnsi="Arial" w:cs="Arial"/>
          <w:szCs w:val="24"/>
          <w:lang w:val="en-GB"/>
        </w:rPr>
        <w:t xml:space="preserve"> be </w:t>
      </w:r>
      <w:r w:rsidRPr="0028108F">
        <w:rPr>
          <w:rFonts w:ascii="Arial" w:hAnsi="Arial" w:cs="Arial"/>
          <w:szCs w:val="24"/>
          <w:lang w:val="en-GB"/>
        </w:rPr>
        <w:t>noted</w:t>
      </w:r>
      <w:r w:rsidR="00E773F6" w:rsidRPr="0028108F">
        <w:rPr>
          <w:rFonts w:ascii="Arial" w:hAnsi="Arial" w:cs="Arial"/>
          <w:szCs w:val="24"/>
          <w:lang w:val="en-GB"/>
        </w:rPr>
        <w:t xml:space="preserve"> that th</w:t>
      </w:r>
      <w:r w:rsidR="00684543" w:rsidRPr="0028108F">
        <w:rPr>
          <w:rFonts w:ascii="Arial" w:hAnsi="Arial" w:cs="Arial"/>
          <w:szCs w:val="24"/>
          <w:lang w:val="en-GB"/>
        </w:rPr>
        <w:t>is issue</w:t>
      </w:r>
      <w:r w:rsidR="00E773F6" w:rsidRPr="0028108F">
        <w:rPr>
          <w:rFonts w:ascii="Arial" w:hAnsi="Arial" w:cs="Arial"/>
          <w:szCs w:val="24"/>
          <w:lang w:val="en-GB"/>
        </w:rPr>
        <w:t xml:space="preserve"> differs from the issue of recognising a gender change </w:t>
      </w:r>
      <w:r w:rsidRPr="0028108F">
        <w:rPr>
          <w:rFonts w:ascii="Arial" w:hAnsi="Arial" w:cs="Arial"/>
          <w:szCs w:val="24"/>
          <w:lang w:val="en-GB"/>
        </w:rPr>
        <w:t xml:space="preserve">which has </w:t>
      </w:r>
      <w:r w:rsidR="00684543" w:rsidRPr="0028108F">
        <w:rPr>
          <w:rFonts w:ascii="Arial" w:hAnsi="Arial" w:cs="Arial"/>
          <w:szCs w:val="24"/>
          <w:lang w:val="en-GB"/>
        </w:rPr>
        <w:t xml:space="preserve">been </w:t>
      </w:r>
      <w:r w:rsidR="00E773F6" w:rsidRPr="0028108F">
        <w:rPr>
          <w:rFonts w:ascii="Arial" w:hAnsi="Arial" w:cs="Arial"/>
          <w:szCs w:val="24"/>
          <w:lang w:val="en-GB"/>
        </w:rPr>
        <w:t xml:space="preserve">recognised in a foreign jurisdiction, </w:t>
      </w:r>
      <w:r w:rsidRPr="0028108F">
        <w:rPr>
          <w:rFonts w:ascii="Arial" w:hAnsi="Arial" w:cs="Arial"/>
          <w:szCs w:val="24"/>
          <w:lang w:val="en-GB"/>
        </w:rPr>
        <w:t xml:space="preserve">which is </w:t>
      </w:r>
      <w:r w:rsidR="00E773F6" w:rsidRPr="0028108F">
        <w:rPr>
          <w:rFonts w:ascii="Arial" w:hAnsi="Arial" w:cs="Arial"/>
          <w:szCs w:val="24"/>
          <w:lang w:val="en-GB"/>
        </w:rPr>
        <w:t xml:space="preserve">a matter to be </w:t>
      </w:r>
      <w:r w:rsidR="00453260" w:rsidRPr="0028108F">
        <w:rPr>
          <w:rFonts w:ascii="Arial" w:hAnsi="Arial" w:cs="Arial"/>
          <w:szCs w:val="24"/>
          <w:lang w:val="en-GB"/>
        </w:rPr>
        <w:t xml:space="preserve">canvassed </w:t>
      </w:r>
      <w:r w:rsidR="00E773F6" w:rsidRPr="0028108F">
        <w:rPr>
          <w:rFonts w:ascii="Arial" w:hAnsi="Arial" w:cs="Arial"/>
          <w:szCs w:val="24"/>
          <w:lang w:val="en-GB"/>
        </w:rPr>
        <w:t xml:space="preserve">later in Chapter </w:t>
      </w:r>
      <w:r w:rsidR="00AF7058" w:rsidRPr="008813DE">
        <w:rPr>
          <w:rFonts w:ascii="Arial" w:hAnsi="Arial" w:cs="Arial"/>
          <w:szCs w:val="24"/>
          <w:lang w:val="en-GB"/>
        </w:rPr>
        <w:t>7</w:t>
      </w:r>
      <w:r w:rsidR="00E773F6" w:rsidRPr="0028108F">
        <w:rPr>
          <w:rFonts w:ascii="Arial" w:hAnsi="Arial" w:cs="Arial"/>
          <w:szCs w:val="24"/>
          <w:lang w:val="en-GB"/>
        </w:rPr>
        <w:t xml:space="preserve"> of this </w:t>
      </w:r>
      <w:r w:rsidR="00DF28D9">
        <w:rPr>
          <w:rFonts w:ascii="Arial" w:hAnsi="Arial" w:cs="Arial"/>
          <w:szCs w:val="24"/>
          <w:lang w:val="en-GB"/>
        </w:rPr>
        <w:t>p</w:t>
      </w:r>
      <w:r w:rsidR="00E773F6" w:rsidRPr="0028108F">
        <w:rPr>
          <w:rFonts w:ascii="Arial" w:hAnsi="Arial" w:cs="Arial"/>
          <w:szCs w:val="24"/>
          <w:lang w:val="en-GB"/>
        </w:rPr>
        <w:t>aper.</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i/>
          <w:szCs w:val="24"/>
          <w:lang w:val="en-GB"/>
        </w:rPr>
      </w:pPr>
    </w:p>
    <w:p w:rsidR="00E773F6" w:rsidRPr="008813DE"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can be seen in </w:t>
      </w:r>
      <w:r w:rsidRPr="008813DE">
        <w:rPr>
          <w:rFonts w:ascii="Arial" w:hAnsi="Arial" w:cs="Arial"/>
          <w:szCs w:val="24"/>
          <w:lang w:val="en-GB"/>
        </w:rPr>
        <w:t>Chapter 4 and Annex</w:t>
      </w:r>
      <w:r w:rsidR="00684543" w:rsidRPr="008813DE">
        <w:rPr>
          <w:rFonts w:ascii="Arial" w:hAnsi="Arial" w:cs="Arial"/>
          <w:szCs w:val="24"/>
          <w:lang w:val="en-GB"/>
        </w:rPr>
        <w:t xml:space="preserve"> B</w:t>
      </w:r>
      <w:r w:rsidRPr="00181CF2">
        <w:rPr>
          <w:rFonts w:ascii="Arial" w:hAnsi="Arial" w:cs="Arial"/>
          <w:szCs w:val="24"/>
          <w:lang w:val="en-GB"/>
        </w:rPr>
        <w:t xml:space="preserve">, out of those jurisdictions we have examined which </w:t>
      </w:r>
      <w:r w:rsidRPr="0028108F">
        <w:rPr>
          <w:rFonts w:ascii="Arial" w:hAnsi="Arial" w:cs="Arial"/>
          <w:szCs w:val="24"/>
          <w:lang w:val="en-GB"/>
        </w:rPr>
        <w:t xml:space="preserve">set SRS as a pre-condition for gender recognition, most do not specify whether SRS performed overseas would be recognised.  </w:t>
      </w:r>
      <w:r w:rsidR="00684543" w:rsidRPr="0028108F">
        <w:rPr>
          <w:rFonts w:ascii="Arial" w:hAnsi="Arial" w:cs="Arial"/>
          <w:szCs w:val="24"/>
          <w:lang w:val="en-GB"/>
        </w:rPr>
        <w:t>A relatively</w:t>
      </w:r>
      <w:r w:rsidRPr="0028108F">
        <w:rPr>
          <w:rFonts w:ascii="Arial" w:hAnsi="Arial" w:cs="Arial"/>
          <w:szCs w:val="24"/>
          <w:lang w:val="en-GB"/>
        </w:rPr>
        <w:t xml:space="preserve"> small number of jurisdictions, </w:t>
      </w:r>
      <w:r w:rsidR="00C92FC0" w:rsidRPr="0028108F">
        <w:rPr>
          <w:rFonts w:ascii="Arial" w:hAnsi="Arial" w:cs="Arial"/>
          <w:szCs w:val="24"/>
          <w:lang w:val="en-GB"/>
        </w:rPr>
        <w:t>including</w:t>
      </w:r>
      <w:r w:rsidRPr="0028108F">
        <w:rPr>
          <w:rFonts w:ascii="Arial" w:hAnsi="Arial" w:cs="Arial"/>
          <w:szCs w:val="24"/>
          <w:lang w:val="en-GB"/>
        </w:rPr>
        <w:t xml:space="preserve"> </w:t>
      </w:r>
      <w:r w:rsidRPr="008813DE">
        <w:rPr>
          <w:rFonts w:ascii="Arial" w:hAnsi="Arial" w:cs="Arial"/>
          <w:szCs w:val="24"/>
          <w:lang w:val="en-GB"/>
        </w:rPr>
        <w:t xml:space="preserve">Western Australia, </w:t>
      </w:r>
      <w:r w:rsidR="002C62D3" w:rsidRPr="008813DE">
        <w:rPr>
          <w:rFonts w:ascii="Arial" w:hAnsi="Arial" w:cs="Arial"/>
          <w:szCs w:val="24"/>
          <w:lang w:val="en-GB"/>
        </w:rPr>
        <w:t xml:space="preserve">Ireland, </w:t>
      </w:r>
      <w:r w:rsidRPr="008813DE">
        <w:rPr>
          <w:rFonts w:ascii="Arial" w:hAnsi="Arial" w:cs="Arial"/>
          <w:szCs w:val="24"/>
          <w:lang w:val="en-GB"/>
        </w:rPr>
        <w:t xml:space="preserve">Slovenia, </w:t>
      </w:r>
      <w:r w:rsidR="0040740B" w:rsidRPr="008813DE">
        <w:rPr>
          <w:rFonts w:ascii="Arial" w:hAnsi="Arial" w:cs="Arial"/>
          <w:szCs w:val="24"/>
          <w:lang w:val="en-GB"/>
        </w:rPr>
        <w:t xml:space="preserve">and </w:t>
      </w:r>
      <w:r w:rsidRPr="008813DE">
        <w:rPr>
          <w:rFonts w:ascii="Arial" w:hAnsi="Arial" w:cs="Arial"/>
          <w:szCs w:val="24"/>
          <w:lang w:val="en-GB"/>
        </w:rPr>
        <w:t>New Brunswick (Canada)</w:t>
      </w:r>
      <w:r w:rsidRPr="00181CF2">
        <w:rPr>
          <w:rFonts w:ascii="Arial" w:hAnsi="Arial" w:cs="Arial"/>
          <w:szCs w:val="24"/>
          <w:lang w:val="en-GB"/>
        </w:rPr>
        <w:t xml:space="preserve">, have </w:t>
      </w:r>
      <w:r w:rsidR="00C92FC0" w:rsidRPr="00C57CE1">
        <w:rPr>
          <w:rFonts w:ascii="Arial" w:hAnsi="Arial" w:cs="Arial"/>
          <w:szCs w:val="24"/>
          <w:lang w:val="en-GB"/>
        </w:rPr>
        <w:t>indicated</w:t>
      </w:r>
      <w:r w:rsidRPr="0028108F">
        <w:rPr>
          <w:rFonts w:ascii="Arial" w:hAnsi="Arial" w:cs="Arial"/>
          <w:szCs w:val="24"/>
          <w:lang w:val="en-GB"/>
        </w:rPr>
        <w:t xml:space="preserve"> that </w:t>
      </w:r>
      <w:r w:rsidR="00D6190B" w:rsidRPr="0028108F">
        <w:rPr>
          <w:rFonts w:ascii="Arial" w:hAnsi="Arial" w:cs="Arial"/>
          <w:szCs w:val="24"/>
          <w:lang w:val="en-GB"/>
        </w:rPr>
        <w:t xml:space="preserve">SRS performed overseas </w:t>
      </w:r>
      <w:r w:rsidR="00C92FC0" w:rsidRPr="0028108F">
        <w:rPr>
          <w:rFonts w:ascii="Arial" w:hAnsi="Arial" w:cs="Arial"/>
          <w:szCs w:val="24"/>
          <w:lang w:val="en-GB"/>
        </w:rPr>
        <w:t>can</w:t>
      </w:r>
      <w:r w:rsidRPr="0028108F">
        <w:rPr>
          <w:rFonts w:ascii="Arial" w:hAnsi="Arial" w:cs="Arial"/>
          <w:szCs w:val="24"/>
          <w:lang w:val="en-GB"/>
        </w:rPr>
        <w:t xml:space="preserve"> be recognised.</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i/>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i/>
          <w:szCs w:val="24"/>
          <w:lang w:val="en-GB"/>
        </w:rPr>
      </w:pPr>
      <w:r w:rsidRPr="0028108F">
        <w:rPr>
          <w:rFonts w:ascii="Arial" w:hAnsi="Arial" w:cs="Arial"/>
          <w:szCs w:val="24"/>
          <w:lang w:val="en-GB"/>
        </w:rPr>
        <w:t xml:space="preserve">Arguably, </w:t>
      </w:r>
      <w:r w:rsidR="00C92FC0" w:rsidRPr="0028108F">
        <w:rPr>
          <w:rFonts w:ascii="Arial" w:hAnsi="Arial" w:cs="Arial"/>
          <w:szCs w:val="24"/>
          <w:lang w:val="en-GB"/>
        </w:rPr>
        <w:t>the</w:t>
      </w:r>
      <w:r w:rsidRPr="0028108F">
        <w:rPr>
          <w:rFonts w:ascii="Arial" w:hAnsi="Arial" w:cs="Arial"/>
          <w:i/>
          <w:szCs w:val="24"/>
          <w:lang w:val="en-GB"/>
        </w:rPr>
        <w:t xml:space="preserve"> </w:t>
      </w:r>
      <w:r w:rsidRPr="0028108F">
        <w:rPr>
          <w:rFonts w:ascii="Arial" w:hAnsi="Arial" w:cs="Arial"/>
          <w:szCs w:val="24"/>
          <w:lang w:val="en-GB"/>
        </w:rPr>
        <w:t>accept</w:t>
      </w:r>
      <w:r w:rsidR="00CD69A2" w:rsidRPr="0028108F">
        <w:rPr>
          <w:rFonts w:ascii="Arial" w:hAnsi="Arial" w:cs="Arial"/>
          <w:szCs w:val="24"/>
          <w:lang w:val="en-GB"/>
        </w:rPr>
        <w:t>a</w:t>
      </w:r>
      <w:r w:rsidR="00C92FC0" w:rsidRPr="0028108F">
        <w:rPr>
          <w:rFonts w:ascii="Arial" w:hAnsi="Arial" w:cs="Arial"/>
          <w:szCs w:val="24"/>
          <w:lang w:val="en-GB"/>
        </w:rPr>
        <w:t xml:space="preserve">nce of </w:t>
      </w:r>
      <w:r w:rsidRPr="0028108F">
        <w:rPr>
          <w:rFonts w:ascii="Arial" w:hAnsi="Arial" w:cs="Arial"/>
          <w:szCs w:val="24"/>
          <w:lang w:val="en-GB"/>
        </w:rPr>
        <w:t>evidence of SRS under</w:t>
      </w:r>
      <w:r w:rsidR="00C92FC0" w:rsidRPr="0028108F">
        <w:rPr>
          <w:rFonts w:ascii="Arial" w:hAnsi="Arial" w:cs="Arial"/>
          <w:szCs w:val="24"/>
          <w:lang w:val="en-GB"/>
        </w:rPr>
        <w:t>taken</w:t>
      </w:r>
      <w:r w:rsidRPr="0028108F">
        <w:rPr>
          <w:rFonts w:ascii="Arial" w:hAnsi="Arial" w:cs="Arial"/>
          <w:szCs w:val="24"/>
          <w:lang w:val="en-GB"/>
        </w:rPr>
        <w:t xml:space="preserve"> overseas can provide more flexibility to transgender </w:t>
      </w:r>
      <w:r w:rsidR="004F1E6D" w:rsidRPr="0028108F">
        <w:rPr>
          <w:rFonts w:ascii="Arial" w:hAnsi="Arial" w:cs="Arial"/>
          <w:szCs w:val="24"/>
          <w:lang w:val="en-GB"/>
        </w:rPr>
        <w:t>applicants</w:t>
      </w:r>
      <w:r w:rsidRPr="0028108F">
        <w:rPr>
          <w:rFonts w:ascii="Arial" w:hAnsi="Arial" w:cs="Arial"/>
          <w:szCs w:val="24"/>
          <w:lang w:val="en-GB"/>
        </w:rPr>
        <w:t xml:space="preserve"> who would like to go through the surgical procedures during gender transition and obtain gender recognition </w:t>
      </w:r>
      <w:r w:rsidR="00C92FC0" w:rsidRPr="0028108F">
        <w:rPr>
          <w:rFonts w:ascii="Arial" w:hAnsi="Arial" w:cs="Arial"/>
          <w:szCs w:val="24"/>
          <w:lang w:val="en-GB"/>
        </w:rPr>
        <w:t>at a later date</w:t>
      </w:r>
      <w:r w:rsidRPr="0028108F">
        <w:rPr>
          <w:rFonts w:ascii="Arial" w:hAnsi="Arial" w:cs="Arial"/>
          <w:szCs w:val="24"/>
          <w:lang w:val="en-GB"/>
        </w:rPr>
        <w:t xml:space="preserve">.  They could </w:t>
      </w:r>
      <w:r w:rsidR="004F1E6D" w:rsidRPr="0028108F">
        <w:rPr>
          <w:rFonts w:ascii="Arial" w:hAnsi="Arial" w:cs="Arial"/>
          <w:szCs w:val="24"/>
          <w:lang w:val="en-GB"/>
        </w:rPr>
        <w:t>seek SRS</w:t>
      </w:r>
      <w:r w:rsidRPr="0028108F">
        <w:rPr>
          <w:rFonts w:ascii="Arial" w:hAnsi="Arial" w:cs="Arial"/>
          <w:szCs w:val="24"/>
          <w:lang w:val="en-GB"/>
        </w:rPr>
        <w:t xml:space="preserve"> </w:t>
      </w:r>
      <w:r w:rsidR="004F1E6D" w:rsidRPr="0028108F">
        <w:rPr>
          <w:rFonts w:ascii="Arial" w:hAnsi="Arial" w:cs="Arial"/>
          <w:szCs w:val="24"/>
          <w:lang w:val="en-GB"/>
        </w:rPr>
        <w:t xml:space="preserve">anywhere or in the jurisdictions authorised under the gender recognition scheme </w:t>
      </w:r>
      <w:r w:rsidRPr="0028108F">
        <w:rPr>
          <w:rFonts w:ascii="Arial" w:hAnsi="Arial" w:cs="Arial"/>
          <w:szCs w:val="24"/>
          <w:lang w:val="en-GB"/>
        </w:rPr>
        <w:t xml:space="preserve">in consideration of their individual financial resources, </w:t>
      </w:r>
      <w:r w:rsidR="004F1E6D" w:rsidRPr="0028108F">
        <w:rPr>
          <w:rFonts w:ascii="Arial" w:hAnsi="Arial" w:cs="Arial"/>
          <w:szCs w:val="24"/>
          <w:lang w:val="en-GB"/>
        </w:rPr>
        <w:t xml:space="preserve">and </w:t>
      </w:r>
      <w:r w:rsidRPr="0028108F">
        <w:rPr>
          <w:rFonts w:ascii="Arial" w:hAnsi="Arial" w:cs="Arial"/>
          <w:szCs w:val="24"/>
          <w:lang w:val="en-GB"/>
        </w:rPr>
        <w:t>the quality of facilities and healthcare services</w:t>
      </w:r>
      <w:r w:rsidR="004F1E6D" w:rsidRPr="0028108F">
        <w:rPr>
          <w:rFonts w:ascii="Arial" w:hAnsi="Arial" w:cs="Arial"/>
          <w:szCs w:val="24"/>
          <w:lang w:val="en-GB"/>
        </w:rPr>
        <w:t xml:space="preserve"> of the jurisdiction(s) </w:t>
      </w:r>
      <w:r w:rsidR="0040740B" w:rsidRPr="0028108F">
        <w:rPr>
          <w:rFonts w:ascii="Arial" w:hAnsi="Arial" w:cs="Arial"/>
          <w:szCs w:val="24"/>
          <w:lang w:val="en-GB"/>
        </w:rPr>
        <w:t xml:space="preserve">where </w:t>
      </w:r>
      <w:r w:rsidR="004F1E6D" w:rsidRPr="0028108F">
        <w:rPr>
          <w:rFonts w:ascii="Arial" w:hAnsi="Arial" w:cs="Arial"/>
          <w:szCs w:val="24"/>
          <w:lang w:val="en-GB"/>
        </w:rPr>
        <w:t xml:space="preserve">they choose to </w:t>
      </w:r>
      <w:r w:rsidR="0040740B" w:rsidRPr="0028108F">
        <w:rPr>
          <w:rFonts w:ascii="Arial" w:hAnsi="Arial" w:cs="Arial"/>
          <w:szCs w:val="24"/>
          <w:lang w:val="en-GB"/>
        </w:rPr>
        <w:t xml:space="preserve">undergo the </w:t>
      </w:r>
      <w:r w:rsidR="004F1E6D" w:rsidRPr="0028108F">
        <w:rPr>
          <w:rFonts w:ascii="Arial" w:hAnsi="Arial" w:cs="Arial"/>
          <w:szCs w:val="24"/>
          <w:lang w:val="en-GB"/>
        </w:rPr>
        <w:t>SRS etc</w:t>
      </w:r>
      <w:r w:rsidRPr="0028108F">
        <w:rPr>
          <w:rFonts w:ascii="Arial" w:hAnsi="Arial" w:cs="Arial"/>
          <w:szCs w:val="24"/>
          <w:lang w:val="en-GB"/>
        </w:rPr>
        <w:t xml:space="preserve">.  </w:t>
      </w:r>
      <w:r w:rsidR="0099005B" w:rsidRPr="0028108F">
        <w:rPr>
          <w:rFonts w:ascii="Arial" w:hAnsi="Arial" w:cs="Arial"/>
          <w:szCs w:val="24"/>
          <w:lang w:val="en-GB"/>
        </w:rPr>
        <w:t xml:space="preserve">A </w:t>
      </w:r>
      <w:r w:rsidRPr="0028108F">
        <w:rPr>
          <w:rFonts w:ascii="Arial" w:hAnsi="Arial" w:cs="Arial"/>
          <w:szCs w:val="24"/>
          <w:lang w:val="en-GB"/>
        </w:rPr>
        <w:t xml:space="preserve">medical certificate confirming that the reassignment procedures have </w:t>
      </w:r>
      <w:r w:rsidR="00C92FC0" w:rsidRPr="0028108F">
        <w:rPr>
          <w:rFonts w:ascii="Arial" w:hAnsi="Arial" w:cs="Arial"/>
          <w:szCs w:val="24"/>
          <w:lang w:val="en-GB"/>
        </w:rPr>
        <w:t xml:space="preserve">been </w:t>
      </w:r>
      <w:r w:rsidRPr="0028108F">
        <w:rPr>
          <w:rFonts w:ascii="Arial" w:hAnsi="Arial" w:cs="Arial"/>
          <w:szCs w:val="24"/>
          <w:lang w:val="en-GB"/>
        </w:rPr>
        <w:t xml:space="preserve">done could be submitted as evidence for assessing the </w:t>
      </w:r>
      <w:r w:rsidR="0099005B" w:rsidRPr="0028108F">
        <w:rPr>
          <w:rFonts w:ascii="Arial" w:hAnsi="Arial" w:cs="Arial"/>
          <w:szCs w:val="24"/>
          <w:lang w:val="en-GB"/>
        </w:rPr>
        <w:t xml:space="preserve">legal gender </w:t>
      </w:r>
      <w:r w:rsidRPr="0028108F">
        <w:rPr>
          <w:rFonts w:ascii="Arial" w:hAnsi="Arial" w:cs="Arial"/>
          <w:szCs w:val="24"/>
          <w:lang w:val="en-GB"/>
        </w:rPr>
        <w:t>recognition.</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E773F6">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i/>
          <w:szCs w:val="24"/>
          <w:lang w:val="en-GB"/>
        </w:rPr>
      </w:pPr>
      <w:r w:rsidRPr="0028108F">
        <w:rPr>
          <w:rFonts w:ascii="Arial" w:hAnsi="Arial" w:cs="Arial"/>
          <w:szCs w:val="24"/>
          <w:lang w:val="en-GB"/>
        </w:rPr>
        <w:t xml:space="preserve">However, some </w:t>
      </w:r>
      <w:r w:rsidR="0099005B" w:rsidRPr="0028108F">
        <w:rPr>
          <w:rFonts w:ascii="Arial" w:hAnsi="Arial" w:cs="Arial"/>
          <w:szCs w:val="24"/>
          <w:lang w:val="en-GB"/>
        </w:rPr>
        <w:t xml:space="preserve">people </w:t>
      </w:r>
      <w:r w:rsidRPr="0028108F">
        <w:rPr>
          <w:rFonts w:ascii="Arial" w:hAnsi="Arial" w:cs="Arial"/>
          <w:szCs w:val="24"/>
          <w:lang w:val="en-GB"/>
        </w:rPr>
        <w:t>might argue that the authenticity of a certification of SRS performed</w:t>
      </w:r>
      <w:r w:rsidR="00400335">
        <w:rPr>
          <w:rFonts w:ascii="Arial" w:hAnsi="Arial" w:cs="Arial" w:hint="eastAsia"/>
          <w:szCs w:val="24"/>
          <w:lang w:val="en-GB"/>
        </w:rPr>
        <w:t xml:space="preserve"> in some places</w:t>
      </w:r>
      <w:r w:rsidRPr="0028108F">
        <w:rPr>
          <w:rFonts w:ascii="Arial" w:hAnsi="Arial" w:cs="Arial"/>
          <w:szCs w:val="24"/>
          <w:lang w:val="en-GB"/>
        </w:rPr>
        <w:t xml:space="preserve"> could be in doubt.  To give transgender persons the autonomy to choose wherever they want to undergo SRS could lead to difficulty in </w:t>
      </w:r>
      <w:r w:rsidR="0040740B" w:rsidRPr="0028108F">
        <w:rPr>
          <w:rFonts w:ascii="Arial" w:hAnsi="Arial" w:cs="Arial"/>
          <w:szCs w:val="24"/>
          <w:lang w:val="en-GB"/>
        </w:rPr>
        <w:t xml:space="preserve">the local authority </w:t>
      </w:r>
      <w:r w:rsidRPr="0028108F">
        <w:rPr>
          <w:rFonts w:ascii="Arial" w:hAnsi="Arial" w:cs="Arial"/>
          <w:szCs w:val="24"/>
          <w:lang w:val="en-GB"/>
        </w:rPr>
        <w:t xml:space="preserve">ascertaining the completion of transition.  </w:t>
      </w:r>
      <w:r w:rsidR="0040740B" w:rsidRPr="0028108F">
        <w:rPr>
          <w:rFonts w:ascii="Arial" w:hAnsi="Arial" w:cs="Arial"/>
          <w:szCs w:val="24"/>
          <w:lang w:val="en-GB"/>
        </w:rPr>
        <w:t>It might be possible to eliminate t</w:t>
      </w:r>
      <w:r w:rsidRPr="0028108F">
        <w:rPr>
          <w:rFonts w:ascii="Arial" w:hAnsi="Arial" w:cs="Arial"/>
          <w:szCs w:val="24"/>
          <w:lang w:val="en-GB"/>
        </w:rPr>
        <w:t xml:space="preserve">his doubt by requiring the applicant for gender recognition to be reassessed by a local medical practitioner.  Yet, the applicant might be reluctant to have such a reassessment, deeming it unnecessary and an intrusion </w:t>
      </w:r>
      <w:r w:rsidR="00C92FC0" w:rsidRPr="0028108F">
        <w:rPr>
          <w:rFonts w:ascii="Arial" w:hAnsi="Arial" w:cs="Arial"/>
          <w:szCs w:val="24"/>
          <w:lang w:val="en-GB"/>
        </w:rPr>
        <w:t>into</w:t>
      </w:r>
      <w:r w:rsidRPr="0028108F">
        <w:rPr>
          <w:rFonts w:ascii="Arial" w:hAnsi="Arial" w:cs="Arial"/>
          <w:szCs w:val="24"/>
          <w:lang w:val="en-GB"/>
        </w:rPr>
        <w:t xml:space="preserve"> personal privacy.</w:t>
      </w:r>
    </w:p>
    <w:p w:rsidR="00E773F6" w:rsidRPr="008813DE" w:rsidRDefault="00E773F6"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BD3882" w:rsidRPr="0028108F" w:rsidRDefault="00BD3882" w:rsidP="008813DE">
      <w:pPr>
        <w:pStyle w:val="ListParagraph"/>
        <w:tabs>
          <w:tab w:val="left" w:pos="1418"/>
          <w:tab w:val="left" w:pos="2552"/>
        </w:tabs>
        <w:autoSpaceDE w:val="0"/>
        <w:autoSpaceDN w:val="0"/>
        <w:adjustRightInd w:val="0"/>
        <w:snapToGrid w:val="0"/>
        <w:ind w:leftChars="0" w:left="0"/>
        <w:jc w:val="both"/>
        <w:rPr>
          <w:rFonts w:ascii="Arial" w:hAnsi="Arial" w:cs="Arial"/>
          <w:b/>
          <w:szCs w:val="24"/>
          <w:lang w:val="en-GB"/>
        </w:rPr>
      </w:pPr>
    </w:p>
    <w:p w:rsidR="0099005B" w:rsidRPr="0028108F" w:rsidRDefault="0099005B" w:rsidP="0028108F">
      <w:pPr>
        <w:jc w:val="both"/>
        <w:rPr>
          <w:rFonts w:ascii="Arial" w:hAnsi="Arial" w:cs="Arial"/>
          <w:b/>
          <w:sz w:val="28"/>
          <w:szCs w:val="28"/>
          <w:lang w:val="en-GB"/>
        </w:rPr>
      </w:pPr>
      <w:r w:rsidRPr="0028108F">
        <w:rPr>
          <w:rFonts w:ascii="Arial" w:hAnsi="Arial" w:cs="Arial"/>
          <w:b/>
          <w:sz w:val="28"/>
          <w:szCs w:val="28"/>
          <w:lang w:val="en-GB"/>
        </w:rPr>
        <w:t>Issue</w:t>
      </w:r>
      <w:r w:rsidR="00BD3882" w:rsidRPr="00181CF2">
        <w:rPr>
          <w:rFonts w:ascii="Arial" w:hAnsi="Arial" w:cs="Arial"/>
          <w:b/>
          <w:sz w:val="28"/>
          <w:szCs w:val="28"/>
          <w:lang w:val="en-GB"/>
        </w:rPr>
        <w:t>s</w:t>
      </w:r>
      <w:r w:rsidRPr="0028108F">
        <w:rPr>
          <w:rFonts w:ascii="Arial" w:hAnsi="Arial" w:cs="Arial"/>
          <w:b/>
          <w:sz w:val="28"/>
          <w:szCs w:val="28"/>
          <w:lang w:val="en-GB"/>
        </w:rPr>
        <w:t xml:space="preserve"> for consultation</w:t>
      </w:r>
      <w:r w:rsidR="00BD3882" w:rsidRPr="00181CF2">
        <w:rPr>
          <w:rFonts w:ascii="Arial" w:hAnsi="Arial" w:cs="Arial"/>
          <w:b/>
          <w:sz w:val="28"/>
          <w:szCs w:val="28"/>
          <w:lang w:val="en-GB"/>
        </w:rPr>
        <w:t xml:space="preserve"> on SRS </w:t>
      </w:r>
      <w:r w:rsidR="00BD3882" w:rsidRPr="00C57CE1">
        <w:rPr>
          <w:rFonts w:ascii="Arial" w:hAnsi="Arial" w:cs="Arial"/>
          <w:b/>
          <w:sz w:val="28"/>
          <w:szCs w:val="28"/>
          <w:lang w:val="en-GB"/>
        </w:rPr>
        <w:t xml:space="preserve">and other </w:t>
      </w:r>
      <w:r w:rsidR="00040EFE" w:rsidRPr="0028108F">
        <w:rPr>
          <w:rFonts w:ascii="Arial" w:hAnsi="Arial" w:cs="Arial"/>
          <w:b/>
          <w:sz w:val="28"/>
          <w:szCs w:val="28"/>
          <w:lang w:val="en-GB"/>
        </w:rPr>
        <w:t xml:space="preserve">medical </w:t>
      </w:r>
      <w:r w:rsidR="00BD3882" w:rsidRPr="0028108F">
        <w:rPr>
          <w:rFonts w:ascii="Arial" w:hAnsi="Arial" w:cs="Arial"/>
          <w:b/>
          <w:sz w:val="28"/>
          <w:szCs w:val="28"/>
          <w:lang w:val="en-GB"/>
        </w:rPr>
        <w:t>requirement</w:t>
      </w:r>
      <w:r w:rsidR="00040EFE" w:rsidRPr="0028108F">
        <w:rPr>
          <w:rFonts w:ascii="Arial" w:hAnsi="Arial" w:cs="Arial"/>
          <w:b/>
          <w:sz w:val="28"/>
          <w:szCs w:val="28"/>
          <w:lang w:val="en-GB"/>
        </w:rPr>
        <w:t>s</w:t>
      </w:r>
    </w:p>
    <w:p w:rsidR="0099005B" w:rsidRPr="00181CF2" w:rsidRDefault="0099005B" w:rsidP="008813DE">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99005B" w:rsidRPr="0028108F" w:rsidRDefault="0099005B" w:rsidP="0099005B">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C57CE1">
        <w:rPr>
          <w:rFonts w:ascii="Arial" w:hAnsi="Arial" w:cs="Arial"/>
          <w:szCs w:val="24"/>
          <w:lang w:val="en-GB"/>
        </w:rPr>
        <w:t xml:space="preserve">In view of the discussion in </w:t>
      </w:r>
      <w:r w:rsidRPr="0028108F">
        <w:rPr>
          <w:rFonts w:ascii="Arial" w:hAnsi="Arial" w:cs="Arial"/>
          <w:szCs w:val="24"/>
          <w:lang w:val="en-GB"/>
        </w:rPr>
        <w:t xml:space="preserve">paragraphs </w:t>
      </w:r>
      <w:r w:rsidRPr="008813DE">
        <w:rPr>
          <w:rFonts w:ascii="Arial" w:hAnsi="Arial" w:cs="Arial"/>
          <w:szCs w:val="24"/>
          <w:lang w:val="en-GB"/>
        </w:rPr>
        <w:t>6.3</w:t>
      </w:r>
      <w:r w:rsidR="009A0B79">
        <w:rPr>
          <w:rFonts w:ascii="Arial" w:hAnsi="Arial" w:cs="Arial"/>
          <w:szCs w:val="24"/>
          <w:lang w:val="en-GB"/>
        </w:rPr>
        <w:t>5</w:t>
      </w:r>
      <w:r w:rsidRPr="008813DE">
        <w:rPr>
          <w:rFonts w:ascii="Arial" w:hAnsi="Arial" w:cs="Arial"/>
          <w:szCs w:val="24"/>
          <w:lang w:val="en-GB"/>
        </w:rPr>
        <w:t xml:space="preserve"> to 6.9</w:t>
      </w:r>
      <w:r w:rsidR="009A0B79">
        <w:rPr>
          <w:rFonts w:ascii="Arial" w:hAnsi="Arial" w:cs="Arial"/>
          <w:szCs w:val="24"/>
          <w:lang w:val="en-GB"/>
        </w:rPr>
        <w:t>2</w:t>
      </w:r>
      <w:r w:rsidRPr="0028108F">
        <w:rPr>
          <w:rFonts w:ascii="Arial" w:hAnsi="Arial" w:cs="Arial"/>
          <w:szCs w:val="24"/>
          <w:lang w:val="en-GB"/>
        </w:rPr>
        <w:t xml:space="preserve"> above, we </w:t>
      </w:r>
      <w:r w:rsidR="005E6528">
        <w:rPr>
          <w:rFonts w:ascii="Arial" w:hAnsi="Arial" w:cs="Arial"/>
          <w:szCs w:val="24"/>
          <w:lang w:val="en-GB"/>
        </w:rPr>
        <w:t>invite</w:t>
      </w:r>
      <w:r w:rsidRPr="0028108F">
        <w:rPr>
          <w:rFonts w:ascii="Arial" w:hAnsi="Arial" w:cs="Arial"/>
          <w:szCs w:val="24"/>
          <w:lang w:val="en-GB"/>
        </w:rPr>
        <w:t xml:space="preserve"> views from the public on having a surgical requirement for gender recognition and relat</w:t>
      </w:r>
      <w:r w:rsidR="00040EFE" w:rsidRPr="0028108F">
        <w:rPr>
          <w:rFonts w:ascii="Arial" w:hAnsi="Arial" w:cs="Arial"/>
          <w:szCs w:val="24"/>
          <w:lang w:val="en-GB"/>
        </w:rPr>
        <w:t>ed</w:t>
      </w:r>
      <w:r w:rsidRPr="0028108F">
        <w:rPr>
          <w:rFonts w:ascii="Arial" w:hAnsi="Arial" w:cs="Arial"/>
          <w:szCs w:val="24"/>
          <w:lang w:val="en-GB"/>
        </w:rPr>
        <w:t xml:space="preserve"> issues.</w:t>
      </w:r>
    </w:p>
    <w:p w:rsidR="00040EFE" w:rsidRDefault="00040EFE"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423DE0" w:rsidRPr="0028108F" w:rsidRDefault="00423DE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99005B" w:rsidRPr="0028108F" w:rsidRDefault="003F0CF7"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BD3882"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BD3882" w:rsidRPr="0028108F">
        <w:rPr>
          <w:rFonts w:ascii="Arial" w:hAnsi="Arial" w:cs="Arial"/>
          <w:b/>
          <w:color w:val="000000" w:themeColor="text1"/>
          <w:szCs w:val="24"/>
          <w:u w:val="single"/>
          <w:lang w:val="en-GB"/>
        </w:rPr>
        <w:t xml:space="preserve"> </w:t>
      </w:r>
      <w:r w:rsidR="00BD3882" w:rsidRPr="008813DE">
        <w:rPr>
          <w:rFonts w:ascii="Arial" w:hAnsi="Arial" w:cs="Arial"/>
          <w:b/>
          <w:color w:val="000000" w:themeColor="text1"/>
          <w:szCs w:val="24"/>
          <w:u w:val="single"/>
          <w:lang w:val="en-GB"/>
        </w:rPr>
        <w:t>5</w:t>
      </w:r>
      <w:r w:rsidR="0099005B"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0099005B"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0099005B" w:rsidRPr="00C57CE1">
        <w:rPr>
          <w:rFonts w:ascii="Arial" w:hAnsi="Arial" w:cs="Arial"/>
          <w:b/>
          <w:color w:val="000000" w:themeColor="text1"/>
          <w:szCs w:val="24"/>
          <w:lang w:val="en-GB"/>
        </w:rPr>
        <w:t xml:space="preserve"> views from the public on</w:t>
      </w:r>
      <w:r w:rsidR="00BD3882" w:rsidRPr="0028108F">
        <w:rPr>
          <w:rFonts w:ascii="Arial" w:hAnsi="Arial" w:cs="Arial"/>
          <w:b/>
          <w:color w:val="000000" w:themeColor="text1"/>
          <w:szCs w:val="24"/>
          <w:lang w:val="en-GB"/>
        </w:rPr>
        <w:t xml:space="preserve"> the following matters.</w:t>
      </w:r>
    </w:p>
    <w:p w:rsidR="0099005B" w:rsidRPr="0028108F" w:rsidRDefault="0099005B"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p>
    <w:p w:rsidR="00340BC9" w:rsidRDefault="0099005B" w:rsidP="00C03887">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t xml:space="preserve">Insofar as the practice in Hong Kong is concerned, full sex reassignment surgery requires removal of the original genital organs and construction of some form of genital organs of the opposite sex.  In the event that a gender recognition scheme is </w:t>
      </w:r>
      <w:r w:rsidR="005E6528">
        <w:rPr>
          <w:rFonts w:ascii="Arial" w:hAnsi="Arial" w:cs="Arial" w:hint="eastAsia"/>
          <w:b/>
          <w:color w:val="000000" w:themeColor="text1"/>
          <w:szCs w:val="24"/>
          <w:lang w:val="en-GB"/>
        </w:rPr>
        <w:t xml:space="preserve">to be </w:t>
      </w:r>
      <w:r w:rsidRPr="0028108F">
        <w:rPr>
          <w:rFonts w:ascii="Arial" w:hAnsi="Arial" w:cs="Arial"/>
          <w:b/>
          <w:color w:val="000000" w:themeColor="text1"/>
          <w:szCs w:val="24"/>
          <w:lang w:val="en-GB"/>
        </w:rPr>
        <w:t xml:space="preserve">introduced in Hong Kong, should </w:t>
      </w:r>
      <w:r w:rsidR="00D9128E" w:rsidRPr="0028108F">
        <w:rPr>
          <w:rFonts w:ascii="Arial" w:hAnsi="Arial" w:cs="Arial"/>
          <w:b/>
          <w:color w:val="000000" w:themeColor="text1"/>
          <w:szCs w:val="24"/>
          <w:lang w:val="en-GB"/>
        </w:rPr>
        <w:t xml:space="preserve">there </w:t>
      </w:r>
      <w:r w:rsidRPr="0028108F">
        <w:rPr>
          <w:rFonts w:ascii="Arial" w:hAnsi="Arial" w:cs="Arial"/>
          <w:b/>
          <w:color w:val="000000" w:themeColor="text1"/>
          <w:szCs w:val="24"/>
          <w:lang w:val="en-GB"/>
        </w:rPr>
        <w:t xml:space="preserve">be a requirement for the applicant to have undergone partial/full sex reassignment surgery, and </w:t>
      </w:r>
      <w:r w:rsidR="00D9128E" w:rsidRPr="0028108F">
        <w:rPr>
          <w:rFonts w:ascii="Arial" w:hAnsi="Arial" w:cs="Arial"/>
          <w:b/>
          <w:color w:val="000000" w:themeColor="text1"/>
          <w:szCs w:val="24"/>
          <w:lang w:val="en-GB"/>
        </w:rPr>
        <w:t xml:space="preserve">if so, </w:t>
      </w:r>
      <w:r w:rsidRPr="0028108F">
        <w:rPr>
          <w:rFonts w:ascii="Arial" w:hAnsi="Arial" w:cs="Arial"/>
          <w:b/>
          <w:color w:val="000000" w:themeColor="text1"/>
          <w:szCs w:val="24"/>
          <w:lang w:val="en-GB"/>
        </w:rPr>
        <w:t>why</w:t>
      </w:r>
      <w:r w:rsidR="00D9128E" w:rsidRPr="0028108F">
        <w:rPr>
          <w:rFonts w:ascii="Arial" w:hAnsi="Arial" w:cs="Arial"/>
          <w:b/>
          <w:color w:val="000000" w:themeColor="text1"/>
          <w:szCs w:val="24"/>
          <w:lang w:val="en-GB"/>
        </w:rPr>
        <w:t>?</w:t>
      </w:r>
    </w:p>
    <w:p w:rsidR="0099005B" w:rsidRPr="0028108F" w:rsidRDefault="0099005B" w:rsidP="00C03887">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 xml:space="preserve"> </w:t>
      </w:r>
    </w:p>
    <w:p w:rsidR="0099005B" w:rsidRPr="0028108F" w:rsidRDefault="0099005B" w:rsidP="00C03887">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177617"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(1) is “yes”</w:t>
      </w:r>
    </w:p>
    <w:p w:rsidR="0099005B" w:rsidRPr="0028108F" w:rsidRDefault="0099005B"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99005B" w:rsidRPr="0028108F"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FB625B" w:rsidRPr="00181CF2">
        <w:rPr>
          <w:rFonts w:ascii="Arial" w:hAnsi="Arial" w:cs="Arial"/>
          <w:b/>
          <w:color w:val="000000" w:themeColor="text1"/>
          <w:szCs w:val="24"/>
          <w:lang w:val="en-GB"/>
        </w:rPr>
        <w:t>(a)</w:t>
      </w:r>
      <w:r w:rsidR="00D433B0" w:rsidRPr="00C57CE1">
        <w:rPr>
          <w:rFonts w:ascii="Arial" w:hAnsi="Arial" w:cs="Arial"/>
          <w:b/>
          <w:color w:val="000000" w:themeColor="text1"/>
          <w:szCs w:val="24"/>
          <w:lang w:val="en-GB"/>
        </w:rPr>
        <w:t xml:space="preserve"> </w:t>
      </w:r>
      <w:r w:rsidR="00D433B0" w:rsidRPr="00C57CE1">
        <w:rPr>
          <w:rFonts w:ascii="Arial" w:hAnsi="Arial" w:cs="Arial"/>
          <w:b/>
          <w:color w:val="000000" w:themeColor="text1"/>
          <w:szCs w:val="24"/>
          <w:lang w:val="en-GB"/>
        </w:rPr>
        <w:tab/>
      </w:r>
      <w:r w:rsidR="00D433B0" w:rsidRPr="0028108F">
        <w:rPr>
          <w:rFonts w:ascii="Arial" w:hAnsi="Arial" w:cs="Arial"/>
          <w:b/>
          <w:color w:val="000000" w:themeColor="text1"/>
          <w:szCs w:val="24"/>
          <w:lang w:val="en-GB"/>
        </w:rPr>
        <w:t>r</w:t>
      </w:r>
      <w:r w:rsidR="00177617" w:rsidRPr="0028108F">
        <w:rPr>
          <w:rFonts w:ascii="Arial" w:hAnsi="Arial" w:cs="Arial"/>
          <w:b/>
          <w:color w:val="000000" w:themeColor="text1"/>
          <w:szCs w:val="24"/>
          <w:lang w:val="en-GB"/>
        </w:rPr>
        <w:t>e</w:t>
      </w:r>
      <w:r w:rsidR="0099005B" w:rsidRPr="00181CF2">
        <w:rPr>
          <w:rFonts w:ascii="Arial" w:hAnsi="Arial" w:cs="Arial"/>
          <w:b/>
          <w:color w:val="000000" w:themeColor="text1"/>
          <w:szCs w:val="24"/>
          <w:lang w:val="en-GB"/>
        </w:rPr>
        <w:t>garding the extent of the surgery required,</w:t>
      </w:r>
      <w:r w:rsidR="00C03887" w:rsidRPr="0028108F">
        <w:rPr>
          <w:rFonts w:ascii="Arial" w:hAnsi="Arial" w:cs="Arial"/>
          <w:b/>
          <w:color w:val="000000" w:themeColor="text1"/>
          <w:szCs w:val="24"/>
          <w:lang w:val="en-GB"/>
        </w:rPr>
        <w:t xml:space="preserve"> </w:t>
      </w:r>
      <w:r w:rsidR="0099005B" w:rsidRPr="00181CF2">
        <w:rPr>
          <w:rFonts w:ascii="Arial" w:hAnsi="Arial" w:cs="Arial"/>
          <w:b/>
          <w:color w:val="000000" w:themeColor="text1"/>
          <w:szCs w:val="24"/>
          <w:lang w:val="en-GB"/>
        </w:rPr>
        <w:t>whether there should be a requirement of full sex reassignment surgery as currently adopted in Hong Kong, and why</w:t>
      </w:r>
      <w:r w:rsidR="00D433B0" w:rsidRPr="0028108F">
        <w:rPr>
          <w:rFonts w:ascii="Arial" w:hAnsi="Arial" w:cs="Arial"/>
          <w:b/>
          <w:color w:val="000000" w:themeColor="text1"/>
          <w:szCs w:val="24"/>
          <w:lang w:val="en-GB"/>
        </w:rPr>
        <w:t>;</w:t>
      </w:r>
      <w:r w:rsidR="0099005B" w:rsidRPr="0028108F">
        <w:rPr>
          <w:rFonts w:ascii="Arial" w:hAnsi="Arial" w:cs="Arial"/>
          <w:b/>
          <w:color w:val="000000" w:themeColor="text1"/>
          <w:szCs w:val="24"/>
          <w:lang w:val="en-GB"/>
        </w:rPr>
        <w:t xml:space="preserve">  </w:t>
      </w:r>
    </w:p>
    <w:p w:rsidR="0099005B" w:rsidRPr="0028108F" w:rsidRDefault="0099005B"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99005B" w:rsidRPr="0028108F"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99005B" w:rsidRPr="00181CF2">
        <w:rPr>
          <w:rFonts w:ascii="Arial" w:hAnsi="Arial" w:cs="Arial"/>
          <w:b/>
          <w:color w:val="000000" w:themeColor="text1"/>
          <w:szCs w:val="24"/>
          <w:lang w:val="en-GB"/>
        </w:rPr>
        <w:t>(b)</w:t>
      </w:r>
      <w:r w:rsidR="0099005B" w:rsidRPr="00181CF2">
        <w:rPr>
          <w:rFonts w:ascii="Arial" w:hAnsi="Arial" w:cs="Arial"/>
          <w:b/>
          <w:color w:val="000000" w:themeColor="text1"/>
          <w:szCs w:val="24"/>
          <w:lang w:val="en-GB"/>
        </w:rPr>
        <w:tab/>
      </w:r>
      <w:r w:rsidR="00D433B0" w:rsidRPr="0028108F">
        <w:rPr>
          <w:rFonts w:ascii="Arial" w:hAnsi="Arial" w:cs="Arial"/>
          <w:b/>
          <w:color w:val="000000" w:themeColor="text1"/>
          <w:szCs w:val="24"/>
          <w:lang w:val="en-GB"/>
        </w:rPr>
        <w:t>i</w:t>
      </w:r>
      <w:r w:rsidR="0099005B" w:rsidRPr="0028108F">
        <w:rPr>
          <w:rFonts w:ascii="Arial" w:hAnsi="Arial" w:cs="Arial"/>
          <w:b/>
          <w:color w:val="000000" w:themeColor="text1"/>
          <w:szCs w:val="24"/>
          <w:lang w:val="en-GB"/>
        </w:rPr>
        <w:t>f the answer to sub-paragraph (a) is “no”, what</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type of partial sex reassignment surgery (ie</w:t>
      </w:r>
      <w:r w:rsidR="00D9128E" w:rsidRPr="0028108F">
        <w:rPr>
          <w:rFonts w:ascii="Arial" w:hAnsi="Arial" w:cs="Arial"/>
          <w:b/>
          <w:color w:val="000000" w:themeColor="text1"/>
          <w:szCs w:val="24"/>
          <w:lang w:val="en-GB"/>
        </w:rPr>
        <w:t>,</w:t>
      </w:r>
      <w:r w:rsidR="0099005B" w:rsidRPr="0028108F">
        <w:rPr>
          <w:rFonts w:ascii="Arial" w:hAnsi="Arial" w:cs="Arial"/>
          <w:b/>
          <w:color w:val="000000" w:themeColor="text1"/>
          <w:szCs w:val="24"/>
          <w:lang w:val="en-GB"/>
        </w:rPr>
        <w:t xml:space="preserve"> the</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extent of the partial surgery) would be sufficient,</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and why</w:t>
      </w:r>
      <w:r w:rsidR="00D433B0" w:rsidRPr="0028108F">
        <w:rPr>
          <w:rFonts w:ascii="Arial" w:hAnsi="Arial" w:cs="Arial"/>
          <w:b/>
          <w:color w:val="000000" w:themeColor="text1"/>
          <w:szCs w:val="24"/>
          <w:lang w:val="en-GB"/>
        </w:rPr>
        <w:t>;</w:t>
      </w:r>
    </w:p>
    <w:p w:rsidR="0099005B" w:rsidRPr="0028108F" w:rsidRDefault="0099005B"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99005B" w:rsidRPr="0028108F"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99005B" w:rsidRPr="00181CF2">
        <w:rPr>
          <w:rFonts w:ascii="Arial" w:hAnsi="Arial" w:cs="Arial"/>
          <w:b/>
          <w:color w:val="000000" w:themeColor="text1"/>
          <w:szCs w:val="24"/>
          <w:lang w:val="en-GB"/>
        </w:rPr>
        <w:t>(c)</w:t>
      </w:r>
      <w:r w:rsidR="00400335">
        <w:rPr>
          <w:rFonts w:ascii="Arial" w:hAnsi="Arial" w:cs="Arial" w:hint="eastAsia"/>
          <w:b/>
          <w:color w:val="000000" w:themeColor="text1"/>
          <w:szCs w:val="24"/>
          <w:lang w:val="en-GB"/>
        </w:rPr>
        <w:tab/>
      </w:r>
      <w:r w:rsidR="00D433B0" w:rsidRPr="008813DE">
        <w:rPr>
          <w:rFonts w:ascii="Arial" w:hAnsi="Arial" w:cs="Arial"/>
          <w:b/>
          <w:color w:val="000000" w:themeColor="text1"/>
          <w:szCs w:val="24"/>
          <w:lang w:val="en-GB"/>
        </w:rPr>
        <w:t>o</w:t>
      </w:r>
      <w:r w:rsidR="0099005B" w:rsidRPr="008813DE">
        <w:rPr>
          <w:rFonts w:ascii="Arial" w:hAnsi="Arial" w:cs="Arial"/>
          <w:b/>
          <w:color w:val="000000" w:themeColor="text1"/>
          <w:szCs w:val="24"/>
          <w:lang w:val="en-GB"/>
        </w:rPr>
        <w:t>ther than a partial/full sex reassignment</w:t>
      </w:r>
      <w:r w:rsidR="00FB625B" w:rsidRPr="00181CF2">
        <w:rPr>
          <w:rFonts w:ascii="Arial" w:hAnsi="Arial" w:cs="Arial"/>
          <w:b/>
          <w:color w:val="000000" w:themeColor="text1"/>
          <w:szCs w:val="24"/>
          <w:lang w:val="en-GB"/>
        </w:rPr>
        <w:t xml:space="preserve"> </w:t>
      </w:r>
      <w:r w:rsidR="0099005B" w:rsidRPr="00C57CE1">
        <w:rPr>
          <w:rFonts w:ascii="Arial" w:hAnsi="Arial" w:cs="Arial"/>
          <w:b/>
          <w:color w:val="000000" w:themeColor="text1"/>
          <w:szCs w:val="24"/>
          <w:lang w:val="en-GB"/>
        </w:rPr>
        <w:t>surgery,</w:t>
      </w:r>
      <w:r w:rsidR="004B1746"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what kind of surgery should be required</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 xml:space="preserve">(including non-genital surgery such as plastic surgery, reconstruction of chest, </w:t>
      </w:r>
      <w:r w:rsidR="00BE259B" w:rsidRPr="0028108F">
        <w:rPr>
          <w:rFonts w:ascii="Arial" w:hAnsi="Arial" w:cs="Arial"/>
          <w:b/>
          <w:color w:val="000000" w:themeColor="text1"/>
          <w:szCs w:val="24"/>
          <w:lang w:val="en-GB"/>
        </w:rPr>
        <w:t>etc</w:t>
      </w:r>
      <w:r w:rsidR="0099005B" w:rsidRPr="0028108F">
        <w:rPr>
          <w:rFonts w:ascii="Arial" w:hAnsi="Arial" w:cs="Arial"/>
          <w:b/>
          <w:color w:val="000000" w:themeColor="text1"/>
          <w:szCs w:val="24"/>
          <w:lang w:val="en-GB"/>
        </w:rPr>
        <w:t>), and why</w:t>
      </w:r>
      <w:r w:rsidR="00D433B0" w:rsidRPr="0028108F">
        <w:rPr>
          <w:rFonts w:ascii="Arial" w:hAnsi="Arial" w:cs="Arial"/>
          <w:b/>
          <w:color w:val="000000" w:themeColor="text1"/>
          <w:szCs w:val="24"/>
          <w:lang w:val="en-GB"/>
        </w:rPr>
        <w:t>;</w:t>
      </w:r>
    </w:p>
    <w:p w:rsidR="0099005B" w:rsidRPr="0028108F" w:rsidRDefault="0099005B"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423DE0" w:rsidRPr="00423DE0" w:rsidRDefault="00E7508D" w:rsidP="00DC0092">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99005B" w:rsidRPr="00181CF2">
        <w:rPr>
          <w:rFonts w:ascii="Arial" w:hAnsi="Arial" w:cs="Arial"/>
          <w:b/>
          <w:color w:val="000000" w:themeColor="text1"/>
          <w:szCs w:val="24"/>
          <w:lang w:val="en-GB"/>
        </w:rPr>
        <w:t>(d)</w:t>
      </w:r>
      <w:r w:rsidR="0099005B" w:rsidRPr="00181CF2">
        <w:rPr>
          <w:rFonts w:ascii="Arial" w:hAnsi="Arial" w:cs="Arial"/>
          <w:b/>
          <w:color w:val="000000" w:themeColor="text1"/>
          <w:szCs w:val="24"/>
          <w:lang w:val="en-GB"/>
        </w:rPr>
        <w:tab/>
      </w:r>
      <w:r w:rsidR="00D433B0" w:rsidRPr="0028108F">
        <w:rPr>
          <w:rFonts w:ascii="Arial" w:hAnsi="Arial" w:cs="Arial"/>
          <w:b/>
          <w:color w:val="000000" w:themeColor="text1"/>
          <w:szCs w:val="24"/>
          <w:lang w:val="en-GB"/>
        </w:rPr>
        <w:t>w</w:t>
      </w:r>
      <w:r w:rsidR="0099005B" w:rsidRPr="0028108F">
        <w:rPr>
          <w:rFonts w:ascii="Arial" w:hAnsi="Arial" w:cs="Arial"/>
          <w:b/>
          <w:color w:val="000000" w:themeColor="text1"/>
          <w:szCs w:val="24"/>
          <w:lang w:val="en-GB"/>
        </w:rPr>
        <w:t>hat kind of evidence in this respect should be</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provided by an applicant for gender recognition</w:t>
      </w:r>
      <w:r w:rsidR="00D433B0" w:rsidRPr="0028108F">
        <w:rPr>
          <w:rFonts w:ascii="Arial" w:hAnsi="Arial" w:cs="Arial"/>
          <w:b/>
          <w:color w:val="000000" w:themeColor="text1"/>
          <w:szCs w:val="24"/>
          <w:lang w:val="en-GB"/>
        </w:rPr>
        <w:t>;</w:t>
      </w:r>
    </w:p>
    <w:p w:rsidR="00423DE0" w:rsidRPr="0028108F" w:rsidRDefault="00423DE0"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99005B" w:rsidRPr="00181CF2"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99005B" w:rsidRPr="00181CF2">
        <w:rPr>
          <w:rFonts w:ascii="Arial" w:hAnsi="Arial" w:cs="Arial"/>
          <w:b/>
          <w:color w:val="000000" w:themeColor="text1"/>
          <w:szCs w:val="24"/>
          <w:lang w:val="en-GB"/>
        </w:rPr>
        <w:t xml:space="preserve">(e) </w:t>
      </w:r>
      <w:r w:rsidR="00FB625B" w:rsidRPr="00C57CE1">
        <w:rPr>
          <w:rFonts w:ascii="Arial" w:hAnsi="Arial" w:cs="Arial"/>
          <w:b/>
          <w:color w:val="000000" w:themeColor="text1"/>
          <w:szCs w:val="24"/>
          <w:lang w:val="en-GB"/>
        </w:rPr>
        <w:tab/>
      </w:r>
      <w:r w:rsidR="00D433B0" w:rsidRPr="0028108F">
        <w:rPr>
          <w:rFonts w:ascii="Arial" w:hAnsi="Arial" w:cs="Arial"/>
          <w:b/>
          <w:color w:val="000000" w:themeColor="text1"/>
          <w:szCs w:val="24"/>
          <w:lang w:val="en-GB"/>
        </w:rPr>
        <w:t>w</w:t>
      </w:r>
      <w:r w:rsidR="0099005B" w:rsidRPr="0028108F">
        <w:rPr>
          <w:rFonts w:ascii="Arial" w:hAnsi="Arial" w:cs="Arial"/>
          <w:b/>
          <w:color w:val="000000" w:themeColor="text1"/>
          <w:szCs w:val="24"/>
          <w:lang w:val="en-GB"/>
        </w:rPr>
        <w:t>hether sex reassignment surgery carried out in a country or territory outside</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Hong Kong should be recognised in Hong Kong for the purposes of gender</w:t>
      </w:r>
      <w:r w:rsidR="004B1746"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recogn</w:t>
      </w:r>
      <w:r w:rsidR="00396423" w:rsidRPr="0028108F">
        <w:rPr>
          <w:rFonts w:ascii="Arial" w:hAnsi="Arial" w:cs="Arial"/>
          <w:b/>
          <w:color w:val="000000" w:themeColor="text1"/>
          <w:szCs w:val="24"/>
          <w:lang w:val="en-GB"/>
        </w:rPr>
        <w:t>ition, and why</w:t>
      </w:r>
      <w:r w:rsidR="00D433B0" w:rsidRPr="0028108F">
        <w:rPr>
          <w:rFonts w:ascii="Arial" w:hAnsi="Arial" w:cs="Arial"/>
          <w:b/>
          <w:color w:val="000000" w:themeColor="text1"/>
          <w:szCs w:val="24"/>
          <w:lang w:val="en-GB"/>
        </w:rPr>
        <w:t>;</w:t>
      </w:r>
      <w:r w:rsidR="00181CF2">
        <w:rPr>
          <w:rFonts w:ascii="Arial" w:hAnsi="Arial" w:cs="Arial"/>
          <w:b/>
          <w:color w:val="000000" w:themeColor="text1"/>
          <w:szCs w:val="24"/>
          <w:lang w:val="en-GB"/>
        </w:rPr>
        <w:t xml:space="preserve"> and</w:t>
      </w:r>
    </w:p>
    <w:p w:rsidR="0099005B" w:rsidRPr="00C57CE1" w:rsidRDefault="0099005B" w:rsidP="0099005B">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F25D5A" w:rsidRPr="0028108F" w:rsidRDefault="00E7508D" w:rsidP="00E7508D">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99005B" w:rsidRPr="00181CF2">
        <w:rPr>
          <w:rFonts w:ascii="Arial" w:hAnsi="Arial" w:cs="Arial"/>
          <w:b/>
          <w:color w:val="000000" w:themeColor="text1"/>
          <w:szCs w:val="24"/>
          <w:lang w:val="en-GB"/>
        </w:rPr>
        <w:t xml:space="preserve">(f) </w:t>
      </w:r>
      <w:r w:rsidR="0099005B" w:rsidRPr="00181CF2">
        <w:rPr>
          <w:rFonts w:ascii="Arial" w:hAnsi="Arial" w:cs="Arial"/>
          <w:b/>
          <w:color w:val="000000" w:themeColor="text1"/>
          <w:szCs w:val="24"/>
          <w:lang w:val="en-GB"/>
        </w:rPr>
        <w:tab/>
      </w:r>
      <w:r w:rsidR="00D433B0" w:rsidRPr="0028108F">
        <w:rPr>
          <w:rFonts w:ascii="Arial" w:hAnsi="Arial" w:cs="Arial"/>
          <w:b/>
          <w:color w:val="000000" w:themeColor="text1"/>
          <w:szCs w:val="24"/>
          <w:lang w:val="en-GB"/>
        </w:rPr>
        <w:t>i</w:t>
      </w:r>
      <w:r w:rsidR="0099005B" w:rsidRPr="0028108F">
        <w:rPr>
          <w:rFonts w:ascii="Arial" w:hAnsi="Arial" w:cs="Arial"/>
          <w:b/>
          <w:color w:val="000000" w:themeColor="text1"/>
          <w:szCs w:val="24"/>
          <w:lang w:val="en-GB"/>
        </w:rPr>
        <w:t>f the answer to sub-paragraph (e) is “yes”, what</w:t>
      </w:r>
      <w:r w:rsidR="00FB625B" w:rsidRPr="0028108F">
        <w:rPr>
          <w:rFonts w:ascii="Arial" w:hAnsi="Arial" w:cs="Arial"/>
          <w:b/>
          <w:color w:val="000000" w:themeColor="text1"/>
          <w:szCs w:val="24"/>
          <w:lang w:val="en-GB"/>
        </w:rPr>
        <w:t xml:space="preserve"> </w:t>
      </w:r>
      <w:r w:rsidR="0099005B" w:rsidRPr="0028108F">
        <w:rPr>
          <w:rFonts w:ascii="Arial" w:hAnsi="Arial" w:cs="Arial"/>
          <w:b/>
          <w:color w:val="000000" w:themeColor="text1"/>
          <w:szCs w:val="24"/>
          <w:lang w:val="en-GB"/>
        </w:rPr>
        <w:t>kind of evidence should be provided by the</w:t>
      </w:r>
      <w:r w:rsidR="00FB625B" w:rsidRPr="0028108F">
        <w:rPr>
          <w:rFonts w:ascii="Arial" w:hAnsi="Arial" w:cs="Arial"/>
          <w:b/>
          <w:color w:val="000000" w:themeColor="text1"/>
          <w:szCs w:val="24"/>
          <w:lang w:val="en-GB"/>
        </w:rPr>
        <w:t xml:space="preserve"> </w:t>
      </w:r>
      <w:r w:rsidR="00396423" w:rsidRPr="0028108F">
        <w:rPr>
          <w:rFonts w:ascii="Arial" w:hAnsi="Arial" w:cs="Arial"/>
          <w:b/>
          <w:color w:val="000000" w:themeColor="text1"/>
          <w:szCs w:val="24"/>
          <w:lang w:val="en-GB"/>
        </w:rPr>
        <w:t>applicant.</w:t>
      </w:r>
    </w:p>
    <w:p w:rsidR="00040EFE" w:rsidRPr="0028108F" w:rsidRDefault="00040EFE" w:rsidP="0099005B">
      <w:pPr>
        <w:rPr>
          <w:rFonts w:ascii="Arial" w:hAnsi="Arial" w:cs="Arial"/>
          <w:color w:val="000000" w:themeColor="text1"/>
          <w:szCs w:val="24"/>
        </w:rPr>
      </w:pPr>
    </w:p>
    <w:p w:rsidR="00F25D5A" w:rsidRPr="0028108F" w:rsidRDefault="00F25D5A" w:rsidP="0028108F">
      <w:pPr>
        <w:pStyle w:val="ListParagraph"/>
        <w:numPr>
          <w:ilvl w:val="0"/>
          <w:numId w:val="96"/>
        </w:numPr>
        <w:tabs>
          <w:tab w:val="left" w:pos="1418"/>
          <w:tab w:val="left" w:pos="2552"/>
        </w:tabs>
        <w:autoSpaceDE w:val="0"/>
        <w:autoSpaceDN w:val="0"/>
        <w:adjustRightInd w:val="0"/>
        <w:snapToGrid w:val="0"/>
        <w:ind w:leftChars="0" w:left="0" w:firstLine="0"/>
        <w:jc w:val="both"/>
        <w:rPr>
          <w:rFonts w:ascii="Arial" w:hAnsi="Arial" w:cs="Arial"/>
          <w:i/>
          <w:szCs w:val="24"/>
          <w:lang w:val="en-GB"/>
        </w:rPr>
      </w:pPr>
      <w:r w:rsidRPr="0028108F">
        <w:rPr>
          <w:rFonts w:ascii="Arial" w:hAnsi="Arial" w:cs="Arial"/>
          <w:szCs w:val="24"/>
          <w:lang w:val="en-GB"/>
        </w:rPr>
        <w:t>Separately, w</w:t>
      </w:r>
      <w:r w:rsidRPr="00181CF2">
        <w:rPr>
          <w:rFonts w:ascii="Arial" w:hAnsi="Arial" w:cs="Arial"/>
          <w:szCs w:val="24"/>
          <w:lang w:val="en-GB"/>
        </w:rPr>
        <w:t xml:space="preserve">e also </w:t>
      </w:r>
      <w:r w:rsidR="005E6528">
        <w:rPr>
          <w:rFonts w:ascii="Arial" w:hAnsi="Arial" w:cs="Arial"/>
          <w:szCs w:val="24"/>
          <w:lang w:val="en-GB"/>
        </w:rPr>
        <w:t>invite</w:t>
      </w:r>
      <w:r w:rsidRPr="00181CF2">
        <w:rPr>
          <w:rFonts w:ascii="Arial" w:hAnsi="Arial" w:cs="Arial"/>
          <w:szCs w:val="24"/>
          <w:lang w:val="en-GB"/>
        </w:rPr>
        <w:t xml:space="preserve"> views from th</w:t>
      </w:r>
      <w:r w:rsidRPr="00C57CE1">
        <w:rPr>
          <w:rFonts w:ascii="Arial" w:hAnsi="Arial" w:cs="Arial"/>
          <w:szCs w:val="24"/>
          <w:lang w:val="en-GB"/>
        </w:rPr>
        <w:t>e public on further medical requirements or evidence for gender recognition.</w:t>
      </w:r>
    </w:p>
    <w:p w:rsidR="00E773F6" w:rsidRPr="0028108F" w:rsidRDefault="00E773F6" w:rsidP="00E773F6">
      <w:pPr>
        <w:adjustRightInd w:val="0"/>
        <w:snapToGrid w:val="0"/>
        <w:jc w:val="both"/>
        <w:rPr>
          <w:rFonts w:ascii="Arial" w:hAnsi="Arial" w:cs="Arial"/>
          <w:szCs w:val="24"/>
          <w:lang w:val="en-GB"/>
        </w:rPr>
      </w:pPr>
    </w:p>
    <w:p w:rsidR="00F25D5A" w:rsidRPr="0028108F" w:rsidRDefault="00F25D5A" w:rsidP="00F25D5A">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BD3882"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BD3882" w:rsidRPr="0028108F">
        <w:rPr>
          <w:rFonts w:ascii="Arial" w:hAnsi="Arial" w:cs="Arial"/>
          <w:b/>
          <w:color w:val="000000" w:themeColor="text1"/>
          <w:szCs w:val="24"/>
          <w:u w:val="single"/>
          <w:lang w:val="en-GB"/>
        </w:rPr>
        <w:t xml:space="preserve"> </w:t>
      </w:r>
      <w:r w:rsidR="00BD3882" w:rsidRPr="008813DE">
        <w:rPr>
          <w:rFonts w:ascii="Arial" w:hAnsi="Arial" w:cs="Arial"/>
          <w:b/>
          <w:color w:val="000000" w:themeColor="text1"/>
          <w:szCs w:val="24"/>
          <w:u w:val="single"/>
          <w:lang w:val="en-GB"/>
        </w:rPr>
        <w:t>6</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D433B0" w:rsidRPr="0028108F">
        <w:rPr>
          <w:rFonts w:ascii="Arial" w:hAnsi="Arial" w:cs="Arial"/>
          <w:b/>
          <w:color w:val="000000" w:themeColor="text1"/>
          <w:szCs w:val="24"/>
          <w:lang w:val="en-GB"/>
        </w:rPr>
        <w:t xml:space="preserve"> the following matters.</w:t>
      </w:r>
    </w:p>
    <w:p w:rsidR="00F25D5A" w:rsidRPr="0028108F" w:rsidRDefault="00F25D5A" w:rsidP="0028108F">
      <w:pPr>
        <w:pBdr>
          <w:top w:val="single" w:sz="4" w:space="8" w:color="auto"/>
          <w:left w:val="single" w:sz="4" w:space="8" w:color="auto"/>
          <w:bottom w:val="single" w:sz="4" w:space="8" w:color="auto"/>
          <w:right w:val="single" w:sz="4" w:space="8" w:color="auto"/>
        </w:pBdr>
        <w:tabs>
          <w:tab w:val="left" w:pos="3237"/>
        </w:tabs>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 xml:space="preserve"> </w:t>
      </w:r>
      <w:r w:rsidR="00372E26" w:rsidRPr="0028108F">
        <w:rPr>
          <w:rFonts w:ascii="Arial" w:hAnsi="Arial" w:cs="Arial"/>
          <w:b/>
          <w:color w:val="000000" w:themeColor="text1"/>
          <w:szCs w:val="24"/>
          <w:lang w:val="en-GB"/>
        </w:rPr>
        <w:tab/>
      </w:r>
    </w:p>
    <w:p w:rsidR="00F25D5A" w:rsidRPr="0028108F" w:rsidRDefault="00F25D5A" w:rsidP="00E7508D">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D433B0"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 whether there should be any other </w:t>
      </w:r>
      <w:r w:rsidR="00181CF2">
        <w:rPr>
          <w:rFonts w:ascii="Arial" w:hAnsi="Arial" w:cs="Arial"/>
          <w:b/>
          <w:color w:val="000000" w:themeColor="text1"/>
          <w:szCs w:val="24"/>
          <w:lang w:val="en-GB"/>
        </w:rPr>
        <w:t>m</w:t>
      </w:r>
      <w:r w:rsidRPr="0028108F">
        <w:rPr>
          <w:rFonts w:ascii="Arial" w:hAnsi="Arial" w:cs="Arial"/>
          <w:b/>
          <w:color w:val="000000" w:themeColor="text1"/>
          <w:szCs w:val="24"/>
          <w:lang w:val="en-GB"/>
        </w:rPr>
        <w:t>edical requirement or further evidence for gender recognition, and why.</w:t>
      </w:r>
    </w:p>
    <w:p w:rsidR="00F25D5A" w:rsidRPr="0028108F" w:rsidRDefault="00F25D5A" w:rsidP="00F25D5A">
      <w:pPr>
        <w:pBdr>
          <w:top w:val="single" w:sz="4" w:space="8" w:color="auto"/>
          <w:left w:val="single" w:sz="4" w:space="8" w:color="auto"/>
          <w:bottom w:val="single" w:sz="4" w:space="8" w:color="auto"/>
          <w:right w:val="single" w:sz="4" w:space="8" w:color="auto"/>
        </w:pBdr>
        <w:snapToGrid w:val="0"/>
        <w:ind w:left="720" w:right="720" w:firstLineChars="300" w:firstLine="721"/>
        <w:jc w:val="both"/>
        <w:rPr>
          <w:rFonts w:ascii="Arial" w:hAnsi="Arial" w:cs="Arial"/>
          <w:b/>
          <w:color w:val="000000" w:themeColor="text1"/>
          <w:szCs w:val="24"/>
          <w:lang w:val="en-GB"/>
        </w:rPr>
      </w:pPr>
    </w:p>
    <w:p w:rsidR="00F25D5A" w:rsidRPr="00C57CE1" w:rsidRDefault="00F25D5A" w:rsidP="008813DE">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A45228"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w:t>
      </w:r>
      <w:r w:rsidR="00396423" w:rsidRPr="0028108F">
        <w:rPr>
          <w:rFonts w:ascii="Arial" w:hAnsi="Arial" w:cs="Arial"/>
          <w:b/>
          <w:color w:val="000000" w:themeColor="text1"/>
          <w:szCs w:val="24"/>
          <w:lang w:val="en-GB"/>
        </w:rPr>
        <w:t>1</w:t>
      </w:r>
      <w:r w:rsidRPr="00181CF2">
        <w:rPr>
          <w:rFonts w:ascii="Arial" w:hAnsi="Arial" w:cs="Arial"/>
          <w:b/>
          <w:color w:val="000000" w:themeColor="text1"/>
          <w:szCs w:val="24"/>
          <w:lang w:val="en-GB"/>
        </w:rPr>
        <w:t>) is “yes”, what kind of further evidence in this regard should be required.</w:t>
      </w:r>
    </w:p>
    <w:p w:rsidR="00064BD8" w:rsidRPr="0028108F" w:rsidRDefault="00064BD8">
      <w:pPr>
        <w:widowControl/>
        <w:rPr>
          <w:rFonts w:ascii="Arial" w:hAnsi="Arial" w:cs="Arial"/>
          <w:b/>
          <w:sz w:val="32"/>
          <w:szCs w:val="32"/>
          <w:lang w:val="en-GB"/>
        </w:rPr>
      </w:pPr>
      <w:r w:rsidRPr="0028108F">
        <w:rPr>
          <w:rFonts w:ascii="Arial" w:hAnsi="Arial" w:cs="Arial"/>
          <w:b/>
          <w:sz w:val="32"/>
          <w:szCs w:val="32"/>
          <w:lang w:val="en-GB"/>
        </w:rPr>
        <w:br w:type="page"/>
      </w:r>
    </w:p>
    <w:p w:rsidR="00E773F6" w:rsidRPr="0028108F" w:rsidRDefault="00E773F6" w:rsidP="00E773F6">
      <w:pPr>
        <w:adjustRightInd w:val="0"/>
        <w:snapToGrid w:val="0"/>
        <w:jc w:val="both"/>
        <w:rPr>
          <w:rFonts w:ascii="Arial" w:hAnsi="Arial" w:cs="Arial"/>
          <w:b/>
          <w:sz w:val="32"/>
          <w:szCs w:val="32"/>
          <w:lang w:val="en-GB"/>
        </w:rPr>
      </w:pPr>
      <w:r w:rsidRPr="0028108F">
        <w:rPr>
          <w:rFonts w:ascii="Arial" w:hAnsi="Arial" w:cs="Arial"/>
          <w:b/>
          <w:sz w:val="32"/>
          <w:szCs w:val="32"/>
          <w:lang w:val="en-GB"/>
        </w:rPr>
        <w:t>CHAPTER 7</w:t>
      </w:r>
    </w:p>
    <w:p w:rsidR="00E773F6" w:rsidRPr="0028108F" w:rsidRDefault="00E773F6" w:rsidP="00E773F6">
      <w:pPr>
        <w:adjustRightInd w:val="0"/>
        <w:snapToGrid w:val="0"/>
        <w:jc w:val="both"/>
        <w:rPr>
          <w:rFonts w:ascii="Arial" w:hAnsi="Arial" w:cs="Arial"/>
          <w:b/>
          <w:sz w:val="32"/>
          <w:szCs w:val="32"/>
          <w:lang w:val="en-GB"/>
        </w:rPr>
      </w:pPr>
    </w:p>
    <w:p w:rsidR="00E773F6" w:rsidRPr="0028108F" w:rsidRDefault="00E773F6" w:rsidP="00E773F6">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non-medical REQUIREMENTS</w:t>
      </w:r>
    </w:p>
    <w:p w:rsidR="00E773F6" w:rsidRPr="0028108F" w:rsidRDefault="00E773F6" w:rsidP="00E773F6">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FOR GENDER RECOGNITION</w:t>
      </w:r>
    </w:p>
    <w:p w:rsidR="00E773F6" w:rsidRPr="0028108F" w:rsidRDefault="00E773F6" w:rsidP="00E773F6">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E773F6" w:rsidRPr="0028108F" w:rsidRDefault="00E773F6" w:rsidP="00E773F6">
      <w:pPr>
        <w:adjustRightInd w:val="0"/>
        <w:snapToGrid w:val="0"/>
        <w:jc w:val="both"/>
        <w:rPr>
          <w:rFonts w:ascii="Arial" w:hAnsi="Arial" w:cs="Arial"/>
          <w:color w:val="000000" w:themeColor="text1"/>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eastAsiaTheme="minorEastAsia" w:hAnsi="Arial" w:cs="Arial"/>
          <w:kern w:val="0"/>
          <w:szCs w:val="24"/>
          <w:lang w:val="en-GB"/>
        </w:rPr>
        <w:t xml:space="preserve">This </w:t>
      </w:r>
      <w:r w:rsidR="00B06611" w:rsidRPr="0028108F">
        <w:rPr>
          <w:rFonts w:ascii="Arial" w:eastAsiaTheme="minorEastAsia" w:hAnsi="Arial" w:cs="Arial"/>
          <w:kern w:val="0"/>
          <w:szCs w:val="24"/>
          <w:lang w:val="en-GB"/>
        </w:rPr>
        <w:t>c</w:t>
      </w:r>
      <w:r w:rsidR="00A42A11" w:rsidRPr="0028108F">
        <w:rPr>
          <w:rFonts w:ascii="Arial" w:eastAsiaTheme="minorEastAsia" w:hAnsi="Arial" w:cs="Arial"/>
          <w:kern w:val="0"/>
          <w:szCs w:val="24"/>
          <w:lang w:val="en-GB"/>
        </w:rPr>
        <w:t>hapter</w:t>
      </w:r>
      <w:r w:rsidRPr="0028108F">
        <w:rPr>
          <w:rFonts w:ascii="Arial" w:eastAsiaTheme="minorEastAsia" w:hAnsi="Arial" w:cs="Arial"/>
          <w:kern w:val="0"/>
          <w:szCs w:val="24"/>
          <w:lang w:val="en-GB"/>
        </w:rPr>
        <w:t xml:space="preserve"> examines the considerations which may be relevant to non-medical </w:t>
      </w:r>
      <w:r w:rsidRPr="0028108F">
        <w:rPr>
          <w:rFonts w:ascii="Arial" w:hAnsi="Arial" w:cs="Arial"/>
          <w:color w:val="000000" w:themeColor="text1"/>
          <w:szCs w:val="24"/>
          <w:lang w:val="en-GB"/>
        </w:rPr>
        <w:t>requirements</w:t>
      </w:r>
      <w:r w:rsidRPr="0028108F">
        <w:rPr>
          <w:rFonts w:ascii="Arial" w:eastAsiaTheme="minorEastAsia" w:hAnsi="Arial" w:cs="Arial"/>
          <w:kern w:val="0"/>
          <w:szCs w:val="24"/>
          <w:lang w:val="en-GB"/>
        </w:rPr>
        <w:t xml:space="preserve"> for gender recognition, including requirements of: nationality, citizenship, residency or domicile; minimum age; marital status; and parental status.  </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a matter of </w:t>
      </w:r>
      <w:r w:rsidR="001544FD" w:rsidRPr="0028108F">
        <w:rPr>
          <w:rFonts w:ascii="Arial" w:hAnsi="Arial" w:cs="Arial"/>
          <w:color w:val="000000" w:themeColor="text1"/>
          <w:szCs w:val="24"/>
          <w:lang w:val="en-GB"/>
        </w:rPr>
        <w:t>clarification</w:t>
      </w:r>
      <w:r w:rsidRPr="0028108F">
        <w:rPr>
          <w:rFonts w:ascii="Arial" w:hAnsi="Arial" w:cs="Arial"/>
          <w:color w:val="000000" w:themeColor="text1"/>
          <w:szCs w:val="24"/>
          <w:lang w:val="en-GB"/>
        </w:rPr>
        <w:t xml:space="preserve">, the possible arguments discussed in this </w:t>
      </w:r>
      <w:r w:rsidR="00B06611" w:rsidRPr="0028108F">
        <w:rPr>
          <w:rFonts w:ascii="Arial" w:hAnsi="Arial" w:cs="Arial"/>
          <w:color w:val="000000" w:themeColor="text1"/>
          <w:szCs w:val="24"/>
          <w:lang w:val="en-GB"/>
        </w:rPr>
        <w:t>c</w:t>
      </w:r>
      <w:r w:rsidRPr="0028108F">
        <w:rPr>
          <w:rFonts w:ascii="Arial" w:hAnsi="Arial" w:cs="Arial"/>
          <w:color w:val="000000" w:themeColor="text1"/>
          <w:szCs w:val="24"/>
          <w:lang w:val="en-GB"/>
        </w:rPr>
        <w:t xml:space="preserve">hapter are solely for the purposes of consultation and do not necessarily represent the IWG’s stance on any of the issues.  </w:t>
      </w:r>
      <w:r w:rsidR="00A67419" w:rsidRPr="0028108F">
        <w:rPr>
          <w:rFonts w:ascii="Arial" w:hAnsi="Arial" w:cs="Arial"/>
          <w:color w:val="000000" w:themeColor="text1"/>
          <w:szCs w:val="24"/>
          <w:lang w:val="en-GB"/>
        </w:rPr>
        <w:t xml:space="preserve">No conclusion as to the IWG’s stance should therefore be drawn from the wording and mode of presentation of this chapter, nor from the citing or referring to the comments, observations or arguments made by individuals or organisations mentioned in this chapter.  </w:t>
      </w:r>
      <w:r w:rsidR="005E6528">
        <w:rPr>
          <w:rFonts w:ascii="Arial" w:hAnsi="Arial" w:cs="Arial" w:hint="eastAsia"/>
          <w:color w:val="000000" w:themeColor="text1"/>
          <w:szCs w:val="24"/>
          <w:lang w:val="en-GB"/>
        </w:rPr>
        <w:t xml:space="preserve">It should also be stressed that pending the result of the consultation, the IWG has not reached any conclusion on any of the issues.  </w:t>
      </w:r>
      <w:r w:rsidR="005E6528" w:rsidRPr="0028108F">
        <w:rPr>
          <w:rFonts w:ascii="Arial" w:hAnsi="Arial" w:cs="Arial"/>
          <w:color w:val="000000" w:themeColor="text1"/>
          <w:szCs w:val="24"/>
          <w:lang w:val="en-GB"/>
        </w:rPr>
        <w:t>Further, it should be borne in mind that the list of possible arguments discussed below is by no means exhaustive</w:t>
      </w:r>
      <w:r w:rsidR="005E6528">
        <w:rPr>
          <w:rFonts w:ascii="Arial" w:hAnsi="Arial" w:cs="Arial" w:hint="eastAsia"/>
          <w:color w:val="000000" w:themeColor="text1"/>
          <w:szCs w:val="24"/>
          <w:lang w:val="en-GB"/>
        </w:rPr>
        <w:t>, and that the IWG is prepared to consider such other arguments as may be appropriate.</w:t>
      </w:r>
      <w:r w:rsidR="005E6528" w:rsidRPr="0028108F">
        <w:rPr>
          <w:rFonts w:ascii="Arial" w:hAnsi="Arial" w:cs="Arial"/>
          <w:color w:val="000000" w:themeColor="text1"/>
          <w:szCs w:val="24"/>
          <w:lang w:val="en-GB"/>
        </w:rPr>
        <w:t xml:space="preserve"> </w:t>
      </w:r>
      <w:r w:rsidR="00A67419" w:rsidRPr="0028108F">
        <w:rPr>
          <w:rFonts w:ascii="Arial" w:hAnsi="Arial" w:cs="Arial"/>
          <w:color w:val="000000" w:themeColor="text1"/>
          <w:szCs w:val="24"/>
          <w:lang w:val="en-GB"/>
        </w:rPr>
        <w:t xml:space="preserve"> </w:t>
      </w:r>
    </w:p>
    <w:p w:rsidR="00E773F6" w:rsidRPr="0028108F" w:rsidRDefault="00E773F6" w:rsidP="00E773F6">
      <w:pPr>
        <w:adjustRightInd w:val="0"/>
        <w:snapToGrid w:val="0"/>
        <w:jc w:val="both"/>
        <w:rPr>
          <w:rFonts w:ascii="Arial" w:hAnsi="Arial" w:cs="Arial"/>
          <w:szCs w:val="24"/>
          <w:lang w:val="en-GB"/>
        </w:rPr>
      </w:pP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E773F6"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Requirements relat</w:t>
      </w:r>
      <w:r w:rsidR="00A36E8E" w:rsidRPr="0028108F">
        <w:rPr>
          <w:rFonts w:ascii="Arial" w:hAnsi="Arial" w:cs="Arial"/>
          <w:b/>
          <w:color w:val="000000" w:themeColor="text1"/>
          <w:sz w:val="28"/>
          <w:szCs w:val="28"/>
          <w:lang w:val="en-GB"/>
        </w:rPr>
        <w:t>ed</w:t>
      </w:r>
      <w:r w:rsidRPr="0028108F">
        <w:rPr>
          <w:rFonts w:ascii="Arial" w:hAnsi="Arial" w:cs="Arial"/>
          <w:b/>
          <w:color w:val="000000" w:themeColor="text1"/>
          <w:sz w:val="28"/>
          <w:szCs w:val="28"/>
          <w:lang w:val="en-GB"/>
        </w:rPr>
        <w:t xml:space="preserve"> to nationality, citizenship, residency or domicile </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b/>
          <w:color w:val="000000" w:themeColor="text1"/>
          <w:szCs w:val="24"/>
          <w:lang w:val="en-GB"/>
        </w:rPr>
      </w:pPr>
      <w:r w:rsidRPr="0028108F">
        <w:rPr>
          <w:rFonts w:ascii="Arial" w:hAnsi="Arial" w:cs="Arial"/>
          <w:szCs w:val="24"/>
          <w:lang w:val="en-GB"/>
        </w:rPr>
        <w:t>The gender recognition schemes in many, although not all, jurisdictions impose requirements on the applicants with regard to their legal position or civil status</w:t>
      </w:r>
      <w:r w:rsidR="00585F17" w:rsidRPr="0028108F">
        <w:rPr>
          <w:rFonts w:ascii="Arial" w:hAnsi="Arial" w:cs="Arial"/>
          <w:szCs w:val="24"/>
          <w:lang w:val="en-GB"/>
        </w:rPr>
        <w:t xml:space="preserve"> such as</w:t>
      </w:r>
      <w:r w:rsidRPr="0028108F">
        <w:rPr>
          <w:rFonts w:ascii="Arial" w:hAnsi="Arial" w:cs="Arial"/>
          <w:szCs w:val="24"/>
          <w:lang w:val="en-GB"/>
        </w:rPr>
        <w:t xml:space="preserve"> nationality, citizenship, residency, domicile, etc.  </w:t>
      </w:r>
      <w:r w:rsidR="00585F17" w:rsidRPr="0028108F">
        <w:rPr>
          <w:rFonts w:ascii="Arial" w:hAnsi="Arial" w:cs="Arial"/>
          <w:szCs w:val="24"/>
          <w:lang w:val="en-GB"/>
        </w:rPr>
        <w:t>S</w:t>
      </w:r>
      <w:r w:rsidRPr="0028108F">
        <w:rPr>
          <w:rFonts w:ascii="Arial" w:hAnsi="Arial" w:cs="Arial"/>
          <w:szCs w:val="24"/>
          <w:lang w:val="en-GB"/>
        </w:rPr>
        <w:t>uch requirements are</w:t>
      </w:r>
      <w:r w:rsidR="00585F17" w:rsidRPr="0028108F">
        <w:rPr>
          <w:rFonts w:ascii="Arial" w:hAnsi="Arial" w:cs="Arial"/>
          <w:szCs w:val="24"/>
          <w:lang w:val="en-GB"/>
        </w:rPr>
        <w:t>, however,</w:t>
      </w:r>
      <w:r w:rsidRPr="0028108F">
        <w:rPr>
          <w:rFonts w:ascii="Arial" w:hAnsi="Arial" w:cs="Arial"/>
          <w:szCs w:val="24"/>
          <w:lang w:val="en-GB"/>
        </w:rPr>
        <w:t xml:space="preserve"> not necessarily imposed, and a typical example is the UK GRA (examined in Chapter </w:t>
      </w:r>
      <w:r w:rsidR="00027169">
        <w:rPr>
          <w:rFonts w:ascii="Arial" w:hAnsi="Arial" w:cs="Arial" w:hint="eastAsia"/>
          <w:szCs w:val="24"/>
          <w:lang w:val="en-GB"/>
        </w:rPr>
        <w:t>3</w:t>
      </w:r>
      <w:r w:rsidRPr="0028108F">
        <w:rPr>
          <w:rFonts w:ascii="Arial" w:hAnsi="Arial" w:cs="Arial"/>
          <w:szCs w:val="24"/>
          <w:lang w:val="en-GB"/>
        </w:rPr>
        <w:t xml:space="preserve"> of this Consultation Paper) under which no requirements of residency or citizenship are stipulated.  This would indicate that any transgender person who lives in the </w:t>
      </w:r>
      <w:r w:rsidR="00D904A0" w:rsidRPr="0028108F">
        <w:rPr>
          <w:rFonts w:ascii="Arial" w:hAnsi="Arial" w:cs="Arial"/>
          <w:szCs w:val="24"/>
          <w:lang w:val="en-GB"/>
        </w:rPr>
        <w:t xml:space="preserve">UK </w:t>
      </w:r>
      <w:r w:rsidRPr="0028108F">
        <w:rPr>
          <w:rFonts w:ascii="Arial" w:hAnsi="Arial" w:cs="Arial"/>
          <w:szCs w:val="24"/>
          <w:lang w:val="en-GB"/>
        </w:rPr>
        <w:t xml:space="preserve">and who fulfils the prescribed prerequisites under the </w:t>
      </w:r>
      <w:r w:rsidR="00D904A0" w:rsidRPr="0028108F">
        <w:rPr>
          <w:rFonts w:ascii="Arial" w:hAnsi="Arial" w:cs="Arial"/>
          <w:szCs w:val="24"/>
          <w:lang w:val="en-GB"/>
        </w:rPr>
        <w:t xml:space="preserve">UK </w:t>
      </w:r>
      <w:r w:rsidRPr="0028108F">
        <w:rPr>
          <w:rFonts w:ascii="Arial" w:hAnsi="Arial" w:cs="Arial"/>
          <w:szCs w:val="24"/>
          <w:lang w:val="en-GB"/>
        </w:rPr>
        <w:t>GRA could become for all purposes recognised in the acquired gender (although a non-citizen will not receive a replacement birth certificate since he or she does not possess one in the UK registry).  In considering questions as to whether such types of requirements should be imposed under a potential gender recognition scheme for Hong Kong (eg, as to whether foreigners should also be entitled to apply, and which civil status should be chosen), a global review is first presented below, followed by discussion of considerations from the legal perspective, including relevant conflict of laws implications.</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b/>
          <w:i/>
          <w:szCs w:val="24"/>
          <w:lang w:val="en-GB"/>
        </w:rPr>
      </w:pPr>
      <w:r w:rsidRPr="0028108F">
        <w:rPr>
          <w:rFonts w:ascii="Arial" w:hAnsi="Arial" w:cs="Arial"/>
          <w:b/>
          <w:i/>
          <w:szCs w:val="24"/>
          <w:lang w:val="en-GB"/>
        </w:rPr>
        <w:t>Global review</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b/>
          <w:color w:val="000000" w:themeColor="text1"/>
          <w:szCs w:val="24"/>
          <w:lang w:val="en-GB"/>
        </w:rPr>
      </w:pPr>
    </w:p>
    <w:p w:rsidR="00E773F6" w:rsidRPr="000B4F6C"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Different </w:t>
      </w:r>
      <w:r w:rsidRPr="000B4F6C">
        <w:rPr>
          <w:rFonts w:ascii="Arial" w:hAnsi="Arial" w:cs="Arial"/>
          <w:szCs w:val="24"/>
          <w:lang w:val="en-GB"/>
        </w:rPr>
        <w:t xml:space="preserve">jurisdictions have different requirements </w:t>
      </w:r>
      <w:r w:rsidR="00B06611" w:rsidRPr="000B4F6C">
        <w:rPr>
          <w:rFonts w:ascii="Arial" w:hAnsi="Arial" w:cs="Arial"/>
          <w:szCs w:val="24"/>
          <w:lang w:val="en-GB"/>
        </w:rPr>
        <w:t xml:space="preserve">for </w:t>
      </w:r>
      <w:r w:rsidRPr="000B4F6C">
        <w:rPr>
          <w:rFonts w:ascii="Arial" w:hAnsi="Arial" w:cs="Arial"/>
          <w:szCs w:val="24"/>
          <w:lang w:val="en-GB"/>
        </w:rPr>
        <w:t>applicant</w:t>
      </w:r>
      <w:r w:rsidR="00B06611" w:rsidRPr="000B4F6C">
        <w:rPr>
          <w:rFonts w:ascii="Arial" w:hAnsi="Arial" w:cs="Arial"/>
          <w:szCs w:val="24"/>
          <w:lang w:val="en-GB"/>
        </w:rPr>
        <w:t>s</w:t>
      </w:r>
      <w:r w:rsidRPr="000B4F6C">
        <w:rPr>
          <w:rFonts w:ascii="Arial" w:hAnsi="Arial" w:cs="Arial"/>
          <w:szCs w:val="24"/>
          <w:lang w:val="en-GB"/>
        </w:rPr>
        <w:t xml:space="preserve"> for gender recognition </w:t>
      </w:r>
      <w:r w:rsidR="00B06611" w:rsidRPr="000B4F6C">
        <w:rPr>
          <w:rFonts w:ascii="Arial" w:hAnsi="Arial" w:cs="Arial"/>
          <w:szCs w:val="24"/>
          <w:lang w:val="en-GB"/>
        </w:rPr>
        <w:t>with</w:t>
      </w:r>
      <w:r w:rsidRPr="000B4F6C">
        <w:rPr>
          <w:rFonts w:ascii="Arial" w:hAnsi="Arial" w:cs="Arial"/>
          <w:szCs w:val="24"/>
          <w:lang w:val="en-GB"/>
        </w:rPr>
        <w:t xml:space="preserve"> regard to </w:t>
      </w:r>
      <w:r w:rsidR="00B06611" w:rsidRPr="000B4F6C">
        <w:rPr>
          <w:rFonts w:ascii="Arial" w:hAnsi="Arial" w:cs="Arial"/>
          <w:szCs w:val="24"/>
          <w:lang w:val="en-GB"/>
        </w:rPr>
        <w:t xml:space="preserve">their </w:t>
      </w:r>
      <w:r w:rsidRPr="000B4F6C">
        <w:rPr>
          <w:rFonts w:ascii="Arial" w:hAnsi="Arial" w:cs="Arial"/>
          <w:szCs w:val="24"/>
          <w:lang w:val="en-GB"/>
        </w:rPr>
        <w:t xml:space="preserve">nationality, citizenship, residency or domicile.  </w:t>
      </w:r>
      <w:r w:rsidRPr="008813DE">
        <w:rPr>
          <w:rFonts w:ascii="Arial" w:hAnsi="Arial" w:cs="Arial"/>
          <w:szCs w:val="24"/>
          <w:lang w:val="en-GB"/>
        </w:rPr>
        <w:t>For example, Qu</w:t>
      </w:r>
      <w:r w:rsidRPr="008813DE">
        <w:rPr>
          <w:rFonts w:ascii="Arial" w:hAnsi="Arial" w:cs="Arial"/>
          <w:lang w:val="en-GB"/>
        </w:rPr>
        <w:t xml:space="preserve">ébec </w:t>
      </w:r>
      <w:r w:rsidRPr="008813DE">
        <w:rPr>
          <w:rFonts w:ascii="Arial" w:hAnsi="Arial" w:cs="Arial"/>
          <w:szCs w:val="24"/>
          <w:lang w:val="en-GB"/>
        </w:rPr>
        <w:t xml:space="preserve">in Canada permits only a </w:t>
      </w:r>
      <w:r w:rsidR="00526528" w:rsidRPr="008813DE">
        <w:rPr>
          <w:rFonts w:ascii="Arial" w:hAnsi="Arial" w:cs="Arial"/>
          <w:szCs w:val="24"/>
          <w:lang w:val="en-GB"/>
        </w:rPr>
        <w:t>Canadian</w:t>
      </w:r>
      <w:r w:rsidRPr="008813DE">
        <w:rPr>
          <w:rFonts w:ascii="Arial" w:hAnsi="Arial" w:cs="Arial"/>
          <w:szCs w:val="24"/>
          <w:lang w:val="en-GB"/>
        </w:rPr>
        <w:t xml:space="preserve"> who has been domiciled in the province for at least one year to make an application for change of the designation of sex on the applicant’s act of birth.</w:t>
      </w:r>
      <w:r w:rsidRPr="008813DE">
        <w:rPr>
          <w:rStyle w:val="FootnoteReference"/>
          <w:rFonts w:ascii="Arial" w:hAnsi="Arial" w:cs="Arial"/>
          <w:szCs w:val="24"/>
          <w:lang w:val="en-GB"/>
        </w:rPr>
        <w:footnoteReference w:id="630"/>
      </w:r>
      <w:r w:rsidRPr="008813DE">
        <w:rPr>
          <w:rFonts w:ascii="Arial" w:hAnsi="Arial" w:cs="Arial"/>
          <w:szCs w:val="24"/>
          <w:lang w:val="en-GB"/>
        </w:rPr>
        <w:t xml:space="preserve">  Germany allows applications by German nationals and stateless persons who have their main residence in Germany</w:t>
      </w:r>
      <w:r w:rsidRPr="008813DE">
        <w:rPr>
          <w:rStyle w:val="FootnoteReference"/>
          <w:rFonts w:ascii="Arial" w:hAnsi="Arial" w:cs="Arial"/>
          <w:szCs w:val="24"/>
          <w:lang w:val="en-GB"/>
        </w:rPr>
        <w:footnoteReference w:id="631"/>
      </w:r>
      <w:r w:rsidRPr="008813DE">
        <w:rPr>
          <w:rFonts w:ascii="Arial" w:hAnsi="Arial" w:cs="Arial"/>
          <w:szCs w:val="24"/>
          <w:lang w:val="en-GB"/>
        </w:rPr>
        <w:t xml:space="preserve"> and persons with a right of asylum or refugees domiciled in Germany.  Taiwan,</w:t>
      </w:r>
      <w:r w:rsidRPr="008813DE">
        <w:rPr>
          <w:rStyle w:val="FootnoteReference"/>
          <w:rFonts w:ascii="Arial" w:hAnsi="Arial" w:cs="Arial"/>
          <w:szCs w:val="24"/>
          <w:lang w:val="en-GB"/>
        </w:rPr>
        <w:footnoteReference w:id="632"/>
      </w:r>
      <w:r w:rsidRPr="008813DE">
        <w:rPr>
          <w:rFonts w:ascii="Arial" w:hAnsi="Arial" w:cs="Arial"/>
          <w:szCs w:val="24"/>
          <w:lang w:val="en-GB"/>
        </w:rPr>
        <w:t xml:space="preserve"> Japan</w:t>
      </w:r>
      <w:r w:rsidRPr="008813DE">
        <w:rPr>
          <w:rStyle w:val="FootnoteReference"/>
          <w:rFonts w:ascii="Arial" w:hAnsi="Arial" w:cs="Arial"/>
          <w:szCs w:val="24"/>
          <w:lang w:val="en-GB"/>
        </w:rPr>
        <w:footnoteReference w:id="633"/>
      </w:r>
      <w:r w:rsidRPr="008813DE">
        <w:rPr>
          <w:rFonts w:ascii="Arial" w:hAnsi="Arial" w:cs="Arial"/>
          <w:szCs w:val="24"/>
          <w:lang w:val="en-GB"/>
        </w:rPr>
        <w:t xml:space="preserve"> and Slovenia</w:t>
      </w:r>
      <w:r w:rsidRPr="008813DE">
        <w:rPr>
          <w:rStyle w:val="FootnoteReference"/>
          <w:rFonts w:ascii="Arial" w:hAnsi="Arial" w:cs="Arial"/>
          <w:szCs w:val="24"/>
          <w:lang w:val="en-GB"/>
        </w:rPr>
        <w:footnoteReference w:id="634"/>
      </w:r>
      <w:r w:rsidRPr="008813DE">
        <w:rPr>
          <w:rFonts w:ascii="Arial" w:hAnsi="Arial" w:cs="Arial"/>
          <w:szCs w:val="24"/>
          <w:lang w:val="en-GB"/>
        </w:rPr>
        <w:t xml:space="preserve"> make citizenship a mandatory criterion for gender recognition.  Finland,</w:t>
      </w:r>
      <w:r w:rsidRPr="008813DE">
        <w:rPr>
          <w:rStyle w:val="FootnoteReference"/>
          <w:rFonts w:ascii="Arial" w:hAnsi="Arial" w:cs="Arial"/>
          <w:szCs w:val="24"/>
          <w:lang w:val="en-GB"/>
        </w:rPr>
        <w:footnoteReference w:id="635"/>
      </w:r>
      <w:r w:rsidRPr="008813DE">
        <w:rPr>
          <w:rFonts w:ascii="Arial" w:hAnsi="Arial" w:cs="Arial"/>
          <w:szCs w:val="24"/>
          <w:lang w:val="en-GB"/>
        </w:rPr>
        <w:t xml:space="preserve"> New South Wales (Australia)</w:t>
      </w:r>
      <w:r w:rsidRPr="008813DE">
        <w:rPr>
          <w:rStyle w:val="FootnoteReference"/>
          <w:rFonts w:ascii="Arial" w:hAnsi="Arial" w:cs="Arial"/>
          <w:szCs w:val="24"/>
          <w:lang w:val="en-GB"/>
        </w:rPr>
        <w:footnoteReference w:id="636"/>
      </w:r>
      <w:r w:rsidRPr="008813DE">
        <w:rPr>
          <w:rFonts w:ascii="Arial" w:hAnsi="Arial" w:cs="Arial"/>
          <w:szCs w:val="24"/>
          <w:lang w:val="en-GB"/>
        </w:rPr>
        <w:t xml:space="preserve"> and New Zealand require applicants for gender recognition to be local citizens or residents.</w:t>
      </w:r>
      <w:r w:rsidRPr="008813DE">
        <w:rPr>
          <w:rStyle w:val="FootnoteReference"/>
          <w:rFonts w:ascii="Arial" w:hAnsi="Arial" w:cs="Arial"/>
          <w:szCs w:val="24"/>
          <w:lang w:val="en-GB"/>
        </w:rPr>
        <w:footnoteReference w:id="637"/>
      </w:r>
      <w:r w:rsidRPr="008813DE">
        <w:rPr>
          <w:rFonts w:ascii="Arial" w:hAnsi="Arial" w:cs="Arial"/>
          <w:szCs w:val="24"/>
          <w:lang w:val="en-GB"/>
        </w:rPr>
        <w:t xml:space="preserve">  In Manitoba, Canadian citizens residing in the province for at least one year are eligible to apply.</w:t>
      </w:r>
      <w:r w:rsidRPr="008813DE">
        <w:rPr>
          <w:rStyle w:val="FootnoteReference"/>
          <w:rFonts w:ascii="Arial" w:hAnsi="Arial" w:cs="Arial"/>
          <w:szCs w:val="24"/>
          <w:lang w:val="en-GB"/>
        </w:rPr>
        <w:footnoteReference w:id="638"/>
      </w:r>
      <w:r w:rsidRPr="008813DE">
        <w:rPr>
          <w:rFonts w:ascii="Arial" w:hAnsi="Arial" w:cs="Arial"/>
          <w:szCs w:val="24"/>
          <w:lang w:val="en-GB"/>
        </w:rPr>
        <w:t xml:space="preserve">  Sweden</w:t>
      </w:r>
      <w:r w:rsidRPr="008813DE">
        <w:rPr>
          <w:rStyle w:val="FootnoteReference"/>
          <w:rFonts w:ascii="Arial" w:hAnsi="Arial" w:cs="Arial"/>
          <w:szCs w:val="24"/>
          <w:lang w:val="en-GB"/>
        </w:rPr>
        <w:footnoteReference w:id="639"/>
      </w:r>
      <w:r w:rsidRPr="008813DE">
        <w:rPr>
          <w:rFonts w:ascii="Arial" w:hAnsi="Arial" w:cs="Arial"/>
          <w:szCs w:val="24"/>
          <w:lang w:val="en-GB"/>
        </w:rPr>
        <w:t xml:space="preserve"> </w:t>
      </w:r>
      <w:r w:rsidR="00CD6285" w:rsidRPr="008813DE">
        <w:rPr>
          <w:rFonts w:ascii="Arial" w:hAnsi="Arial" w:cs="Arial"/>
          <w:szCs w:val="24"/>
          <w:lang w:val="en-GB"/>
        </w:rPr>
        <w:t xml:space="preserve">and </w:t>
      </w:r>
      <w:r w:rsidRPr="008813DE">
        <w:rPr>
          <w:rFonts w:ascii="Arial" w:hAnsi="Arial" w:cs="Arial"/>
          <w:szCs w:val="24"/>
          <w:lang w:val="en-GB"/>
        </w:rPr>
        <w:t>Switzerland</w:t>
      </w:r>
      <w:r w:rsidRPr="008813DE">
        <w:rPr>
          <w:rStyle w:val="FootnoteReference"/>
          <w:rFonts w:ascii="Arial" w:hAnsi="Arial" w:cs="Arial"/>
          <w:szCs w:val="24"/>
          <w:lang w:val="en-GB"/>
        </w:rPr>
        <w:footnoteReference w:id="640"/>
      </w:r>
      <w:r w:rsidRPr="008813DE">
        <w:rPr>
          <w:rFonts w:ascii="Arial" w:hAnsi="Arial" w:cs="Arial"/>
          <w:szCs w:val="24"/>
          <w:lang w:val="en-GB"/>
        </w:rPr>
        <w:t xml:space="preserve"> require applicants to be residents.  Some jurisdictions, such as Poland,</w:t>
      </w:r>
      <w:r w:rsidRPr="008813DE">
        <w:rPr>
          <w:rStyle w:val="FootnoteReference"/>
          <w:rFonts w:ascii="Arial" w:hAnsi="Arial" w:cs="Arial"/>
          <w:szCs w:val="24"/>
          <w:lang w:val="en-GB"/>
        </w:rPr>
        <w:footnoteReference w:id="641"/>
      </w:r>
      <w:r w:rsidRPr="008813DE">
        <w:rPr>
          <w:rFonts w:ascii="Arial" w:hAnsi="Arial" w:cs="Arial"/>
          <w:szCs w:val="24"/>
          <w:lang w:val="en-GB"/>
        </w:rPr>
        <w:t xml:space="preserve"> Portugal</w:t>
      </w:r>
      <w:r w:rsidRPr="008813DE">
        <w:rPr>
          <w:rStyle w:val="FootnoteReference"/>
          <w:rFonts w:ascii="Arial" w:hAnsi="Arial" w:cs="Arial"/>
          <w:szCs w:val="24"/>
          <w:lang w:val="en-GB"/>
        </w:rPr>
        <w:footnoteReference w:id="642"/>
      </w:r>
      <w:r w:rsidRPr="008813DE">
        <w:rPr>
          <w:rFonts w:ascii="Arial" w:hAnsi="Arial" w:cs="Arial"/>
          <w:szCs w:val="24"/>
          <w:lang w:val="en-GB"/>
        </w:rPr>
        <w:t xml:space="preserve"> and Spain,</w:t>
      </w:r>
      <w:r w:rsidRPr="008813DE">
        <w:rPr>
          <w:rStyle w:val="FootnoteReference"/>
          <w:rFonts w:ascii="Arial" w:hAnsi="Arial" w:cs="Arial"/>
          <w:szCs w:val="24"/>
          <w:lang w:val="en-GB"/>
        </w:rPr>
        <w:footnoteReference w:id="643"/>
      </w:r>
      <w:r w:rsidRPr="008813DE">
        <w:rPr>
          <w:rFonts w:ascii="Arial" w:hAnsi="Arial" w:cs="Arial"/>
          <w:szCs w:val="24"/>
          <w:lang w:val="en-GB"/>
        </w:rPr>
        <w:t xml:space="preserve"> make nationality a mandatory requirement for applications for gender recognition.</w:t>
      </w:r>
    </w:p>
    <w:p w:rsidR="00E773F6" w:rsidRPr="00C57CE1" w:rsidRDefault="00E773F6" w:rsidP="00E773F6">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For those jurisdictions where gender recognition effects a gender change on the applicants’ birth certificates, being born in that jurisdiction or having their birth registered there is </w:t>
      </w:r>
      <w:r w:rsidR="00B06611" w:rsidRPr="0028108F">
        <w:rPr>
          <w:rFonts w:ascii="Arial" w:hAnsi="Arial" w:cs="Arial"/>
          <w:szCs w:val="24"/>
          <w:lang w:val="en-GB"/>
        </w:rPr>
        <w:t xml:space="preserve">an </w:t>
      </w:r>
      <w:r w:rsidRPr="0028108F">
        <w:rPr>
          <w:rFonts w:ascii="Arial" w:hAnsi="Arial" w:cs="Arial"/>
          <w:szCs w:val="24"/>
          <w:lang w:val="en-GB"/>
        </w:rPr>
        <w:t>indispensabl</w:t>
      </w:r>
      <w:r w:rsidR="00B06611" w:rsidRPr="0028108F">
        <w:rPr>
          <w:rFonts w:ascii="Arial" w:hAnsi="Arial" w:cs="Arial"/>
          <w:szCs w:val="24"/>
          <w:lang w:val="en-GB"/>
        </w:rPr>
        <w:t>e</w:t>
      </w:r>
      <w:r w:rsidRPr="0028108F">
        <w:rPr>
          <w:rFonts w:ascii="Arial" w:hAnsi="Arial" w:cs="Arial"/>
          <w:szCs w:val="24"/>
          <w:lang w:val="en-GB"/>
        </w:rPr>
        <w:t xml:space="preserve"> prerequisite.</w:t>
      </w:r>
      <w:r w:rsidRPr="0028108F">
        <w:rPr>
          <w:rStyle w:val="FootnoteReference"/>
          <w:rFonts w:ascii="Arial" w:hAnsi="Arial" w:cs="Arial"/>
          <w:szCs w:val="24"/>
          <w:lang w:val="en-GB"/>
        </w:rPr>
        <w:footnoteReference w:id="644"/>
      </w:r>
      <w:r w:rsidRPr="0028108F">
        <w:rPr>
          <w:rFonts w:ascii="Arial" w:hAnsi="Arial" w:cs="Arial"/>
          <w:szCs w:val="24"/>
          <w:lang w:val="en-GB"/>
        </w:rPr>
        <w:t xml:space="preserve">  However, some countries expressly allow certain foreigners to apply for gender recognition under their domestic laws.  </w:t>
      </w:r>
      <w:r w:rsidR="00645259">
        <w:rPr>
          <w:rFonts w:ascii="Arial" w:hAnsi="Arial" w:cs="Arial" w:hint="eastAsia"/>
          <w:szCs w:val="24"/>
          <w:lang w:val="en-GB"/>
        </w:rPr>
        <w:t>F</w:t>
      </w:r>
      <w:r w:rsidRPr="0028108F">
        <w:rPr>
          <w:rFonts w:ascii="Arial" w:hAnsi="Arial" w:cs="Arial"/>
          <w:szCs w:val="24"/>
          <w:lang w:val="en-GB"/>
        </w:rPr>
        <w:t>or example, Germany allows applications by foreigners who have an indefinite right of residence in Germany, or foreigners who have a renewable residence permit and live lawfully in Germany on a permanent basis, whose home state has no equivalent law.</w:t>
      </w:r>
      <w:r w:rsidRPr="0028108F">
        <w:rPr>
          <w:rStyle w:val="FootnoteReference"/>
          <w:rFonts w:ascii="Arial" w:hAnsi="Arial" w:cs="Arial"/>
          <w:szCs w:val="24"/>
          <w:lang w:val="en-GB"/>
        </w:rPr>
        <w:footnoteReference w:id="645"/>
      </w:r>
      <w:r w:rsidRPr="0028108F">
        <w:rPr>
          <w:rFonts w:ascii="Arial" w:hAnsi="Arial" w:cs="Arial"/>
          <w:szCs w:val="24"/>
          <w:lang w:val="en-GB"/>
        </w:rPr>
        <w:t xml:space="preserve">  By a court decision in July 2006, foreigners who are present in Germany lawfully and not merely temporarily, where their home state does not contain comparable provisions, are entitled to make the application.</w:t>
      </w:r>
      <w:r w:rsidRPr="0028108F">
        <w:rPr>
          <w:rStyle w:val="FootnoteReference"/>
          <w:rFonts w:ascii="Arial" w:hAnsi="Arial" w:cs="Arial"/>
          <w:szCs w:val="24"/>
          <w:lang w:val="en-GB"/>
        </w:rPr>
        <w:footnoteReference w:id="646"/>
      </w: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kern w:val="0"/>
          <w:szCs w:val="24"/>
          <w:lang w:val="en-GB"/>
        </w:rPr>
        <w:t xml:space="preserve">Some jurisdictions do not stipulate in their gender recognition schemes </w:t>
      </w:r>
      <w:r w:rsidRPr="0028108F">
        <w:rPr>
          <w:rFonts w:ascii="Arial" w:hAnsi="Arial" w:cs="Arial"/>
          <w:i/>
          <w:kern w:val="0"/>
          <w:szCs w:val="24"/>
          <w:lang w:val="en-GB"/>
        </w:rPr>
        <w:t>any</w:t>
      </w:r>
      <w:r w:rsidRPr="00181CF2">
        <w:rPr>
          <w:rFonts w:ascii="Arial" w:hAnsi="Arial" w:cs="Arial"/>
          <w:kern w:val="0"/>
          <w:szCs w:val="24"/>
          <w:lang w:val="en-GB"/>
        </w:rPr>
        <w:t xml:space="preserve"> requirement as to the citizenship, residency, domicile or nationality of the person applying for legal recognition of gender change.  The UK is one amongst them, as examined earlier in Chapter </w:t>
      </w:r>
      <w:r w:rsidR="00027169">
        <w:rPr>
          <w:rFonts w:ascii="Arial" w:hAnsi="Arial" w:cs="Arial" w:hint="eastAsia"/>
          <w:kern w:val="0"/>
          <w:szCs w:val="24"/>
          <w:lang w:val="en-GB"/>
        </w:rPr>
        <w:t>3</w:t>
      </w:r>
      <w:r w:rsidRPr="0028108F">
        <w:rPr>
          <w:rFonts w:ascii="Arial" w:hAnsi="Arial" w:cs="Arial"/>
          <w:kern w:val="0"/>
          <w:szCs w:val="24"/>
          <w:lang w:val="en-GB"/>
        </w:rPr>
        <w:t xml:space="preserve">.  Italy is another, where the court in </w:t>
      </w:r>
      <w:r w:rsidR="00E91ED2" w:rsidRPr="0028108F">
        <w:rPr>
          <w:rFonts w:ascii="Arial" w:hAnsi="Arial" w:cs="Arial"/>
          <w:kern w:val="0"/>
          <w:szCs w:val="24"/>
          <w:lang w:val="en-GB"/>
        </w:rPr>
        <w:t>a</w:t>
      </w:r>
      <w:r w:rsidRPr="0028108F">
        <w:rPr>
          <w:rFonts w:ascii="Arial" w:hAnsi="Arial" w:cs="Arial"/>
          <w:kern w:val="0"/>
          <w:szCs w:val="24"/>
          <w:lang w:val="en-GB"/>
        </w:rPr>
        <w:t xml:space="preserve"> leading case</w:t>
      </w:r>
      <w:r w:rsidRPr="0028108F">
        <w:rPr>
          <w:rStyle w:val="FootnoteReference"/>
          <w:rFonts w:ascii="Arial" w:hAnsi="Arial" w:cs="Arial"/>
          <w:iCs/>
          <w:kern w:val="0"/>
          <w:szCs w:val="24"/>
          <w:lang w:val="en-GB"/>
        </w:rPr>
        <w:footnoteReference w:id="647"/>
      </w:r>
      <w:r w:rsidRPr="0028108F">
        <w:rPr>
          <w:rFonts w:ascii="Arial" w:hAnsi="Arial" w:cs="Arial"/>
          <w:i/>
          <w:iCs/>
          <w:kern w:val="0"/>
          <w:szCs w:val="24"/>
          <w:lang w:val="en-GB"/>
        </w:rPr>
        <w:t xml:space="preserve"> </w:t>
      </w:r>
      <w:r w:rsidRPr="0028108F">
        <w:rPr>
          <w:rFonts w:ascii="Arial" w:hAnsi="Arial" w:cs="Arial"/>
          <w:iCs/>
          <w:kern w:val="0"/>
          <w:szCs w:val="24"/>
          <w:lang w:val="en-GB"/>
        </w:rPr>
        <w:t xml:space="preserve">held that, </w:t>
      </w:r>
      <w:r w:rsidRPr="0028108F">
        <w:rPr>
          <w:rFonts w:ascii="Arial" w:hAnsi="Arial" w:cs="Arial"/>
          <w:kern w:val="0"/>
          <w:szCs w:val="24"/>
          <w:lang w:val="en-GB"/>
        </w:rPr>
        <w:t xml:space="preserve">as the </w:t>
      </w:r>
      <w:r w:rsidR="00E91ED2" w:rsidRPr="0028108F">
        <w:rPr>
          <w:rFonts w:ascii="Arial" w:hAnsi="Arial" w:cs="Arial"/>
          <w:kern w:val="0"/>
          <w:szCs w:val="24"/>
          <w:lang w:val="en-GB"/>
        </w:rPr>
        <w:t xml:space="preserve">related </w:t>
      </w:r>
      <w:r w:rsidRPr="0028108F">
        <w:rPr>
          <w:rFonts w:ascii="Arial" w:hAnsi="Arial" w:cs="Arial"/>
          <w:kern w:val="0"/>
          <w:szCs w:val="24"/>
          <w:lang w:val="en-GB"/>
        </w:rPr>
        <w:t>Italian Act</w:t>
      </w:r>
      <w:r w:rsidRPr="0028108F">
        <w:rPr>
          <w:rStyle w:val="FootnoteReference"/>
          <w:rFonts w:ascii="Arial" w:hAnsi="Arial" w:cs="Arial"/>
          <w:kern w:val="0"/>
          <w:szCs w:val="24"/>
          <w:lang w:val="en-GB"/>
        </w:rPr>
        <w:footnoteReference w:id="648"/>
      </w:r>
      <w:r w:rsidRPr="0028108F">
        <w:rPr>
          <w:rFonts w:ascii="Arial" w:hAnsi="Arial" w:cs="Arial"/>
          <w:kern w:val="0"/>
          <w:szCs w:val="24"/>
          <w:lang w:val="en-GB"/>
        </w:rPr>
        <w:t xml:space="preserve"> did not stipulate any requirement as to nationality, the general conflict of laws rules were applicable so that the law of the nationality of the applicant would principally determine the applicable rules.</w:t>
      </w:r>
      <w:r w:rsidRPr="0028108F">
        <w:rPr>
          <w:rStyle w:val="FootnoteReference"/>
          <w:rFonts w:ascii="Arial" w:hAnsi="Arial" w:cs="Arial"/>
          <w:kern w:val="0"/>
          <w:szCs w:val="24"/>
          <w:lang w:val="en-GB"/>
        </w:rPr>
        <w:footnoteReference w:id="649"/>
      </w:r>
      <w:r w:rsidRPr="0028108F">
        <w:rPr>
          <w:rFonts w:ascii="Arial" w:hAnsi="Arial" w:cs="Arial"/>
          <w:kern w:val="0"/>
          <w:szCs w:val="24"/>
          <w:lang w:val="en-GB"/>
        </w:rPr>
        <w:t xml:space="preserve">  However, the court went on to find that if the law of nationality did not allow a change of gender, then this constituted a breach of the Italian </w:t>
      </w:r>
      <w:r w:rsidRPr="0028108F">
        <w:rPr>
          <w:rFonts w:ascii="Arial" w:hAnsi="Arial" w:cs="Arial"/>
          <w:i/>
          <w:kern w:val="0"/>
          <w:szCs w:val="24"/>
          <w:lang w:val="en-GB"/>
        </w:rPr>
        <w:t>ordre public</w:t>
      </w:r>
      <w:r w:rsidRPr="0028108F">
        <w:rPr>
          <w:rFonts w:ascii="Arial" w:hAnsi="Arial" w:cs="Arial"/>
          <w:kern w:val="0"/>
          <w:szCs w:val="24"/>
          <w:lang w:val="en-GB"/>
        </w:rPr>
        <w:t>, and hence the Italian law was applicable.  This effectively</w:t>
      </w:r>
      <w:r w:rsidR="00633D77" w:rsidRPr="0028108F">
        <w:rPr>
          <w:rFonts w:ascii="Arial" w:hAnsi="Arial" w:cs="Arial"/>
          <w:kern w:val="0"/>
          <w:szCs w:val="24"/>
          <w:lang w:val="en-GB"/>
        </w:rPr>
        <w:t xml:space="preserve"> means that</w:t>
      </w:r>
      <w:r w:rsidRPr="0028108F">
        <w:rPr>
          <w:rFonts w:ascii="Arial" w:hAnsi="Arial" w:cs="Arial"/>
          <w:kern w:val="0"/>
          <w:szCs w:val="24"/>
          <w:lang w:val="en-GB"/>
        </w:rPr>
        <w:t xml:space="preserve"> people of foreign nationality could successfully apply for a legal change of gender in Italy.</w:t>
      </w:r>
      <w:r w:rsidRPr="0028108F">
        <w:rPr>
          <w:rStyle w:val="FootnoteReference"/>
          <w:rFonts w:ascii="Arial" w:hAnsi="Arial" w:cs="Arial"/>
          <w:kern w:val="0"/>
          <w:szCs w:val="24"/>
          <w:lang w:val="en-GB"/>
        </w:rPr>
        <w:footnoteReference w:id="650"/>
      </w:r>
      <w:r w:rsidRPr="0028108F">
        <w:rPr>
          <w:rFonts w:ascii="Arial" w:hAnsi="Arial" w:cs="Arial"/>
          <w:kern w:val="0"/>
          <w:szCs w:val="24"/>
          <w:lang w:val="en-GB"/>
        </w:rPr>
        <w:t xml:space="preserve">  A successful applicant, for example, was the one in the case of </w:t>
      </w:r>
      <w:r w:rsidRPr="0028108F">
        <w:rPr>
          <w:rFonts w:ascii="Arial" w:hAnsi="Arial" w:cs="Arial"/>
          <w:i/>
          <w:kern w:val="0"/>
          <w:szCs w:val="24"/>
          <w:lang w:val="en-GB"/>
        </w:rPr>
        <w:t>Guerrero-Castillo v Italy</w:t>
      </w:r>
      <w:r w:rsidR="00BE17C3" w:rsidRPr="0028108F">
        <w:rPr>
          <w:rFonts w:ascii="Arial" w:hAnsi="Arial" w:cs="Arial"/>
          <w:i/>
          <w:kern w:val="0"/>
          <w:szCs w:val="24"/>
          <w:lang w:val="en-GB"/>
        </w:rPr>
        <w:t xml:space="preserve"> </w:t>
      </w:r>
      <w:r w:rsidR="00BE17C3" w:rsidRPr="0028108F">
        <w:rPr>
          <w:rFonts w:ascii="Arial" w:hAnsi="Arial" w:cs="Arial"/>
          <w:kern w:val="0"/>
          <w:szCs w:val="24"/>
          <w:lang w:val="en-GB"/>
        </w:rPr>
        <w:t>(2007)</w:t>
      </w:r>
      <w:r w:rsidR="00245AC9" w:rsidRPr="00181CF2">
        <w:rPr>
          <w:rFonts w:ascii="Arial" w:hAnsi="Arial" w:cs="Arial"/>
          <w:kern w:val="0"/>
          <w:szCs w:val="24"/>
          <w:lang w:val="en-GB"/>
        </w:rPr>
        <w:t>,</w:t>
      </w:r>
      <w:r w:rsidRPr="00C57CE1">
        <w:rPr>
          <w:rStyle w:val="FootnoteReference"/>
          <w:rFonts w:ascii="Arial" w:hAnsi="Arial" w:cs="Arial"/>
          <w:i/>
          <w:kern w:val="0"/>
          <w:szCs w:val="24"/>
          <w:lang w:val="en-GB"/>
        </w:rPr>
        <w:footnoteReference w:id="651"/>
      </w:r>
      <w:r w:rsidRPr="0028108F">
        <w:rPr>
          <w:rFonts w:ascii="Arial" w:hAnsi="Arial" w:cs="Arial"/>
          <w:kern w:val="0"/>
          <w:szCs w:val="24"/>
          <w:lang w:val="en-GB"/>
        </w:rPr>
        <w:t xml:space="preserve"> a Peruvian residing in Italy, who underwent female to male gender reassignment in Italy and subsequently received an Italian identity card and a “</w:t>
      </w:r>
      <w:r w:rsidRPr="0028108F">
        <w:rPr>
          <w:rFonts w:ascii="Arial" w:hAnsi="Arial" w:cs="Arial"/>
          <w:i/>
          <w:kern w:val="0"/>
          <w:szCs w:val="24"/>
          <w:lang w:val="en-GB"/>
        </w:rPr>
        <w:t xml:space="preserve">code fiscal” </w:t>
      </w:r>
      <w:r w:rsidRPr="0028108F">
        <w:rPr>
          <w:rFonts w:ascii="Arial" w:hAnsi="Arial" w:cs="Arial"/>
          <w:kern w:val="0"/>
          <w:szCs w:val="24"/>
          <w:lang w:val="en-GB"/>
        </w:rPr>
        <w:t>(tax code card) in the male gender.</w:t>
      </w:r>
      <w:r w:rsidRPr="0028108F">
        <w:rPr>
          <w:rStyle w:val="FootnoteReference"/>
          <w:rFonts w:ascii="Arial" w:hAnsi="Arial" w:cs="Arial"/>
          <w:kern w:val="0"/>
          <w:szCs w:val="24"/>
          <w:lang w:val="en-GB"/>
        </w:rPr>
        <w:footnoteReference w:id="652"/>
      </w:r>
    </w:p>
    <w:p w:rsidR="00E773F6" w:rsidRPr="0028108F" w:rsidRDefault="00E773F6" w:rsidP="00E773F6">
      <w:pPr>
        <w:tabs>
          <w:tab w:val="left" w:pos="1418"/>
        </w:tabs>
        <w:adjustRightInd w:val="0"/>
        <w:snapToGrid w:val="0"/>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remains unclear whether an approach along the lines of the Italian court’s </w:t>
      </w:r>
      <w:r w:rsidRPr="0028108F">
        <w:rPr>
          <w:rFonts w:ascii="Arial" w:hAnsi="Arial" w:cs="Arial"/>
          <w:kern w:val="0"/>
          <w:szCs w:val="24"/>
          <w:lang w:val="en-GB"/>
        </w:rPr>
        <w:t>decision</w:t>
      </w:r>
      <w:r w:rsidRPr="0028108F">
        <w:rPr>
          <w:rFonts w:ascii="Arial" w:hAnsi="Arial" w:cs="Arial"/>
          <w:szCs w:val="24"/>
          <w:lang w:val="en-GB"/>
        </w:rPr>
        <w:t xml:space="preserve"> would be applied in other jurisdictions where no specification as to citizenship, residency, domicile or nationality is provided in their gender recognition schemes.  </w:t>
      </w:r>
    </w:p>
    <w:p w:rsidR="00E773F6" w:rsidRDefault="00E773F6" w:rsidP="00E773F6">
      <w:pPr>
        <w:adjustRightInd w:val="0"/>
        <w:snapToGrid w:val="0"/>
        <w:rPr>
          <w:rFonts w:ascii="Arial" w:hAnsi="Arial" w:cs="Arial"/>
          <w:szCs w:val="24"/>
          <w:lang w:val="en-GB"/>
        </w:rPr>
      </w:pPr>
    </w:p>
    <w:p w:rsidR="00117C9E" w:rsidRDefault="00117C9E" w:rsidP="00E773F6">
      <w:pPr>
        <w:adjustRightInd w:val="0"/>
        <w:snapToGrid w:val="0"/>
        <w:rPr>
          <w:rFonts w:ascii="Arial" w:hAnsi="Arial" w:cs="Arial"/>
          <w:szCs w:val="24"/>
          <w:lang w:val="en-GB"/>
        </w:rPr>
      </w:pPr>
    </w:p>
    <w:p w:rsidR="00117C9E" w:rsidRDefault="00117C9E" w:rsidP="00E773F6">
      <w:pPr>
        <w:adjustRightInd w:val="0"/>
        <w:snapToGrid w:val="0"/>
        <w:rPr>
          <w:rFonts w:ascii="Arial" w:hAnsi="Arial" w:cs="Arial"/>
          <w:szCs w:val="24"/>
          <w:lang w:val="en-GB"/>
        </w:rPr>
      </w:pPr>
    </w:p>
    <w:p w:rsidR="00117C9E" w:rsidRPr="0028108F" w:rsidRDefault="00117C9E" w:rsidP="00E773F6">
      <w:pPr>
        <w:adjustRightInd w:val="0"/>
        <w:snapToGrid w:val="0"/>
        <w:rPr>
          <w:rFonts w:ascii="Arial" w:hAnsi="Arial" w:cs="Arial"/>
          <w:szCs w:val="24"/>
          <w:lang w:val="en-GB"/>
        </w:rPr>
      </w:pPr>
    </w:p>
    <w:p w:rsidR="00E773F6" w:rsidRPr="00852612" w:rsidRDefault="00E773F6" w:rsidP="00E773F6">
      <w:pPr>
        <w:adjustRightInd w:val="0"/>
        <w:snapToGrid w:val="0"/>
        <w:rPr>
          <w:rFonts w:ascii="Arial" w:hAnsi="Arial" w:cs="Arial"/>
          <w:b/>
          <w:i/>
          <w:szCs w:val="24"/>
          <w:lang w:val="en-GB"/>
        </w:rPr>
      </w:pPr>
      <w:r w:rsidRPr="00852612">
        <w:rPr>
          <w:rFonts w:ascii="Arial" w:hAnsi="Arial" w:cs="Arial"/>
          <w:b/>
          <w:i/>
          <w:szCs w:val="24"/>
          <w:lang w:val="en-GB"/>
        </w:rPr>
        <w:t>Legal considerations: relevant ‘conflict of laws’ implications</w:t>
      </w:r>
    </w:p>
    <w:p w:rsidR="00E773F6" w:rsidRPr="00852612" w:rsidRDefault="00E773F6" w:rsidP="00E773F6">
      <w:pPr>
        <w:adjustRightInd w:val="0"/>
        <w:snapToGrid w:val="0"/>
        <w:rPr>
          <w:rFonts w:ascii="Arial" w:hAnsi="Arial" w:cs="Arial"/>
          <w:szCs w:val="24"/>
          <w:lang w:val="en-GB"/>
        </w:rPr>
      </w:pPr>
    </w:p>
    <w:p w:rsidR="00E773F6" w:rsidRPr="00852612" w:rsidRDefault="00E773F6" w:rsidP="00E773F6">
      <w:pPr>
        <w:adjustRightInd w:val="0"/>
        <w:snapToGrid w:val="0"/>
        <w:jc w:val="both"/>
        <w:rPr>
          <w:rFonts w:ascii="Arial" w:hAnsi="Arial" w:cs="Arial"/>
          <w:i/>
          <w:szCs w:val="24"/>
          <w:lang w:val="en-GB"/>
        </w:rPr>
      </w:pPr>
      <w:r w:rsidRPr="00852612">
        <w:rPr>
          <w:rFonts w:ascii="Arial" w:hAnsi="Arial" w:cs="Arial"/>
          <w:i/>
          <w:szCs w:val="24"/>
          <w:lang w:val="en-GB"/>
        </w:rPr>
        <w:t>Concept of the conflict of laws and how it operates</w:t>
      </w:r>
    </w:p>
    <w:p w:rsidR="00E773F6" w:rsidRPr="00852612" w:rsidRDefault="00E773F6" w:rsidP="00E773F6">
      <w:pPr>
        <w:adjustRightInd w:val="0"/>
        <w:snapToGrid w:val="0"/>
        <w:rPr>
          <w:rFonts w:ascii="Arial" w:hAnsi="Arial" w:cs="Arial"/>
          <w:i/>
          <w:szCs w:val="24"/>
          <w:lang w:val="en-GB"/>
        </w:rPr>
      </w:pPr>
    </w:p>
    <w:p w:rsidR="00E773F6" w:rsidRPr="0085261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b/>
          <w:szCs w:val="24"/>
          <w:lang w:val="en-GB"/>
        </w:rPr>
      </w:pPr>
      <w:r w:rsidRPr="00852612">
        <w:rPr>
          <w:rFonts w:ascii="Arial" w:hAnsi="Arial" w:cs="Arial"/>
          <w:szCs w:val="24"/>
          <w:lang w:val="en-GB"/>
        </w:rPr>
        <w:t>As illustrated in preceding paragraphs</w:t>
      </w:r>
      <w:r w:rsidR="00F651E7" w:rsidRPr="00852612">
        <w:rPr>
          <w:rFonts w:ascii="Arial" w:hAnsi="Arial" w:cs="Arial"/>
          <w:szCs w:val="24"/>
          <w:lang w:val="en-GB"/>
        </w:rPr>
        <w:t xml:space="preserve"> of this </w:t>
      </w:r>
      <w:r w:rsidR="00245AC9" w:rsidRPr="00852612">
        <w:rPr>
          <w:rFonts w:ascii="Arial" w:hAnsi="Arial" w:cs="Arial"/>
          <w:szCs w:val="24"/>
          <w:lang w:val="en-GB"/>
        </w:rPr>
        <w:t>c</w:t>
      </w:r>
      <w:r w:rsidR="00F651E7" w:rsidRPr="00852612">
        <w:rPr>
          <w:rFonts w:ascii="Arial" w:hAnsi="Arial" w:cs="Arial"/>
          <w:szCs w:val="24"/>
          <w:lang w:val="en-GB"/>
        </w:rPr>
        <w:t>hapter</w:t>
      </w:r>
      <w:r w:rsidRPr="00852612">
        <w:rPr>
          <w:rFonts w:ascii="Arial" w:hAnsi="Arial" w:cs="Arial"/>
          <w:szCs w:val="24"/>
          <w:lang w:val="en-GB"/>
        </w:rPr>
        <w:t xml:space="preserve">, if </w:t>
      </w:r>
      <w:r w:rsidR="00F651E7" w:rsidRPr="00852612">
        <w:rPr>
          <w:rFonts w:ascii="Arial" w:hAnsi="Arial" w:cs="Arial"/>
          <w:szCs w:val="24"/>
          <w:lang w:val="en-GB"/>
        </w:rPr>
        <w:t xml:space="preserve">a </w:t>
      </w:r>
      <w:r w:rsidRPr="00852612">
        <w:rPr>
          <w:rFonts w:ascii="Arial" w:hAnsi="Arial" w:cs="Arial"/>
          <w:szCs w:val="24"/>
          <w:lang w:val="en-GB"/>
        </w:rPr>
        <w:t xml:space="preserve">particular gender recognition legislation </w:t>
      </w:r>
      <w:r w:rsidRPr="00852612">
        <w:rPr>
          <w:rFonts w:ascii="Arial" w:hAnsi="Arial" w:cs="Arial"/>
          <w:kern w:val="0"/>
          <w:szCs w:val="24"/>
          <w:lang w:val="en-GB"/>
        </w:rPr>
        <w:t>does not stipulate any requirement as to nationality, citizenship, residence or domicile, the general conflict of laws rules</w:t>
      </w:r>
      <w:r w:rsidRPr="00852612">
        <w:rPr>
          <w:rFonts w:ascii="Arial" w:hAnsi="Arial" w:cs="Arial"/>
          <w:szCs w:val="24"/>
          <w:lang w:val="en-GB"/>
        </w:rPr>
        <w:t xml:space="preserve"> (ie, an area of the law which deals with cases having a foreign element</w:t>
      </w:r>
      <w:r w:rsidRPr="00852612">
        <w:rPr>
          <w:rStyle w:val="FootnoteReference"/>
          <w:rFonts w:ascii="Arial" w:hAnsi="Arial" w:cs="Arial"/>
          <w:szCs w:val="24"/>
          <w:lang w:val="en-GB"/>
        </w:rPr>
        <w:footnoteReference w:id="653"/>
      </w:r>
      <w:r w:rsidRPr="00852612">
        <w:rPr>
          <w:rFonts w:ascii="Arial" w:hAnsi="Arial" w:cs="Arial"/>
          <w:szCs w:val="24"/>
          <w:lang w:val="en-GB"/>
        </w:rPr>
        <w:t xml:space="preserve">) </w:t>
      </w:r>
      <w:r w:rsidRPr="00852612">
        <w:rPr>
          <w:rFonts w:ascii="Arial" w:hAnsi="Arial" w:cs="Arial"/>
          <w:kern w:val="0"/>
          <w:szCs w:val="24"/>
          <w:lang w:val="en-GB"/>
        </w:rPr>
        <w:t>will be deployed.</w:t>
      </w:r>
      <w:r w:rsidRPr="00852612" w:rsidDel="00C067CC">
        <w:rPr>
          <w:rFonts w:ascii="Arial" w:hAnsi="Arial" w:cs="Arial"/>
          <w:szCs w:val="24"/>
          <w:lang w:val="en-GB"/>
        </w:rPr>
        <w:t xml:space="preserve"> </w:t>
      </w:r>
      <w:r w:rsidRPr="00852612">
        <w:rPr>
          <w:rFonts w:ascii="Arial" w:hAnsi="Arial" w:cs="Arial"/>
          <w:szCs w:val="24"/>
          <w:lang w:val="en-GB"/>
        </w:rPr>
        <w:t xml:space="preserve"> It follows that in order to determine which requirement(s) (nationality, citizenship, residence or domicile) should apply under the law, the conflict of laws rules should be taken into account.</w:t>
      </w:r>
    </w:p>
    <w:p w:rsidR="00E773F6" w:rsidRPr="00852612" w:rsidRDefault="00E773F6" w:rsidP="00961014">
      <w:pPr>
        <w:pStyle w:val="ListParagraph"/>
        <w:tabs>
          <w:tab w:val="left" w:pos="1418"/>
          <w:tab w:val="left" w:pos="2552"/>
        </w:tabs>
        <w:adjustRightInd w:val="0"/>
        <w:snapToGrid w:val="0"/>
        <w:ind w:leftChars="0" w:left="840"/>
        <w:jc w:val="both"/>
        <w:rPr>
          <w:rFonts w:ascii="Arial" w:hAnsi="Arial" w:cs="Arial"/>
          <w:b/>
          <w:szCs w:val="24"/>
          <w:lang w:val="en-GB"/>
        </w:rPr>
      </w:pPr>
    </w:p>
    <w:p w:rsidR="00E773F6" w:rsidRPr="0085261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b/>
          <w:szCs w:val="24"/>
          <w:lang w:val="en-GB"/>
        </w:rPr>
      </w:pPr>
      <w:r w:rsidRPr="00852612">
        <w:rPr>
          <w:rFonts w:ascii="Arial" w:hAnsi="Arial" w:cs="Arial"/>
          <w:szCs w:val="24"/>
          <w:lang w:val="en-GB"/>
        </w:rPr>
        <w:t>Normally the law of a country has rules dealing with questions in the conflict of laws context (in contrast to its domestic or internal law).</w:t>
      </w:r>
      <w:r w:rsidRPr="00852612">
        <w:rPr>
          <w:rStyle w:val="FootnoteReference"/>
          <w:rFonts w:ascii="Arial" w:hAnsi="Arial" w:cs="Arial"/>
          <w:szCs w:val="24"/>
          <w:lang w:val="en-GB"/>
        </w:rPr>
        <w:footnoteReference w:id="654"/>
      </w:r>
      <w:r w:rsidRPr="00852612">
        <w:rPr>
          <w:rFonts w:ascii="Arial" w:hAnsi="Arial" w:cs="Arial"/>
          <w:szCs w:val="24"/>
          <w:lang w:val="en-GB"/>
        </w:rPr>
        <w:t xml:space="preserve">  In Hong Kong, the common law will have the force of law in the context of conflict of laws concerning, </w:t>
      </w:r>
      <w:r w:rsidRPr="00852612">
        <w:rPr>
          <w:rFonts w:ascii="Arial" w:hAnsi="Arial" w:cs="Arial"/>
          <w:i/>
          <w:szCs w:val="24"/>
          <w:lang w:val="en-GB"/>
        </w:rPr>
        <w:t>inter alia</w:t>
      </w:r>
      <w:r w:rsidRPr="00852612">
        <w:rPr>
          <w:rFonts w:ascii="Arial" w:hAnsi="Arial" w:cs="Arial"/>
          <w:szCs w:val="24"/>
          <w:lang w:val="en-GB"/>
        </w:rPr>
        <w:t>, a person’s domicile.</w:t>
      </w:r>
      <w:r w:rsidRPr="00852612">
        <w:rPr>
          <w:rStyle w:val="FootnoteReference"/>
          <w:rFonts w:ascii="Arial" w:hAnsi="Arial" w:cs="Arial"/>
          <w:szCs w:val="24"/>
          <w:lang w:val="en-GB"/>
        </w:rPr>
        <w:footnoteReference w:id="655"/>
      </w:r>
      <w:r w:rsidRPr="00852612">
        <w:rPr>
          <w:rFonts w:ascii="Arial" w:hAnsi="Arial" w:cs="Arial"/>
          <w:szCs w:val="24"/>
          <w:lang w:val="en-GB"/>
        </w:rPr>
        <w:t xml:space="preserve">  </w:t>
      </w:r>
    </w:p>
    <w:p w:rsidR="00E773F6" w:rsidRPr="00852612" w:rsidRDefault="00E773F6" w:rsidP="00961014">
      <w:pPr>
        <w:pStyle w:val="ListParagraph"/>
        <w:tabs>
          <w:tab w:val="left" w:pos="1418"/>
          <w:tab w:val="left" w:pos="2552"/>
        </w:tabs>
        <w:adjustRightInd w:val="0"/>
        <w:snapToGrid w:val="0"/>
        <w:ind w:leftChars="0" w:left="840"/>
        <w:jc w:val="both"/>
        <w:rPr>
          <w:rFonts w:ascii="Arial" w:hAnsi="Arial" w:cs="Arial"/>
          <w:b/>
          <w:szCs w:val="24"/>
          <w:lang w:val="en-GB"/>
        </w:rPr>
      </w:pPr>
    </w:p>
    <w:p w:rsidR="00E773F6" w:rsidRPr="00852612" w:rsidRDefault="00E773F6" w:rsidP="00CE07B2">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852612">
        <w:rPr>
          <w:rFonts w:ascii="Arial" w:hAnsi="Arial" w:cs="Arial"/>
          <w:szCs w:val="24"/>
          <w:lang w:val="en-GB"/>
        </w:rPr>
        <w:t>Conflict of laws rules arise because there are conflicts in the domestic laws of different countries which may relate to a particular case or issue.  Resolving conflict of laws</w:t>
      </w:r>
      <w:r w:rsidRPr="00852612">
        <w:rPr>
          <w:rStyle w:val="FootnoteReference"/>
          <w:rFonts w:ascii="Arial" w:hAnsi="Arial" w:cs="Arial"/>
          <w:lang w:val="en-GB"/>
        </w:rPr>
        <w:t xml:space="preserve"> </w:t>
      </w:r>
      <w:r w:rsidRPr="00852612">
        <w:rPr>
          <w:rFonts w:ascii="Arial" w:hAnsi="Arial" w:cs="Arial"/>
          <w:szCs w:val="24"/>
          <w:lang w:val="en-GB"/>
        </w:rPr>
        <w:t>cases</w:t>
      </w:r>
      <w:r w:rsidRPr="00852612">
        <w:rPr>
          <w:rStyle w:val="FootnoteReference"/>
          <w:rFonts w:ascii="Arial" w:hAnsi="Arial" w:cs="Arial"/>
          <w:lang w:val="en-GB"/>
        </w:rPr>
        <w:footnoteReference w:id="656"/>
      </w:r>
      <w:r w:rsidRPr="00852612">
        <w:rPr>
          <w:rFonts w:ascii="Arial" w:hAnsi="Arial" w:cs="Arial"/>
          <w:szCs w:val="24"/>
          <w:lang w:val="en-GB"/>
        </w:rPr>
        <w:t xml:space="preserve"> involves examining issues of the court’s jurisdiction and the choice of applicable law (ie, once it has been determined that a court has jurisdiction to hear a dispute involving foreign elements, the court is in a position to apply the relevant choice of law rules to determine the law to be applied, which may be the domestic law or a foreign law).</w:t>
      </w:r>
      <w:r w:rsidRPr="00852612">
        <w:rPr>
          <w:rStyle w:val="FootnoteReference"/>
          <w:rFonts w:ascii="Arial" w:hAnsi="Arial" w:cs="Arial"/>
          <w:szCs w:val="24"/>
          <w:lang w:val="en-GB"/>
        </w:rPr>
        <w:footnoteReference w:id="657"/>
      </w:r>
      <w:r w:rsidRPr="00852612">
        <w:rPr>
          <w:rFonts w:ascii="Arial" w:hAnsi="Arial" w:cs="Arial"/>
          <w:szCs w:val="24"/>
          <w:lang w:val="en-GB"/>
        </w:rPr>
        <w:t xml:space="preserve">  </w:t>
      </w:r>
    </w:p>
    <w:p w:rsidR="00E773F6" w:rsidRPr="00852612" w:rsidRDefault="00E773F6" w:rsidP="00E773F6">
      <w:pPr>
        <w:adjustRightInd w:val="0"/>
        <w:snapToGrid w:val="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szCs w:val="24"/>
          <w:lang w:val="en-GB"/>
        </w:rPr>
      </w:pPr>
      <w:r w:rsidRPr="00852612">
        <w:rPr>
          <w:rFonts w:ascii="Arial" w:hAnsi="Arial" w:cs="Arial"/>
          <w:szCs w:val="24"/>
          <w:lang w:val="en-GB"/>
        </w:rPr>
        <w:t xml:space="preserve">In the choice of law process, the factual situation or the relevant </w:t>
      </w:r>
      <w:r w:rsidRPr="0028108F">
        <w:rPr>
          <w:rFonts w:ascii="Arial" w:hAnsi="Arial" w:cs="Arial"/>
          <w:color w:val="000000"/>
          <w:szCs w:val="24"/>
          <w:lang w:val="en-GB"/>
        </w:rPr>
        <w:t>legal rule is categorised into a precise legal category.</w:t>
      </w:r>
      <w:r w:rsidRPr="0028108F">
        <w:rPr>
          <w:rStyle w:val="FootnoteReference"/>
          <w:rFonts w:ascii="Arial" w:hAnsi="Arial" w:cs="Arial"/>
          <w:color w:val="000000"/>
          <w:szCs w:val="24"/>
          <w:lang w:val="en-GB"/>
        </w:rPr>
        <w:footnoteReference w:id="658"/>
      </w:r>
      <w:r w:rsidRPr="0028108F">
        <w:rPr>
          <w:rFonts w:ascii="Arial" w:hAnsi="Arial" w:cs="Arial"/>
          <w:color w:val="000000"/>
          <w:szCs w:val="24"/>
          <w:lang w:val="en-GB"/>
        </w:rPr>
        <w:t xml:space="preserve">  In Hong Kong, issues of procedure in a court are decided according to Hong Kong law, referred to in this context as the </w:t>
      </w:r>
      <w:r w:rsidRPr="0028108F">
        <w:rPr>
          <w:rFonts w:ascii="Arial" w:hAnsi="Arial" w:cs="Arial"/>
          <w:i/>
          <w:color w:val="000000"/>
          <w:szCs w:val="24"/>
          <w:lang w:val="en-GB"/>
        </w:rPr>
        <w:t>“law of the forum”</w:t>
      </w:r>
      <w:r w:rsidRPr="0028108F">
        <w:rPr>
          <w:rFonts w:ascii="Arial" w:hAnsi="Arial" w:cs="Arial"/>
          <w:color w:val="000000"/>
          <w:szCs w:val="24"/>
          <w:lang w:val="en-GB"/>
        </w:rPr>
        <w:t xml:space="preserve"> (</w:t>
      </w:r>
      <w:r w:rsidRPr="0028108F">
        <w:rPr>
          <w:rFonts w:ascii="Arial" w:hAnsi="Arial" w:cs="Arial"/>
          <w:i/>
          <w:color w:val="000000"/>
          <w:szCs w:val="24"/>
          <w:lang w:val="en-GB"/>
        </w:rPr>
        <w:t>lex fori</w:t>
      </w:r>
      <w:r w:rsidRPr="0028108F">
        <w:rPr>
          <w:rFonts w:ascii="Arial" w:hAnsi="Arial" w:cs="Arial"/>
          <w:color w:val="000000"/>
          <w:szCs w:val="24"/>
          <w:lang w:val="en-GB"/>
        </w:rPr>
        <w:t>), whereas issues of substance are decided according to the law governing that substance (not necessarily Hong Kong law) as determined by choice of law rules</w:t>
      </w:r>
      <w:r w:rsidRPr="0028108F">
        <w:rPr>
          <w:rFonts w:ascii="Arial" w:hAnsi="Arial" w:cs="Arial"/>
          <w:i/>
          <w:color w:val="000000"/>
          <w:szCs w:val="24"/>
          <w:lang w:val="en-GB"/>
        </w:rPr>
        <w:t xml:space="preserve"> </w:t>
      </w:r>
      <w:r w:rsidRPr="0028108F">
        <w:rPr>
          <w:rFonts w:ascii="Arial" w:hAnsi="Arial" w:cs="Arial"/>
          <w:color w:val="000000"/>
          <w:szCs w:val="24"/>
          <w:lang w:val="en-GB"/>
        </w:rPr>
        <w:t>(</w:t>
      </w:r>
      <w:r w:rsidRPr="0028108F">
        <w:rPr>
          <w:rFonts w:ascii="Arial" w:hAnsi="Arial" w:cs="Arial"/>
          <w:i/>
          <w:color w:val="000000"/>
          <w:szCs w:val="24"/>
          <w:lang w:val="en-GB"/>
        </w:rPr>
        <w:t>lex causae</w:t>
      </w:r>
      <w:r w:rsidRPr="0028108F">
        <w:rPr>
          <w:rFonts w:ascii="Arial" w:hAnsi="Arial" w:cs="Arial"/>
          <w:color w:val="000000"/>
          <w:szCs w:val="24"/>
          <w:lang w:val="en-GB"/>
        </w:rPr>
        <w:t>).</w:t>
      </w:r>
      <w:r w:rsidRPr="0028108F">
        <w:rPr>
          <w:rStyle w:val="FootnoteReference"/>
          <w:rFonts w:ascii="Arial" w:hAnsi="Arial" w:cs="Arial"/>
          <w:color w:val="000000"/>
          <w:szCs w:val="24"/>
          <w:lang w:val="en-GB"/>
        </w:rPr>
        <w:footnoteReference w:id="659"/>
      </w:r>
      <w:r w:rsidRPr="0028108F">
        <w:rPr>
          <w:rFonts w:ascii="Arial" w:hAnsi="Arial" w:cs="Arial"/>
          <w:color w:val="000000"/>
          <w:szCs w:val="24"/>
          <w:lang w:val="en-GB"/>
        </w:rPr>
        <w:t xml:space="preserve">  Therefore, in a case which potentially involves the application of a foreign law to an issue, </w:t>
      </w:r>
      <w:r w:rsidRPr="0028108F">
        <w:rPr>
          <w:rFonts w:ascii="Arial" w:hAnsi="Arial" w:cs="Arial"/>
          <w:i/>
          <w:color w:val="000000"/>
          <w:szCs w:val="24"/>
          <w:lang w:val="en-GB"/>
        </w:rPr>
        <w:t xml:space="preserve">“[t]he parties’ rights and obligations should be applied by a Hong Kong court as meaningfully as possible according to the </w:t>
      </w:r>
      <w:r w:rsidRPr="0028108F">
        <w:rPr>
          <w:rFonts w:ascii="Arial" w:hAnsi="Arial" w:cs="Arial"/>
          <w:i/>
          <w:color w:val="000000"/>
          <w:szCs w:val="24"/>
          <w:u w:val="single"/>
          <w:lang w:val="en-GB"/>
        </w:rPr>
        <w:t>lex causae</w:t>
      </w:r>
      <w:r w:rsidRPr="0028108F">
        <w:rPr>
          <w:rFonts w:ascii="Arial" w:hAnsi="Arial" w:cs="Arial"/>
          <w:i/>
          <w:color w:val="000000"/>
          <w:szCs w:val="24"/>
          <w:lang w:val="en-GB"/>
        </w:rPr>
        <w:t xml:space="preserve">, with the </w:t>
      </w:r>
      <w:r w:rsidRPr="0028108F">
        <w:rPr>
          <w:rFonts w:ascii="Arial" w:hAnsi="Arial" w:cs="Arial"/>
          <w:i/>
          <w:color w:val="000000"/>
          <w:szCs w:val="24"/>
          <w:u w:val="single"/>
          <w:lang w:val="en-GB"/>
        </w:rPr>
        <w:t>lex fori</w:t>
      </w:r>
      <w:r w:rsidRPr="0028108F">
        <w:rPr>
          <w:rFonts w:ascii="Arial" w:hAnsi="Arial" w:cs="Arial"/>
          <w:i/>
          <w:color w:val="000000"/>
          <w:szCs w:val="24"/>
          <w:lang w:val="en-GB"/>
        </w:rPr>
        <w:t xml:space="preserve"> being restricted, in the absence of some overriding public policy concern, to providing the machinery by which these rights and obligations are determined and given effect in practice.”</w:t>
      </w:r>
      <w:r w:rsidRPr="00181CF2">
        <w:rPr>
          <w:rStyle w:val="FootnoteReference"/>
          <w:rFonts w:ascii="Arial" w:hAnsi="Arial" w:cs="Arial"/>
          <w:color w:val="000000"/>
          <w:szCs w:val="24"/>
          <w:lang w:val="en-GB"/>
        </w:rPr>
        <w:footnoteReference w:id="660"/>
      </w:r>
    </w:p>
    <w:p w:rsidR="00A67419" w:rsidRPr="0028108F" w:rsidRDefault="00A67419" w:rsidP="0028108F">
      <w:pPr>
        <w:pStyle w:val="ListParagraph"/>
        <w:rPr>
          <w:rFonts w:ascii="Arial" w:hAnsi="Arial" w:cs="Arial"/>
          <w:color w:val="000000"/>
          <w:szCs w:val="24"/>
          <w:lang w:val="en-GB"/>
        </w:rPr>
      </w:pPr>
    </w:p>
    <w:p w:rsidR="00E773F6" w:rsidRPr="00181CF2" w:rsidRDefault="00E773F6" w:rsidP="00E773F6">
      <w:pPr>
        <w:adjustRightInd w:val="0"/>
        <w:snapToGrid w:val="0"/>
        <w:jc w:val="both"/>
        <w:rPr>
          <w:rFonts w:ascii="Arial" w:hAnsi="Arial" w:cs="Arial"/>
          <w:b/>
          <w:color w:val="000000" w:themeColor="text1"/>
          <w:szCs w:val="24"/>
          <w:lang w:val="en-GB"/>
        </w:rPr>
      </w:pPr>
      <w:r w:rsidRPr="0028108F">
        <w:rPr>
          <w:rFonts w:ascii="Arial" w:hAnsi="Arial" w:cs="Arial"/>
          <w:b/>
          <w:i/>
          <w:szCs w:val="24"/>
          <w:lang w:val="en-GB"/>
        </w:rPr>
        <w:t>Conflict of laws principles relating to gender recognition and, in particular, requirements of nationality, citizenship, residency or domicile</w:t>
      </w:r>
    </w:p>
    <w:p w:rsidR="00E773F6" w:rsidRPr="00C57CE1" w:rsidRDefault="00E773F6" w:rsidP="00E773F6">
      <w:pPr>
        <w:adjustRightInd w:val="0"/>
        <w:snapToGrid w:val="0"/>
        <w:jc w:val="both"/>
        <w:rPr>
          <w:rFonts w:ascii="Arial" w:hAnsi="Arial" w:cs="Arial"/>
          <w:b/>
          <w:color w:val="000000" w:themeColor="text1"/>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szCs w:val="24"/>
          <w:lang w:val="en-GB"/>
        </w:rPr>
      </w:pPr>
      <w:r w:rsidRPr="0028108F">
        <w:rPr>
          <w:rFonts w:ascii="Arial" w:hAnsi="Arial" w:cs="Arial"/>
          <w:color w:val="000000"/>
          <w:szCs w:val="24"/>
          <w:lang w:val="en-GB"/>
        </w:rPr>
        <w:t>T</w:t>
      </w:r>
      <w:r w:rsidRPr="0028108F">
        <w:rPr>
          <w:rFonts w:ascii="Arial" w:hAnsi="Arial" w:cs="Arial"/>
          <w:szCs w:val="24"/>
          <w:lang w:val="en-GB"/>
        </w:rPr>
        <w:t>here appears to be little reference to the subject of gender recognition in the conflict of laws literature.  Whilst t</w:t>
      </w:r>
      <w:r w:rsidRPr="0028108F">
        <w:rPr>
          <w:rFonts w:ascii="Arial" w:hAnsi="Arial" w:cs="Arial"/>
          <w:color w:val="000000"/>
          <w:szCs w:val="24"/>
          <w:lang w:val="en-GB"/>
        </w:rPr>
        <w:t>he rules on conflict of laws that were applicable in Hong Kong were radically affected by the Conventions negotiated under the auspices of the Hague Conference on Private International Law</w:t>
      </w:r>
      <w:r w:rsidRPr="00181CF2">
        <w:rPr>
          <w:rStyle w:val="FootnoteReference"/>
          <w:rFonts w:ascii="Arial" w:hAnsi="Arial" w:cs="Arial"/>
          <w:color w:val="000000"/>
          <w:szCs w:val="24"/>
          <w:lang w:val="en-GB"/>
        </w:rPr>
        <w:footnoteReference w:id="661"/>
      </w:r>
      <w:r w:rsidRPr="00181CF2">
        <w:rPr>
          <w:rFonts w:ascii="Arial" w:hAnsi="Arial" w:cs="Arial"/>
          <w:color w:val="000000"/>
          <w:szCs w:val="24"/>
          <w:lang w:val="en-GB"/>
        </w:rPr>
        <w:t xml:space="preserve"> (currently there are eight Conventions in force for Hong Kong</w:t>
      </w:r>
      <w:r w:rsidRPr="00181CF2">
        <w:rPr>
          <w:rStyle w:val="FootnoteReference"/>
          <w:rFonts w:ascii="Arial" w:hAnsi="Arial" w:cs="Arial"/>
          <w:color w:val="000000"/>
          <w:szCs w:val="24"/>
          <w:lang w:val="en-GB"/>
        </w:rPr>
        <w:footnoteReference w:id="662"/>
      </w:r>
      <w:r w:rsidRPr="00181CF2">
        <w:rPr>
          <w:rFonts w:ascii="Arial" w:hAnsi="Arial" w:cs="Arial"/>
          <w:color w:val="000000"/>
          <w:szCs w:val="24"/>
          <w:lang w:val="en-GB"/>
        </w:rPr>
        <w:t>), none of</w:t>
      </w:r>
      <w:r w:rsidRPr="00C57CE1">
        <w:rPr>
          <w:rFonts w:ascii="Arial" w:hAnsi="Arial" w:cs="Arial"/>
          <w:color w:val="000000"/>
          <w:szCs w:val="24"/>
          <w:lang w:val="en-GB"/>
        </w:rPr>
        <w:t xml:space="preserve"> these Conventions appears to be directly related to the issues of gender recognition, although possibly some may have application in cases coming before the court where one of the parties is a transgender person, either in seeking gender recognition </w:t>
      </w:r>
      <w:r w:rsidRPr="0028108F">
        <w:rPr>
          <w:rFonts w:ascii="Arial" w:hAnsi="Arial" w:cs="Arial"/>
          <w:color w:val="000000"/>
          <w:szCs w:val="24"/>
          <w:lang w:val="en-GB"/>
        </w:rPr>
        <w:t>or if involved in another type of legal process to which a Hague Convention may relate.</w:t>
      </w:r>
      <w:r w:rsidRPr="00181CF2">
        <w:rPr>
          <w:rStyle w:val="FootnoteReference"/>
          <w:rFonts w:ascii="Arial" w:hAnsi="Arial" w:cs="Arial"/>
          <w:color w:val="000000"/>
          <w:lang w:val="en-GB"/>
        </w:rPr>
        <w:footnoteReference w:id="663"/>
      </w:r>
      <w:r w:rsidRPr="00181CF2">
        <w:rPr>
          <w:rFonts w:ascii="Arial" w:hAnsi="Arial" w:cs="Arial"/>
          <w:color w:val="000000"/>
          <w:szCs w:val="24"/>
          <w:lang w:val="en-GB"/>
        </w:rPr>
        <w:t xml:space="preserve">   </w:t>
      </w:r>
    </w:p>
    <w:p w:rsidR="00E773F6" w:rsidRPr="00C57CE1" w:rsidRDefault="00E773F6" w:rsidP="00E773F6">
      <w:pPr>
        <w:pStyle w:val="ListParagraph"/>
        <w:tabs>
          <w:tab w:val="left" w:pos="1418"/>
          <w:tab w:val="left" w:pos="2552"/>
        </w:tabs>
        <w:adjustRightInd w:val="0"/>
        <w:snapToGrid w:val="0"/>
        <w:ind w:leftChars="0" w:left="0"/>
        <w:jc w:val="both"/>
        <w:rPr>
          <w:rFonts w:ascii="Arial" w:hAnsi="Arial" w:cs="Arial"/>
          <w:color w:val="000000"/>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b/>
          <w:color w:val="000000" w:themeColor="text1"/>
          <w:szCs w:val="24"/>
          <w:lang w:val="en-GB"/>
        </w:rPr>
      </w:pPr>
      <w:r w:rsidRPr="0028108F">
        <w:rPr>
          <w:rFonts w:ascii="Arial" w:hAnsi="Arial" w:cs="Arial"/>
          <w:szCs w:val="24"/>
          <w:lang w:val="en-GB"/>
        </w:rPr>
        <w:t xml:space="preserve">As far as the requirements of nationality, citizenship, residency and domicile for gender recognition are concerned, these items of personal status are examples of </w:t>
      </w:r>
      <w:r w:rsidR="00685208" w:rsidRPr="0028108F">
        <w:rPr>
          <w:rFonts w:ascii="Arial" w:hAnsi="Arial" w:cs="Arial"/>
          <w:color w:val="000000" w:themeColor="text1"/>
          <w:szCs w:val="24"/>
          <w:lang w:val="en-GB"/>
        </w:rPr>
        <w:t>“</w:t>
      </w:r>
      <w:r w:rsidRPr="0028108F">
        <w:rPr>
          <w:rFonts w:ascii="Arial" w:hAnsi="Arial" w:cs="Arial"/>
          <w:i/>
          <w:szCs w:val="24"/>
          <w:lang w:val="en-GB"/>
        </w:rPr>
        <w:t>connecting factors”</w:t>
      </w:r>
      <w:r w:rsidRPr="0028108F">
        <w:rPr>
          <w:rFonts w:ascii="Arial" w:hAnsi="Arial" w:cs="Arial"/>
          <w:szCs w:val="24"/>
          <w:lang w:val="en-GB"/>
        </w:rPr>
        <w:t xml:space="preserve">, a technical term frequently used in the conflict of laws context denoting the circumstances that make linkage, </w:t>
      </w:r>
      <w:r w:rsidRPr="0028108F">
        <w:rPr>
          <w:rFonts w:ascii="Arial" w:hAnsi="Arial" w:cs="Arial"/>
          <w:i/>
          <w:szCs w:val="24"/>
          <w:lang w:val="en-GB"/>
        </w:rPr>
        <w:t>inter alia</w:t>
      </w:r>
      <w:r w:rsidRPr="0028108F">
        <w:rPr>
          <w:rFonts w:ascii="Arial" w:hAnsi="Arial" w:cs="Arial"/>
          <w:szCs w:val="24"/>
          <w:lang w:val="en-GB"/>
        </w:rPr>
        <w:t>, between person and country.</w:t>
      </w:r>
      <w:r w:rsidRPr="00181CF2">
        <w:rPr>
          <w:rStyle w:val="FootnoteReference"/>
          <w:rFonts w:ascii="Arial" w:hAnsi="Arial" w:cs="Arial"/>
          <w:szCs w:val="24"/>
          <w:lang w:val="en-GB"/>
        </w:rPr>
        <w:footnoteReference w:id="664"/>
      </w:r>
      <w:r w:rsidRPr="00181CF2">
        <w:rPr>
          <w:rFonts w:ascii="Arial" w:hAnsi="Arial" w:cs="Arial"/>
          <w:szCs w:val="24"/>
          <w:lang w:val="en-GB"/>
        </w:rPr>
        <w:t xml:space="preserve">  It has been an accepted norm amongst legalists that the connecting factor for a part</w:t>
      </w:r>
      <w:r w:rsidRPr="00C57CE1">
        <w:rPr>
          <w:rFonts w:ascii="Arial" w:hAnsi="Arial" w:cs="Arial"/>
          <w:szCs w:val="24"/>
          <w:lang w:val="en-GB"/>
        </w:rPr>
        <w:t>icular category of legal area (such as the formal validity of a marriage, succession to immovable property, etc</w:t>
      </w:r>
      <w:r w:rsidRPr="0028108F">
        <w:rPr>
          <w:rFonts w:ascii="Arial" w:hAnsi="Arial" w:cs="Arial"/>
          <w:szCs w:val="24"/>
          <w:lang w:val="en-GB"/>
        </w:rPr>
        <w:t>) should be determined by the domestic law (</w:t>
      </w:r>
      <w:r w:rsidRPr="0028108F">
        <w:rPr>
          <w:rFonts w:ascii="Arial" w:hAnsi="Arial" w:cs="Arial"/>
          <w:i/>
          <w:szCs w:val="24"/>
          <w:lang w:val="en-GB"/>
        </w:rPr>
        <w:t>lexi fori</w:t>
      </w:r>
      <w:r w:rsidRPr="0028108F">
        <w:rPr>
          <w:rFonts w:ascii="Arial" w:hAnsi="Arial" w:cs="Arial"/>
          <w:szCs w:val="24"/>
          <w:lang w:val="en-GB"/>
        </w:rPr>
        <w:t>)</w:t>
      </w:r>
      <w:r w:rsidRPr="00181CF2">
        <w:rPr>
          <w:rStyle w:val="FootnoteReference"/>
          <w:rFonts w:ascii="Arial" w:hAnsi="Arial" w:cs="Arial"/>
          <w:szCs w:val="24"/>
          <w:lang w:val="en-GB"/>
        </w:rPr>
        <w:footnoteReference w:id="665"/>
      </w:r>
      <w:r w:rsidRPr="00181CF2">
        <w:rPr>
          <w:rFonts w:ascii="Arial" w:hAnsi="Arial" w:cs="Arial"/>
          <w:szCs w:val="24"/>
          <w:lang w:val="en-GB"/>
        </w:rPr>
        <w:t xml:space="preserve"> and it is considered appropriate that a person’s legal position in the field of pers</w:t>
      </w:r>
      <w:r w:rsidRPr="00C57CE1">
        <w:rPr>
          <w:rFonts w:ascii="Arial" w:hAnsi="Arial" w:cs="Arial"/>
          <w:szCs w:val="24"/>
          <w:lang w:val="en-GB"/>
        </w:rPr>
        <w:t>onal status should be wholly or partly determined by the courts of their own country in accordance with the law of that country.</w:t>
      </w:r>
      <w:r w:rsidRPr="00181CF2">
        <w:rPr>
          <w:rStyle w:val="FootnoteReference"/>
          <w:rFonts w:ascii="Arial" w:hAnsi="Arial" w:cs="Arial"/>
          <w:szCs w:val="24"/>
          <w:lang w:val="en-GB"/>
        </w:rPr>
        <w:footnoteReference w:id="666"/>
      </w:r>
      <w:r w:rsidRPr="00181CF2">
        <w:rPr>
          <w:rStyle w:val="FootnoteReference"/>
          <w:rFonts w:ascii="Arial" w:hAnsi="Arial" w:cs="Arial"/>
          <w:szCs w:val="24"/>
          <w:lang w:val="en-GB"/>
        </w:rPr>
        <w:t xml:space="preserve">  </w:t>
      </w:r>
      <w:r w:rsidRPr="00C57CE1">
        <w:rPr>
          <w:rFonts w:ascii="Arial" w:hAnsi="Arial" w:cs="Arial"/>
          <w:szCs w:val="24"/>
          <w:lang w:val="en-GB"/>
        </w:rPr>
        <w:t xml:space="preserve">It is therefore arguable that Hong Kong law could adopt this prevailing opinion, and </w:t>
      </w:r>
      <w:r w:rsidR="002F6D9B" w:rsidRPr="0028108F">
        <w:rPr>
          <w:rFonts w:ascii="Arial" w:hAnsi="Arial" w:cs="Arial"/>
          <w:szCs w:val="24"/>
          <w:lang w:val="en-GB"/>
        </w:rPr>
        <w:t xml:space="preserve">is entitled to </w:t>
      </w:r>
      <w:r w:rsidRPr="0028108F">
        <w:rPr>
          <w:rFonts w:ascii="Arial" w:hAnsi="Arial" w:cs="Arial"/>
          <w:szCs w:val="24"/>
          <w:lang w:val="en-GB"/>
        </w:rPr>
        <w:t xml:space="preserve">determine the connecting factor applicable in its gender recognition scheme (if it is deemed necessary).  </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With regard to choice of law in the field of personal status (as well as marriage and succession), the prevailing view under the common law is that the applicable law should be the law of the country with which the person has a</w:t>
      </w:r>
      <w:r w:rsidRPr="0028108F">
        <w:rPr>
          <w:rFonts w:ascii="Arial" w:hAnsi="Arial" w:cs="Arial"/>
          <w:color w:val="000000" w:themeColor="text1"/>
          <w:szCs w:val="24"/>
          <w:lang w:val="en-GB"/>
        </w:rPr>
        <w:t xml:space="preserve"> “</w:t>
      </w:r>
      <w:r w:rsidRPr="0028108F">
        <w:rPr>
          <w:rFonts w:ascii="Arial" w:hAnsi="Arial" w:cs="Arial"/>
          <w:i/>
          <w:color w:val="000000" w:themeColor="text1"/>
          <w:szCs w:val="24"/>
          <w:lang w:val="en-GB"/>
        </w:rPr>
        <w:t>substantial connection, on the basis that [person] should be subject to the law of the country to which [he or she] primarily belongs</w:t>
      </w:r>
      <w:r w:rsidRPr="0028108F">
        <w:rPr>
          <w:rFonts w:ascii="Arial" w:hAnsi="Arial" w:cs="Arial"/>
          <w:color w:val="000000" w:themeColor="text1"/>
          <w:szCs w:val="24"/>
          <w:lang w:val="en-GB"/>
        </w:rPr>
        <w:t>”.</w:t>
      </w:r>
      <w:r w:rsidRPr="00181CF2">
        <w:rPr>
          <w:rStyle w:val="FootnoteReference"/>
          <w:rFonts w:ascii="Arial" w:hAnsi="Arial" w:cs="Arial"/>
          <w:szCs w:val="24"/>
          <w:lang w:val="en-GB"/>
        </w:rPr>
        <w:footnoteReference w:id="667"/>
      </w:r>
      <w:r w:rsidRPr="00181CF2">
        <w:rPr>
          <w:rFonts w:ascii="Arial" w:hAnsi="Arial" w:cs="Arial"/>
          <w:color w:val="000000" w:themeColor="text1"/>
          <w:szCs w:val="24"/>
          <w:lang w:val="en-GB"/>
        </w:rPr>
        <w:t xml:space="preserve">  </w:t>
      </w:r>
      <w:r w:rsidRPr="00C57CE1">
        <w:rPr>
          <w:rFonts w:ascii="Arial" w:hAnsi="Arial" w:cs="Arial"/>
          <w:szCs w:val="24"/>
          <w:lang w:val="en-GB"/>
        </w:rPr>
        <w:t>There is little international agreement as to the appropr</w:t>
      </w:r>
      <w:r w:rsidRPr="0028108F">
        <w:rPr>
          <w:rFonts w:ascii="Arial" w:hAnsi="Arial" w:cs="Arial"/>
          <w:szCs w:val="24"/>
          <w:lang w:val="en-GB"/>
        </w:rPr>
        <w:t xml:space="preserve">iate test of </w:t>
      </w:r>
      <w:r w:rsidRPr="0028108F">
        <w:rPr>
          <w:rFonts w:ascii="Arial" w:hAnsi="Arial" w:cs="Arial"/>
          <w:i/>
          <w:szCs w:val="24"/>
          <w:lang w:val="en-GB"/>
        </w:rPr>
        <w:t>“belonging”</w:t>
      </w:r>
      <w:r w:rsidRPr="0028108F">
        <w:rPr>
          <w:rFonts w:ascii="Arial" w:hAnsi="Arial" w:cs="Arial"/>
          <w:szCs w:val="24"/>
          <w:lang w:val="en-GB"/>
        </w:rPr>
        <w:t xml:space="preserve"> in relation to applicable laws for personal status.</w:t>
      </w:r>
      <w:r w:rsidRPr="00181CF2">
        <w:rPr>
          <w:rStyle w:val="FootnoteReference"/>
          <w:rFonts w:ascii="Arial" w:hAnsi="Arial" w:cs="Arial"/>
          <w:szCs w:val="24"/>
          <w:lang w:val="en-GB"/>
        </w:rPr>
        <w:footnoteReference w:id="668"/>
      </w:r>
      <w:r w:rsidRPr="00181CF2">
        <w:rPr>
          <w:rFonts w:ascii="Arial" w:hAnsi="Arial" w:cs="Arial"/>
          <w:szCs w:val="24"/>
          <w:lang w:val="en-GB"/>
        </w:rPr>
        <w:t xml:space="preserve">  In England and most common law countries, the traditional personal connecting factor appears to be </w:t>
      </w:r>
      <w:r w:rsidRPr="00C57CE1">
        <w:rPr>
          <w:rFonts w:ascii="Arial" w:hAnsi="Arial" w:cs="Arial"/>
          <w:i/>
          <w:szCs w:val="24"/>
          <w:lang w:val="en-GB"/>
        </w:rPr>
        <w:t>domicile</w:t>
      </w:r>
      <w:r w:rsidRPr="0028108F">
        <w:rPr>
          <w:rFonts w:ascii="Arial" w:hAnsi="Arial" w:cs="Arial"/>
          <w:szCs w:val="24"/>
          <w:lang w:val="en-GB"/>
        </w:rPr>
        <w:t>, which loosely translates as a person’s permanent home.  (In the U</w:t>
      </w:r>
      <w:r w:rsidR="00BF0226" w:rsidRPr="0028108F">
        <w:rPr>
          <w:rFonts w:ascii="Arial" w:hAnsi="Arial" w:cs="Arial"/>
          <w:szCs w:val="24"/>
          <w:lang w:val="en-GB"/>
        </w:rPr>
        <w:t>S</w:t>
      </w:r>
      <w:r w:rsidRPr="0028108F">
        <w:rPr>
          <w:rFonts w:ascii="Arial" w:hAnsi="Arial" w:cs="Arial"/>
          <w:szCs w:val="24"/>
          <w:lang w:val="en-GB"/>
        </w:rPr>
        <w:t xml:space="preserve">, domicile is given a significantly different meaning from that ascribed by English law.)  On the other hand, most of continental Europe and other civil law countries use </w:t>
      </w:r>
      <w:r w:rsidRPr="0028108F">
        <w:rPr>
          <w:rFonts w:ascii="Arial" w:hAnsi="Arial" w:cs="Arial"/>
          <w:i/>
          <w:szCs w:val="24"/>
          <w:lang w:val="en-GB"/>
        </w:rPr>
        <w:t>nationality</w:t>
      </w:r>
      <w:r w:rsidRPr="0028108F">
        <w:rPr>
          <w:rFonts w:ascii="Arial" w:hAnsi="Arial" w:cs="Arial"/>
          <w:szCs w:val="24"/>
          <w:lang w:val="en-GB"/>
        </w:rPr>
        <w:t xml:space="preserve"> as the basic connecting factor.  In India and Cyprus the personal law is based on </w:t>
      </w:r>
      <w:r w:rsidRPr="0028108F">
        <w:rPr>
          <w:rFonts w:ascii="Arial" w:hAnsi="Arial" w:cs="Arial"/>
          <w:i/>
          <w:szCs w:val="24"/>
          <w:lang w:val="en-GB"/>
        </w:rPr>
        <w:t>adherence to a particular religion</w:t>
      </w:r>
      <w:r w:rsidRPr="0028108F">
        <w:rPr>
          <w:rFonts w:ascii="Arial" w:hAnsi="Arial" w:cs="Arial"/>
          <w:szCs w:val="24"/>
          <w:lang w:val="en-GB"/>
        </w:rPr>
        <w:t xml:space="preserve">.  In some countries, including England, another connecting factor, </w:t>
      </w:r>
      <w:r w:rsidRPr="0028108F">
        <w:rPr>
          <w:rFonts w:ascii="Arial" w:hAnsi="Arial" w:cs="Arial"/>
          <w:i/>
          <w:szCs w:val="24"/>
          <w:lang w:val="en-GB"/>
        </w:rPr>
        <w:t>habitual residence</w:t>
      </w:r>
      <w:r w:rsidRPr="0028108F">
        <w:rPr>
          <w:rFonts w:ascii="Arial" w:hAnsi="Arial" w:cs="Arial"/>
          <w:szCs w:val="24"/>
          <w:lang w:val="en-GB"/>
        </w:rPr>
        <w:t>, has emerged to tackle the conflict of laws conundrum.</w:t>
      </w:r>
      <w:r w:rsidRPr="00181CF2">
        <w:rPr>
          <w:rStyle w:val="FootnoteReference"/>
          <w:rFonts w:ascii="Arial" w:hAnsi="Arial" w:cs="Arial"/>
          <w:szCs w:val="24"/>
          <w:lang w:val="en-GB"/>
        </w:rPr>
        <w:footnoteReference w:id="669"/>
      </w:r>
      <w:r w:rsidRPr="00181CF2">
        <w:rPr>
          <w:rFonts w:ascii="Arial" w:hAnsi="Arial" w:cs="Arial"/>
          <w:szCs w:val="24"/>
          <w:lang w:val="en-GB"/>
        </w:rPr>
        <w:t xml:space="preserve">  </w:t>
      </w:r>
    </w:p>
    <w:p w:rsidR="00E773F6" w:rsidRPr="00C57CE1" w:rsidRDefault="00E773F6" w:rsidP="00E773F6">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The test of</w:t>
      </w:r>
      <w:r w:rsidRPr="0028108F">
        <w:rPr>
          <w:rFonts w:ascii="Arial" w:hAnsi="Arial" w:cs="Arial"/>
          <w:szCs w:val="24"/>
          <w:lang w:val="en-GB"/>
        </w:rPr>
        <w:t xml:space="preserve"> appropriateness underlying choice of law may vary </w:t>
      </w:r>
      <w:r w:rsidR="00CB213A" w:rsidRPr="0028108F">
        <w:rPr>
          <w:rFonts w:ascii="Arial" w:hAnsi="Arial" w:cs="Arial"/>
          <w:szCs w:val="24"/>
          <w:lang w:val="en-GB"/>
        </w:rPr>
        <w:t>depending on</w:t>
      </w:r>
      <w:r w:rsidRPr="0028108F">
        <w:rPr>
          <w:rFonts w:ascii="Arial" w:hAnsi="Arial" w:cs="Arial"/>
          <w:szCs w:val="24"/>
          <w:lang w:val="en-GB"/>
        </w:rPr>
        <w:t xml:space="preserve"> different purposes to which the connecting factor is being employed,</w:t>
      </w:r>
      <w:r w:rsidR="00CB213A" w:rsidRPr="0028108F">
        <w:rPr>
          <w:rFonts w:ascii="Arial" w:hAnsi="Arial" w:cs="Arial"/>
          <w:szCs w:val="24"/>
          <w:lang w:val="en-GB"/>
        </w:rPr>
        <w:t xml:space="preserve"> and</w:t>
      </w:r>
      <w:r w:rsidRPr="0028108F">
        <w:rPr>
          <w:rFonts w:ascii="Arial" w:hAnsi="Arial" w:cs="Arial"/>
          <w:szCs w:val="24"/>
          <w:lang w:val="en-GB"/>
        </w:rPr>
        <w:t xml:space="preserve"> it has been noted that different degrees of connection might be appropriate for different areas of personal law.</w:t>
      </w:r>
      <w:r w:rsidRPr="00181CF2">
        <w:rPr>
          <w:rStyle w:val="FootnoteReference"/>
          <w:rFonts w:ascii="Arial" w:hAnsi="Arial" w:cs="Arial"/>
          <w:szCs w:val="24"/>
          <w:lang w:val="en-GB"/>
        </w:rPr>
        <w:footnoteReference w:id="670"/>
      </w:r>
      <w:r w:rsidRPr="00181CF2">
        <w:rPr>
          <w:rFonts w:ascii="Arial" w:hAnsi="Arial" w:cs="Arial"/>
          <w:szCs w:val="24"/>
          <w:lang w:val="en-GB"/>
        </w:rPr>
        <w:t xml:space="preserve">  For example, in relation to the formal val</w:t>
      </w:r>
      <w:r w:rsidRPr="00C57CE1">
        <w:rPr>
          <w:rFonts w:ascii="Arial" w:hAnsi="Arial" w:cs="Arial"/>
          <w:szCs w:val="24"/>
          <w:lang w:val="en-GB"/>
        </w:rPr>
        <w:t>idity of wills, policy considerations in favour of upholding the validity of wills might work against insisting on compliance with the law of the country to which a person most closely belongs.</w:t>
      </w:r>
      <w:r w:rsidRPr="00181CF2">
        <w:rPr>
          <w:rStyle w:val="FootnoteReference"/>
          <w:rFonts w:ascii="Arial" w:hAnsi="Arial" w:cs="Arial"/>
          <w:szCs w:val="24"/>
          <w:lang w:val="en-GB"/>
        </w:rPr>
        <w:footnoteReference w:id="671"/>
      </w:r>
    </w:p>
    <w:p w:rsidR="00E773F6" w:rsidRPr="00C57CE1" w:rsidRDefault="00E773F6" w:rsidP="00E773F6">
      <w:pPr>
        <w:pStyle w:val="ListParagraph"/>
        <w:tabs>
          <w:tab w:val="left" w:pos="1418"/>
        </w:tabs>
        <w:adjustRightInd w:val="0"/>
        <w:snapToGrid w:val="0"/>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noted earlier, common connecting factors adopted </w:t>
      </w:r>
      <w:r w:rsidR="00CB213A" w:rsidRPr="0028108F">
        <w:rPr>
          <w:rFonts w:ascii="Arial" w:hAnsi="Arial" w:cs="Arial"/>
          <w:szCs w:val="24"/>
          <w:lang w:val="en-GB"/>
        </w:rPr>
        <w:t xml:space="preserve">in the </w:t>
      </w:r>
      <w:r w:rsidRPr="0028108F">
        <w:rPr>
          <w:rFonts w:ascii="Arial" w:hAnsi="Arial" w:cs="Arial"/>
          <w:szCs w:val="24"/>
          <w:lang w:val="en-GB"/>
        </w:rPr>
        <w:t xml:space="preserve">jurisdictions’ gender recognition schemes examined in this study (see Annex </w:t>
      </w:r>
      <w:r w:rsidRPr="008813DE">
        <w:rPr>
          <w:rFonts w:ascii="Arial" w:hAnsi="Arial" w:cs="Arial"/>
          <w:szCs w:val="24"/>
          <w:lang w:val="en-GB"/>
        </w:rPr>
        <w:t>A</w:t>
      </w:r>
      <w:r w:rsidRPr="0028108F">
        <w:rPr>
          <w:rFonts w:ascii="Arial" w:hAnsi="Arial" w:cs="Arial"/>
          <w:szCs w:val="24"/>
          <w:lang w:val="en-GB"/>
        </w:rPr>
        <w:t xml:space="preserve"> and Annex </w:t>
      </w:r>
      <w:r w:rsidRPr="008813DE">
        <w:rPr>
          <w:rFonts w:ascii="Arial" w:hAnsi="Arial" w:cs="Arial"/>
          <w:szCs w:val="24"/>
          <w:lang w:val="en-GB"/>
        </w:rPr>
        <w:t>B</w:t>
      </w:r>
      <w:r w:rsidRPr="0028108F">
        <w:rPr>
          <w:rFonts w:ascii="Arial" w:hAnsi="Arial" w:cs="Arial"/>
          <w:szCs w:val="24"/>
          <w:lang w:val="en-GB"/>
        </w:rPr>
        <w:t xml:space="preserve"> of this Consultation Paper) include nationality, citizenship, residency and domicile.  </w:t>
      </w:r>
      <w:r w:rsidR="0082510A" w:rsidRPr="0028108F">
        <w:rPr>
          <w:rFonts w:ascii="Arial" w:hAnsi="Arial" w:cs="Arial"/>
          <w:szCs w:val="24"/>
          <w:lang w:val="en-GB"/>
        </w:rPr>
        <w:t xml:space="preserve">In Hong Kong, the concepts of </w:t>
      </w:r>
      <w:r w:rsidR="0082510A" w:rsidRPr="0028108F">
        <w:rPr>
          <w:rFonts w:ascii="Arial" w:hAnsi="Arial" w:cs="Arial"/>
          <w:i/>
          <w:szCs w:val="24"/>
          <w:lang w:val="en-GB"/>
        </w:rPr>
        <w:t>“permanent residents”</w:t>
      </w:r>
      <w:r w:rsidR="0082510A" w:rsidRPr="0028108F">
        <w:rPr>
          <w:rFonts w:ascii="Arial" w:hAnsi="Arial" w:cs="Arial"/>
          <w:szCs w:val="24"/>
          <w:lang w:val="en-GB"/>
        </w:rPr>
        <w:t xml:space="preserve"> and </w:t>
      </w:r>
      <w:r w:rsidR="0082510A" w:rsidRPr="0028108F">
        <w:rPr>
          <w:rFonts w:ascii="Arial" w:hAnsi="Arial" w:cs="Arial"/>
          <w:i/>
          <w:szCs w:val="24"/>
          <w:lang w:val="en-GB"/>
        </w:rPr>
        <w:t>“non-permanent residents”</w:t>
      </w:r>
      <w:r w:rsidR="0082510A" w:rsidRPr="0028108F">
        <w:rPr>
          <w:rFonts w:ascii="Arial" w:hAnsi="Arial" w:cs="Arial"/>
          <w:szCs w:val="24"/>
          <w:lang w:val="en-GB"/>
        </w:rPr>
        <w:t xml:space="preserve"> are also important connecting factors.  </w:t>
      </w:r>
      <w:r w:rsidRPr="00181CF2">
        <w:rPr>
          <w:rFonts w:ascii="Arial" w:hAnsi="Arial" w:cs="Arial"/>
          <w:szCs w:val="24"/>
          <w:lang w:val="en-GB"/>
        </w:rPr>
        <w:t xml:space="preserve">The following paragraphs set out </w:t>
      </w:r>
      <w:r w:rsidR="002F6D9B" w:rsidRPr="00C57CE1">
        <w:rPr>
          <w:rFonts w:ascii="Arial" w:hAnsi="Arial" w:cs="Arial"/>
          <w:szCs w:val="24"/>
          <w:lang w:val="en-GB"/>
        </w:rPr>
        <w:t xml:space="preserve">the </w:t>
      </w:r>
      <w:r w:rsidRPr="0028108F">
        <w:rPr>
          <w:rFonts w:ascii="Arial" w:hAnsi="Arial" w:cs="Arial"/>
          <w:szCs w:val="24"/>
          <w:lang w:val="en-GB"/>
        </w:rPr>
        <w:t xml:space="preserve">general principles relating to these connecting factors and their applicability under various Hong Kong laws, with a view to help determine which connecting factor(s) may be the most suitable for a gender recognition scheme in Hong Kong. </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E773F6" w:rsidP="00E773F6">
      <w:pPr>
        <w:tabs>
          <w:tab w:val="left" w:pos="1418"/>
        </w:tabs>
        <w:adjustRightInd w:val="0"/>
        <w:snapToGrid w:val="0"/>
        <w:rPr>
          <w:rFonts w:ascii="Arial" w:hAnsi="Arial" w:cs="Arial"/>
          <w:i/>
          <w:szCs w:val="24"/>
          <w:lang w:val="en-GB"/>
        </w:rPr>
      </w:pPr>
      <w:r w:rsidRPr="0028108F">
        <w:rPr>
          <w:rFonts w:ascii="Arial" w:hAnsi="Arial" w:cs="Arial"/>
          <w:i/>
          <w:szCs w:val="24"/>
          <w:lang w:val="en-GB"/>
        </w:rPr>
        <w:t>Domicile</w:t>
      </w:r>
    </w:p>
    <w:p w:rsidR="00E773F6" w:rsidRPr="0028108F" w:rsidRDefault="00E773F6" w:rsidP="00E773F6">
      <w:pPr>
        <w:tabs>
          <w:tab w:val="left" w:pos="1418"/>
        </w:tabs>
        <w:adjustRightInd w:val="0"/>
        <w:snapToGrid w:val="0"/>
        <w:rPr>
          <w:rFonts w:ascii="Arial" w:hAnsi="Arial" w:cs="Arial"/>
          <w:i/>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English law, </w:t>
      </w:r>
      <w:r w:rsidR="00C74FF0" w:rsidRPr="0028108F">
        <w:rPr>
          <w:rFonts w:ascii="Arial" w:hAnsi="Arial" w:cs="Arial"/>
          <w:szCs w:val="24"/>
          <w:lang w:val="en-GB"/>
        </w:rPr>
        <w:t>“</w:t>
      </w:r>
      <w:r w:rsidRPr="0028108F">
        <w:rPr>
          <w:rFonts w:ascii="Arial" w:hAnsi="Arial" w:cs="Arial"/>
          <w:i/>
          <w:szCs w:val="24"/>
          <w:lang w:val="en-GB"/>
        </w:rPr>
        <w:t>domicile</w:t>
      </w:r>
      <w:r w:rsidR="00C74FF0" w:rsidRPr="0028108F">
        <w:rPr>
          <w:rFonts w:ascii="Arial" w:hAnsi="Arial" w:cs="Arial"/>
          <w:i/>
          <w:szCs w:val="24"/>
          <w:lang w:val="en-GB"/>
        </w:rPr>
        <w:t>”</w:t>
      </w:r>
      <w:r w:rsidRPr="00181CF2">
        <w:rPr>
          <w:rFonts w:ascii="Arial" w:hAnsi="Arial" w:cs="Arial"/>
          <w:szCs w:val="24"/>
          <w:lang w:val="en-GB"/>
        </w:rPr>
        <w:t xml:space="preserve"> generally means </w:t>
      </w:r>
      <w:r w:rsidRPr="00C57CE1">
        <w:rPr>
          <w:rFonts w:ascii="Arial" w:hAnsi="Arial" w:cs="Arial"/>
          <w:i/>
          <w:szCs w:val="24"/>
          <w:lang w:val="en-GB"/>
        </w:rPr>
        <w:t xml:space="preserve">“the place or country which is </w:t>
      </w:r>
      <w:r w:rsidRPr="0028108F">
        <w:rPr>
          <w:rFonts w:ascii="Arial" w:hAnsi="Arial" w:cs="Arial"/>
          <w:szCs w:val="24"/>
          <w:lang w:val="en-GB"/>
        </w:rPr>
        <w:t>considered</w:t>
      </w:r>
      <w:r w:rsidRPr="0028108F">
        <w:rPr>
          <w:rFonts w:ascii="Arial" w:hAnsi="Arial" w:cs="Arial"/>
          <w:i/>
          <w:szCs w:val="24"/>
          <w:lang w:val="en-GB"/>
        </w:rPr>
        <w:t xml:space="preserve"> by law to be a person</w:t>
      </w:r>
      <w:r w:rsidR="00C74FF0" w:rsidRPr="0028108F">
        <w:rPr>
          <w:rFonts w:ascii="Arial" w:hAnsi="Arial" w:cs="Arial"/>
          <w:i/>
          <w:szCs w:val="24"/>
          <w:lang w:val="en-GB"/>
        </w:rPr>
        <w:t>’</w:t>
      </w:r>
      <w:r w:rsidRPr="0028108F">
        <w:rPr>
          <w:rFonts w:ascii="Arial" w:hAnsi="Arial" w:cs="Arial"/>
          <w:i/>
          <w:szCs w:val="24"/>
          <w:lang w:val="en-GB"/>
        </w:rPr>
        <w:t>s permanent home.”</w:t>
      </w:r>
      <w:r w:rsidRPr="00181CF2">
        <w:rPr>
          <w:rStyle w:val="FootnoteReference"/>
          <w:rFonts w:ascii="Arial" w:hAnsi="Arial" w:cs="Arial"/>
          <w:szCs w:val="24"/>
          <w:lang w:val="en-GB"/>
        </w:rPr>
        <w:footnoteReference w:id="672"/>
      </w:r>
      <w:r w:rsidRPr="00181CF2">
        <w:rPr>
          <w:rFonts w:ascii="Arial" w:hAnsi="Arial" w:cs="Arial"/>
          <w:szCs w:val="24"/>
          <w:lang w:val="en-GB"/>
        </w:rPr>
        <w:t xml:space="preserve">  This remains of considerable significance in Hong Kong conflict of laws.</w:t>
      </w:r>
      <w:r w:rsidRPr="00181CF2">
        <w:rPr>
          <w:rStyle w:val="FootnoteReference"/>
          <w:rFonts w:ascii="Arial" w:hAnsi="Arial" w:cs="Arial"/>
          <w:szCs w:val="24"/>
          <w:lang w:val="en-GB"/>
        </w:rPr>
        <w:footnoteReference w:id="673"/>
      </w:r>
      <w:r w:rsidRPr="00181CF2">
        <w:rPr>
          <w:rFonts w:ascii="Arial" w:hAnsi="Arial" w:cs="Arial"/>
          <w:szCs w:val="24"/>
          <w:lang w:val="en-GB"/>
        </w:rPr>
        <w:t xml:space="preserve">  In contrast, </w:t>
      </w:r>
      <w:r w:rsidR="00C74FF0" w:rsidRPr="00C57CE1">
        <w:rPr>
          <w:rFonts w:ascii="Arial" w:hAnsi="Arial" w:cs="Arial"/>
          <w:szCs w:val="24"/>
          <w:lang w:val="en-GB"/>
        </w:rPr>
        <w:t>“</w:t>
      </w:r>
      <w:r w:rsidRPr="0028108F">
        <w:rPr>
          <w:rFonts w:ascii="Arial" w:hAnsi="Arial" w:cs="Arial"/>
          <w:i/>
          <w:szCs w:val="24"/>
          <w:lang w:val="en-GB"/>
        </w:rPr>
        <w:t>residence</w:t>
      </w:r>
      <w:r w:rsidR="00C74FF0" w:rsidRPr="0028108F">
        <w:rPr>
          <w:rFonts w:ascii="Arial" w:hAnsi="Arial" w:cs="Arial"/>
          <w:i/>
          <w:szCs w:val="24"/>
          <w:lang w:val="en-GB"/>
        </w:rPr>
        <w:t>”</w:t>
      </w:r>
      <w:r w:rsidRPr="0028108F">
        <w:rPr>
          <w:rFonts w:ascii="Arial" w:hAnsi="Arial" w:cs="Arial"/>
          <w:szCs w:val="24"/>
          <w:lang w:val="en-GB"/>
        </w:rPr>
        <w:t xml:space="preserve"> has a limited relevance in the conflict of laws, as it</w:t>
      </w:r>
      <w:r w:rsidR="00C74FF0" w:rsidRPr="0028108F">
        <w:rPr>
          <w:rFonts w:ascii="Arial" w:hAnsi="Arial" w:cs="Arial"/>
          <w:szCs w:val="24"/>
          <w:lang w:val="en-GB"/>
        </w:rPr>
        <w:t xml:space="preserve">　</w:t>
      </w:r>
      <w:r w:rsidR="00C74FF0" w:rsidRPr="0028108F">
        <w:rPr>
          <w:rFonts w:ascii="Arial" w:hAnsi="Arial" w:cs="Arial"/>
          <w:szCs w:val="24"/>
          <w:lang w:val="en-GB"/>
        </w:rPr>
        <w:t>merely</w:t>
      </w:r>
      <w:r w:rsidRPr="00181CF2">
        <w:rPr>
          <w:rFonts w:ascii="Arial" w:hAnsi="Arial" w:cs="Arial"/>
          <w:szCs w:val="24"/>
          <w:lang w:val="en-GB"/>
        </w:rPr>
        <w:t xml:space="preserve"> requires more than a fleeting presence.</w:t>
      </w:r>
      <w:r w:rsidRPr="00181CF2">
        <w:rPr>
          <w:rStyle w:val="FootnoteReference"/>
          <w:rFonts w:ascii="Arial" w:hAnsi="Arial" w:cs="Arial"/>
          <w:szCs w:val="24"/>
          <w:lang w:val="en-GB"/>
        </w:rPr>
        <w:footnoteReference w:id="674"/>
      </w:r>
      <w:r w:rsidRPr="00181CF2">
        <w:rPr>
          <w:rFonts w:ascii="Arial" w:hAnsi="Arial" w:cs="Arial"/>
          <w:szCs w:val="24"/>
          <w:lang w:val="en-GB"/>
        </w:rPr>
        <w:t xml:space="preserve">  A person's nationality or foreign connection may be irrelevant to th</w:t>
      </w:r>
      <w:r w:rsidR="00C74FF0" w:rsidRPr="0028108F">
        <w:rPr>
          <w:rFonts w:ascii="Arial" w:hAnsi="Arial" w:cs="Arial"/>
          <w:szCs w:val="24"/>
          <w:lang w:val="en-GB"/>
        </w:rPr>
        <w:t>e</w:t>
      </w:r>
      <w:r w:rsidRPr="00181CF2">
        <w:rPr>
          <w:rFonts w:ascii="Arial" w:hAnsi="Arial" w:cs="Arial"/>
          <w:szCs w:val="24"/>
          <w:lang w:val="en-GB"/>
        </w:rPr>
        <w:t xml:space="preserve"> determination</w:t>
      </w:r>
      <w:r w:rsidR="00C74FF0" w:rsidRPr="0028108F">
        <w:rPr>
          <w:rFonts w:ascii="Arial" w:hAnsi="Arial" w:cs="Arial"/>
          <w:szCs w:val="24"/>
          <w:lang w:val="en-GB"/>
        </w:rPr>
        <w:t xml:space="preserve"> of </w:t>
      </w:r>
      <w:r w:rsidR="00C74FF0" w:rsidRPr="00181CF2">
        <w:rPr>
          <w:rFonts w:ascii="Arial" w:hAnsi="Arial" w:cs="Arial"/>
          <w:szCs w:val="24"/>
          <w:lang w:val="en-GB"/>
        </w:rPr>
        <w:t>“</w:t>
      </w:r>
      <w:r w:rsidR="00C74FF0" w:rsidRPr="0028108F">
        <w:rPr>
          <w:rFonts w:ascii="Arial" w:hAnsi="Arial" w:cs="Arial"/>
          <w:i/>
          <w:szCs w:val="24"/>
          <w:lang w:val="en-GB"/>
        </w:rPr>
        <w:t>domicile”</w:t>
      </w:r>
      <w:r w:rsidRPr="0028108F">
        <w:rPr>
          <w:rFonts w:ascii="Arial" w:hAnsi="Arial" w:cs="Arial"/>
          <w:i/>
          <w:szCs w:val="24"/>
          <w:lang w:val="en-GB"/>
        </w:rPr>
        <w:t>.</w:t>
      </w:r>
      <w:r w:rsidRPr="00181CF2">
        <w:rPr>
          <w:rFonts w:ascii="Arial" w:hAnsi="Arial" w:cs="Arial"/>
          <w:szCs w:val="24"/>
          <w:lang w:val="en-GB"/>
        </w:rPr>
        <w:t xml:space="preserve">  It is also recognised that domicile is largely defined by statute in Hong Kong.</w:t>
      </w:r>
      <w:r w:rsidRPr="00181CF2">
        <w:rPr>
          <w:rStyle w:val="FootnoteReference"/>
          <w:rFonts w:ascii="Arial" w:hAnsi="Arial" w:cs="Arial"/>
          <w:szCs w:val="24"/>
          <w:lang w:val="en-GB"/>
        </w:rPr>
        <w:footnoteReference w:id="675"/>
      </w:r>
    </w:p>
    <w:p w:rsidR="00E773F6" w:rsidRPr="00C57CE1"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The relevant Hong Kong legislation encapsulates the common law rule on domicile that every person must have only one domicile at a given time for a given purpose and the determination of domicile by the Hong Kong courts is a matter of Hong Kong law only.</w:t>
      </w:r>
      <w:r w:rsidRPr="00181CF2">
        <w:rPr>
          <w:rStyle w:val="FootnoteReference"/>
          <w:rFonts w:ascii="Arial" w:hAnsi="Arial" w:cs="Arial"/>
          <w:szCs w:val="24"/>
          <w:lang w:val="en-GB"/>
        </w:rPr>
        <w:footnoteReference w:id="676"/>
      </w:r>
      <w:r w:rsidRPr="00181CF2">
        <w:rPr>
          <w:rFonts w:ascii="Arial" w:hAnsi="Arial" w:cs="Arial"/>
          <w:szCs w:val="24"/>
          <w:lang w:val="en-GB"/>
        </w:rPr>
        <w:t xml:space="preserve">  </w:t>
      </w:r>
    </w:p>
    <w:p w:rsidR="00E773F6" w:rsidRPr="00C57CE1" w:rsidRDefault="00E773F6" w:rsidP="00E773F6">
      <w:pPr>
        <w:pStyle w:val="ListParagraph"/>
        <w:tabs>
          <w:tab w:val="left" w:pos="1418"/>
        </w:tabs>
        <w:adjustRightInd w:val="0"/>
        <w:snapToGrid w:val="0"/>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It is usual under the common law that the domicile of choice (ie, a self-acquired domicile by a person who chooses to replace his/her former domicile) in a jurisdiction could be acquired by residing there with the intention of settling there permanently or indefinitely, and the residence factor will be satisfied as soon as the person arrives.</w:t>
      </w:r>
      <w:r w:rsidRPr="00181CF2">
        <w:rPr>
          <w:rStyle w:val="FootnoteReference"/>
          <w:rFonts w:ascii="Arial" w:hAnsi="Arial" w:cs="Arial"/>
          <w:szCs w:val="24"/>
          <w:lang w:val="en-GB"/>
        </w:rPr>
        <w:footnoteReference w:id="677"/>
      </w:r>
      <w:r w:rsidRPr="00181CF2">
        <w:rPr>
          <w:rFonts w:ascii="Arial" w:hAnsi="Arial" w:cs="Arial"/>
          <w:szCs w:val="24"/>
          <w:lang w:val="en-GB"/>
        </w:rPr>
        <w:t xml:space="preserve">  Hong Kong’s situation differs in that section 5(2) of Domicile Ordinance (Cap 596) requires, in order to qualify as the </w:t>
      </w:r>
      <w:r w:rsidRPr="0028108F">
        <w:rPr>
          <w:rFonts w:ascii="Arial" w:hAnsi="Arial" w:cs="Arial"/>
          <w:szCs w:val="24"/>
          <w:lang w:val="en-GB"/>
        </w:rPr>
        <w:t>“</w:t>
      </w:r>
      <w:r w:rsidRPr="00181CF2">
        <w:rPr>
          <w:rFonts w:ascii="Arial" w:hAnsi="Arial" w:cs="Arial"/>
          <w:i/>
          <w:szCs w:val="24"/>
          <w:lang w:val="en-GB"/>
        </w:rPr>
        <w:t>domicile</w:t>
      </w:r>
      <w:r w:rsidRPr="0028108F">
        <w:rPr>
          <w:rFonts w:ascii="Arial" w:hAnsi="Arial" w:cs="Arial"/>
          <w:szCs w:val="24"/>
          <w:lang w:val="en-GB"/>
        </w:rPr>
        <w:t>”</w:t>
      </w:r>
      <w:r w:rsidRPr="00181CF2">
        <w:rPr>
          <w:rFonts w:ascii="Arial" w:hAnsi="Arial" w:cs="Arial"/>
          <w:szCs w:val="24"/>
          <w:lang w:val="en-GB"/>
        </w:rPr>
        <w:t xml:space="preserve"> of an adult, presence in Hong Kong and an intention</w:t>
      </w:r>
      <w:r w:rsidRPr="00C57CE1">
        <w:rPr>
          <w:rFonts w:ascii="Arial" w:hAnsi="Arial" w:cs="Arial"/>
          <w:szCs w:val="24"/>
          <w:lang w:val="en-GB"/>
        </w:rPr>
        <w:t xml:space="preserve"> “</w:t>
      </w:r>
      <w:r w:rsidRPr="0028108F">
        <w:rPr>
          <w:rFonts w:ascii="Arial" w:hAnsi="Arial" w:cs="Arial"/>
          <w:i/>
          <w:szCs w:val="24"/>
          <w:lang w:val="en-GB"/>
        </w:rPr>
        <w:t xml:space="preserve">to make a home [in Hong Kong] for an indefinite period”, </w:t>
      </w:r>
      <w:r w:rsidRPr="0028108F">
        <w:rPr>
          <w:rFonts w:ascii="Arial" w:hAnsi="Arial" w:cs="Arial"/>
          <w:szCs w:val="24"/>
          <w:lang w:val="en-GB"/>
        </w:rPr>
        <w:t xml:space="preserve">where the apparent difference is that the statutory requirement of </w:t>
      </w:r>
      <w:r w:rsidRPr="0028108F">
        <w:rPr>
          <w:rFonts w:ascii="Arial" w:hAnsi="Arial" w:cs="Arial"/>
          <w:i/>
          <w:szCs w:val="24"/>
          <w:lang w:val="en-GB"/>
        </w:rPr>
        <w:t>“presence”</w:t>
      </w:r>
      <w:r w:rsidRPr="0028108F">
        <w:rPr>
          <w:rFonts w:ascii="Arial" w:hAnsi="Arial" w:cs="Arial"/>
          <w:szCs w:val="24"/>
          <w:lang w:val="en-GB"/>
        </w:rPr>
        <w:t xml:space="preserve"> may be marginally easier to show than the common law requirement of </w:t>
      </w:r>
      <w:r w:rsidRPr="0028108F">
        <w:rPr>
          <w:rFonts w:ascii="Arial" w:hAnsi="Arial" w:cs="Arial"/>
          <w:i/>
          <w:szCs w:val="24"/>
          <w:lang w:val="en-GB"/>
        </w:rPr>
        <w:t>“actual residence”</w:t>
      </w:r>
      <w:r w:rsidRPr="0028108F">
        <w:rPr>
          <w:rFonts w:ascii="Arial" w:hAnsi="Arial" w:cs="Arial"/>
          <w:szCs w:val="24"/>
          <w:lang w:val="en-GB"/>
        </w:rPr>
        <w:t>.</w:t>
      </w:r>
      <w:r w:rsidRPr="00181CF2">
        <w:rPr>
          <w:rStyle w:val="FootnoteReference"/>
          <w:rFonts w:ascii="Arial" w:hAnsi="Arial" w:cs="Arial"/>
          <w:szCs w:val="24"/>
          <w:lang w:val="en-GB"/>
        </w:rPr>
        <w:footnoteReference w:id="678"/>
      </w:r>
      <w:r w:rsidRPr="00181CF2">
        <w:rPr>
          <w:rFonts w:ascii="Arial" w:hAnsi="Arial" w:cs="Arial"/>
          <w:szCs w:val="24"/>
          <w:lang w:val="en-GB"/>
        </w:rPr>
        <w:t xml:space="preserve">  Yet the requisite intention t</w:t>
      </w:r>
      <w:r w:rsidRPr="00C57CE1">
        <w:rPr>
          <w:rFonts w:ascii="Arial" w:hAnsi="Arial" w:cs="Arial"/>
          <w:szCs w:val="24"/>
          <w:lang w:val="en-GB"/>
        </w:rPr>
        <w:t>o remain permanently or indefinitely is likely to lead to disputes because, from the legal point of view, it is imprecise and may be difficult to prove on the facts.</w:t>
      </w:r>
      <w:r w:rsidRPr="00C57CE1">
        <w:rPr>
          <w:rStyle w:val="FootnoteReference"/>
          <w:rFonts w:ascii="Arial" w:hAnsi="Arial" w:cs="Arial"/>
          <w:szCs w:val="24"/>
          <w:lang w:val="en-GB"/>
        </w:rPr>
        <w:t xml:space="preserve"> </w:t>
      </w:r>
      <w:r w:rsidRPr="0028108F">
        <w:rPr>
          <w:rStyle w:val="FootnoteReference"/>
          <w:rFonts w:ascii="Arial" w:hAnsi="Arial" w:cs="Arial"/>
          <w:szCs w:val="24"/>
          <w:lang w:val="en-GB"/>
        </w:rPr>
        <w:footnoteReference w:id="679"/>
      </w:r>
      <w:r w:rsidRPr="0028108F">
        <w:rPr>
          <w:rFonts w:ascii="Arial" w:hAnsi="Arial" w:cs="Arial"/>
          <w:szCs w:val="24"/>
          <w:lang w:val="en-GB"/>
        </w:rPr>
        <w:t xml:space="preserve">  The onus of proving any change of domicile may be difficult to discharge as there is a very wide range of facts that could be relevant: eg, quality of residence, change of nationality, purchase of a flat or tent</w:t>
      </w:r>
      <w:r w:rsidR="0078507B" w:rsidRPr="0028108F">
        <w:rPr>
          <w:rFonts w:ascii="Arial" w:hAnsi="Arial" w:cs="Arial"/>
          <w:szCs w:val="24"/>
          <w:lang w:val="en-GB"/>
        </w:rPr>
        <w:t>ed</w:t>
      </w:r>
      <w:r w:rsidRPr="0028108F">
        <w:rPr>
          <w:rFonts w:ascii="Arial" w:hAnsi="Arial" w:cs="Arial"/>
          <w:szCs w:val="24"/>
          <w:lang w:val="en-GB"/>
        </w:rPr>
        <w:t xml:space="preserve"> accommodation, family ties, etc.</w:t>
      </w:r>
      <w:r w:rsidRPr="0028108F">
        <w:rPr>
          <w:rStyle w:val="FootnoteReference"/>
          <w:rFonts w:ascii="Arial" w:hAnsi="Arial" w:cs="Arial"/>
          <w:szCs w:val="24"/>
          <w:lang w:val="en-GB"/>
        </w:rPr>
        <w:footnoteReference w:id="680"/>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Domicile of children under 18 years old has different requirements than that of adults in Hong Kong.  The domicile of a child in question must be the country or territory with which he or she is “</w:t>
      </w:r>
      <w:r w:rsidRPr="0028108F">
        <w:rPr>
          <w:rFonts w:ascii="Arial" w:hAnsi="Arial" w:cs="Arial"/>
          <w:i/>
          <w:szCs w:val="24"/>
          <w:lang w:val="en-GB"/>
        </w:rPr>
        <w:t>for the time being most closely connected</w:t>
      </w:r>
      <w:r w:rsidRPr="0028108F">
        <w:rPr>
          <w:rFonts w:ascii="Arial" w:hAnsi="Arial" w:cs="Arial"/>
          <w:szCs w:val="24"/>
          <w:lang w:val="en-GB"/>
        </w:rPr>
        <w:t>”.</w:t>
      </w:r>
      <w:r w:rsidRPr="0028108F">
        <w:rPr>
          <w:rStyle w:val="FootnoteReference"/>
          <w:rFonts w:ascii="Arial" w:hAnsi="Arial" w:cs="Arial"/>
          <w:szCs w:val="24"/>
          <w:lang w:val="en-GB"/>
        </w:rPr>
        <w:footnoteReference w:id="681"/>
      </w:r>
      <w:r w:rsidRPr="0028108F">
        <w:rPr>
          <w:rFonts w:ascii="Arial" w:hAnsi="Arial" w:cs="Arial"/>
          <w:szCs w:val="24"/>
          <w:lang w:val="en-GB"/>
        </w:rPr>
        <w:t xml:space="preserve">  </w:t>
      </w: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the UK, it was noted that the nature of the subject matter before the court would likely influence the court’s interpretation of the rules on domicile.  For example, in </w:t>
      </w:r>
      <w:r w:rsidRPr="0028108F">
        <w:rPr>
          <w:rFonts w:ascii="Arial" w:hAnsi="Arial" w:cs="Arial"/>
          <w:i/>
          <w:szCs w:val="24"/>
          <w:lang w:val="en-GB"/>
        </w:rPr>
        <w:t>Ramsay v Liverpool Royal Infirmary,</w:t>
      </w:r>
      <w:r w:rsidRPr="0028108F">
        <w:rPr>
          <w:rStyle w:val="FootnoteReference"/>
          <w:rFonts w:ascii="Arial" w:hAnsi="Arial" w:cs="Arial"/>
          <w:szCs w:val="24"/>
          <w:lang w:val="en-GB"/>
        </w:rPr>
        <w:footnoteReference w:id="682"/>
      </w:r>
      <w:r w:rsidRPr="0028108F">
        <w:rPr>
          <w:rFonts w:ascii="Arial" w:hAnsi="Arial" w:cs="Arial"/>
          <w:szCs w:val="24"/>
          <w:lang w:val="en-GB"/>
        </w:rPr>
        <w:t xml:space="preserve"> the deceased had been domiciled in Scotland before moving to Liverpool where he lived for the last 36 years of his life.  In determining the validity of his will (valid under Scottish law and invalid under English law), the House of Lords held that he was domiciled in Scotland, as the domicile of origin should not be lost unless a change of domicile has been proved beyond a mere balance of probabilities.</w:t>
      </w:r>
      <w:r w:rsidRPr="0028108F">
        <w:rPr>
          <w:rStyle w:val="FootnoteReference"/>
          <w:rFonts w:ascii="Arial" w:hAnsi="Arial" w:cs="Arial"/>
          <w:szCs w:val="24"/>
          <w:lang w:val="en-GB"/>
        </w:rPr>
        <w:footnoteReference w:id="683"/>
      </w:r>
      <w:r w:rsidRPr="0028108F">
        <w:rPr>
          <w:rFonts w:ascii="Arial" w:hAnsi="Arial" w:cs="Arial"/>
          <w:szCs w:val="24"/>
          <w:lang w:val="en-GB"/>
        </w:rPr>
        <w:t xml:space="preserve">  Arguably, if the issue had been the capacity of the person to marry or an issue of taxation, the court would have concluded that he was domiciled in England in light of the modern approaches to allowing a domicile of origin to be replaced by a domicile of choice.</w:t>
      </w:r>
      <w:r w:rsidRPr="0028108F">
        <w:rPr>
          <w:rStyle w:val="FootnoteReference"/>
          <w:rFonts w:ascii="Arial" w:hAnsi="Arial" w:cs="Arial"/>
          <w:szCs w:val="24"/>
          <w:lang w:val="en-GB"/>
        </w:rPr>
        <w:footnoteReference w:id="684"/>
      </w:r>
      <w:r w:rsidRPr="0028108F">
        <w:rPr>
          <w:rFonts w:ascii="Arial" w:hAnsi="Arial" w:cs="Arial"/>
          <w:szCs w:val="24"/>
          <w:lang w:val="en-GB"/>
        </w:rPr>
        <w:t xml:space="preserve"> </w:t>
      </w:r>
      <w:r w:rsidRPr="0028108F">
        <w:rPr>
          <w:rFonts w:ascii="Arial" w:hAnsi="Arial" w:cs="Arial"/>
          <w:color w:val="FF0000"/>
          <w:szCs w:val="24"/>
          <w:lang w:val="en-GB"/>
        </w:rPr>
        <w:t xml:space="preserve"> </w:t>
      </w:r>
      <w:r w:rsidRPr="0028108F">
        <w:rPr>
          <w:rFonts w:ascii="Arial" w:hAnsi="Arial" w:cs="Arial"/>
          <w:color w:val="000000" w:themeColor="text1"/>
          <w:szCs w:val="24"/>
          <w:lang w:val="en-GB"/>
        </w:rPr>
        <w:t xml:space="preserve">With regard to gender recognition, policy considerations could vary in different jurisdictions or vary in the same jurisdiction over different periods of time.  </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p>
    <w:p w:rsidR="00DD3AE7" w:rsidRPr="0028108F" w:rsidRDefault="00DD3AE7" w:rsidP="00DD3AE7">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r w:rsidRPr="0028108F">
        <w:rPr>
          <w:rFonts w:ascii="Arial" w:hAnsi="Arial" w:cs="Arial"/>
          <w:i/>
          <w:szCs w:val="24"/>
          <w:lang w:val="en-GB"/>
        </w:rPr>
        <w:t>Nationality</w:t>
      </w:r>
    </w:p>
    <w:p w:rsidR="00DD3AE7" w:rsidRPr="0028108F" w:rsidRDefault="00DD3AE7" w:rsidP="00DD3AE7">
      <w:pPr>
        <w:pStyle w:val="ListParagraph"/>
        <w:tabs>
          <w:tab w:val="left" w:pos="1418"/>
        </w:tabs>
        <w:adjustRightInd w:val="0"/>
        <w:snapToGrid w:val="0"/>
        <w:rPr>
          <w:rFonts w:ascii="Arial" w:hAnsi="Arial" w:cs="Arial"/>
          <w:szCs w:val="24"/>
          <w:lang w:val="en-GB"/>
        </w:rPr>
      </w:pPr>
    </w:p>
    <w:p w:rsidR="00DD3AE7" w:rsidRPr="00181CF2" w:rsidRDefault="00DD3AE7" w:rsidP="00DD3AE7">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Nationality can be distinguished from domicile in that, while the former connects an individual to a state, the latter relates to a legal jurisdiction.  Further, a person can be stateless or have more than one nationality at the same time, he cannot be without a domicile and can only have a single domicile at any one time.</w:t>
      </w:r>
      <w:r w:rsidRPr="00181CF2">
        <w:rPr>
          <w:rStyle w:val="FootnoteReference"/>
          <w:rFonts w:ascii="Arial" w:hAnsi="Arial" w:cs="Arial"/>
          <w:szCs w:val="24"/>
          <w:lang w:val="en-GB"/>
        </w:rPr>
        <w:footnoteReference w:id="685"/>
      </w:r>
    </w:p>
    <w:p w:rsidR="00DD3AE7" w:rsidRPr="00C57CE1" w:rsidRDefault="00DD3AE7" w:rsidP="00DD3AE7">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DD3AE7" w:rsidRPr="00C57CE1" w:rsidRDefault="00DD3AE7" w:rsidP="00B30CA3">
      <w:pPr>
        <w:pStyle w:val="ListParagraph"/>
        <w:numPr>
          <w:ilvl w:val="0"/>
          <w:numId w:val="104"/>
        </w:numPr>
        <w:tabs>
          <w:tab w:val="left" w:pos="1418"/>
          <w:tab w:val="left" w:pos="2552"/>
        </w:tabs>
        <w:adjustRightInd w:val="0"/>
        <w:snapToGrid w:val="0"/>
        <w:ind w:leftChars="0" w:left="0" w:firstLine="0"/>
        <w:jc w:val="both"/>
        <w:rPr>
          <w:rFonts w:ascii="Arial" w:hAnsi="Arial" w:cs="Arial"/>
          <w:i/>
          <w:szCs w:val="24"/>
          <w:lang w:val="en-GB"/>
        </w:rPr>
      </w:pPr>
      <w:r w:rsidRPr="0028108F">
        <w:rPr>
          <w:rFonts w:ascii="Arial" w:hAnsi="Arial" w:cs="Arial"/>
          <w:szCs w:val="24"/>
          <w:lang w:val="en-GB"/>
        </w:rPr>
        <w:t xml:space="preserve">In most civil law systems, the test of </w:t>
      </w:r>
      <w:r w:rsidRPr="0028108F">
        <w:rPr>
          <w:rFonts w:ascii="Arial" w:hAnsi="Arial" w:cs="Arial"/>
          <w:i/>
          <w:szCs w:val="24"/>
          <w:lang w:val="en-GB"/>
        </w:rPr>
        <w:t>“belonging”</w:t>
      </w:r>
      <w:r w:rsidRPr="0028108F">
        <w:rPr>
          <w:rFonts w:ascii="Arial" w:hAnsi="Arial" w:cs="Arial"/>
          <w:szCs w:val="24"/>
          <w:lang w:val="en-GB"/>
        </w:rPr>
        <w:t xml:space="preserve"> to a country for conflict of laws purposes is </w:t>
      </w:r>
      <w:r w:rsidRPr="0028108F">
        <w:rPr>
          <w:rFonts w:ascii="Arial" w:hAnsi="Arial" w:cs="Arial"/>
          <w:i/>
          <w:szCs w:val="24"/>
          <w:lang w:val="en-GB"/>
        </w:rPr>
        <w:t>“nationality”</w:t>
      </w:r>
      <w:r w:rsidRPr="0028108F">
        <w:rPr>
          <w:rFonts w:ascii="Arial" w:hAnsi="Arial" w:cs="Arial"/>
          <w:szCs w:val="24"/>
          <w:lang w:val="en-GB"/>
        </w:rPr>
        <w:t>, which is of extremely limited use in England as a connecting factor.  It has been observed that nationality also has in general no direct relevance in conflict of laws in Hong Kong.</w:t>
      </w:r>
      <w:r w:rsidRPr="00181CF2">
        <w:rPr>
          <w:rStyle w:val="FootnoteReference"/>
          <w:rFonts w:ascii="Arial" w:hAnsi="Arial" w:cs="Arial"/>
          <w:szCs w:val="24"/>
          <w:lang w:val="en-GB"/>
        </w:rPr>
        <w:footnoteReference w:id="686"/>
      </w:r>
      <w:r w:rsidRPr="00181CF2">
        <w:rPr>
          <w:rFonts w:ascii="Arial" w:hAnsi="Arial" w:cs="Arial"/>
          <w:szCs w:val="24"/>
          <w:lang w:val="en-GB"/>
        </w:rPr>
        <w:t xml:space="preserve">  </w:t>
      </w:r>
    </w:p>
    <w:p w:rsidR="00DD3AE7" w:rsidRPr="0028108F" w:rsidRDefault="00DD3AE7" w:rsidP="00E773F6">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p>
    <w:p w:rsidR="00E773F6" w:rsidRPr="00181CF2"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r w:rsidRPr="0028108F">
        <w:rPr>
          <w:rFonts w:ascii="Arial" w:hAnsi="Arial" w:cs="Arial"/>
          <w:i/>
          <w:szCs w:val="24"/>
          <w:lang w:val="en-GB"/>
        </w:rPr>
        <w:t>Ordinary residence</w:t>
      </w:r>
      <w:r w:rsidR="000F2383" w:rsidRPr="0028108F">
        <w:rPr>
          <w:rFonts w:ascii="Arial" w:hAnsi="Arial" w:cs="Arial"/>
          <w:i/>
          <w:szCs w:val="24"/>
          <w:lang w:val="en-GB"/>
        </w:rPr>
        <w:t xml:space="preserve"> and permanent residence</w:t>
      </w:r>
    </w:p>
    <w:p w:rsidR="00E773F6" w:rsidRPr="00C57CE1"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p>
    <w:p w:rsidR="00984639"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w:t>
      </w:r>
      <w:r w:rsidRPr="00181CF2">
        <w:rPr>
          <w:rFonts w:ascii="Arial" w:hAnsi="Arial" w:cs="Arial"/>
          <w:i/>
          <w:szCs w:val="24"/>
          <w:lang w:val="en-GB"/>
        </w:rPr>
        <w:t>Ordinary residence</w:t>
      </w:r>
      <w:r w:rsidRPr="0028108F">
        <w:rPr>
          <w:rFonts w:ascii="Arial" w:hAnsi="Arial" w:cs="Arial"/>
          <w:szCs w:val="24"/>
          <w:lang w:val="en-GB"/>
        </w:rPr>
        <w:t>”</w:t>
      </w:r>
      <w:r w:rsidRPr="00181CF2">
        <w:rPr>
          <w:rFonts w:ascii="Arial" w:hAnsi="Arial" w:cs="Arial"/>
          <w:szCs w:val="24"/>
          <w:lang w:val="en-GB"/>
        </w:rPr>
        <w:t xml:space="preserve"> is connected to various i</w:t>
      </w:r>
      <w:r w:rsidRPr="00C57CE1">
        <w:rPr>
          <w:rFonts w:ascii="Arial" w:hAnsi="Arial" w:cs="Arial"/>
          <w:szCs w:val="24"/>
          <w:lang w:val="en-GB"/>
        </w:rPr>
        <w:t>ssues in the Hong Kong conflict of laws,</w:t>
      </w:r>
      <w:r w:rsidRPr="00181CF2">
        <w:rPr>
          <w:rStyle w:val="FootnoteReference"/>
          <w:rFonts w:ascii="Arial" w:hAnsi="Arial" w:cs="Arial"/>
          <w:szCs w:val="24"/>
          <w:lang w:val="en-GB"/>
        </w:rPr>
        <w:footnoteReference w:id="687"/>
      </w:r>
      <w:r w:rsidRPr="00181CF2">
        <w:rPr>
          <w:rFonts w:ascii="Arial" w:hAnsi="Arial" w:cs="Arial"/>
          <w:szCs w:val="24"/>
          <w:lang w:val="en-GB"/>
        </w:rPr>
        <w:t xml:space="preserve"> including but not limited to, being a factor in determining the application of Hong Kong anti-discrimination statutes</w:t>
      </w:r>
      <w:r w:rsidRPr="00181CF2">
        <w:rPr>
          <w:rStyle w:val="FootnoteReference"/>
          <w:rFonts w:ascii="Arial" w:hAnsi="Arial" w:cs="Arial"/>
          <w:szCs w:val="24"/>
          <w:lang w:val="en-GB"/>
        </w:rPr>
        <w:footnoteReference w:id="688"/>
      </w:r>
      <w:r w:rsidRPr="00181CF2">
        <w:rPr>
          <w:rFonts w:ascii="Arial" w:hAnsi="Arial" w:cs="Arial"/>
          <w:szCs w:val="24"/>
          <w:lang w:val="en-GB"/>
        </w:rPr>
        <w:t xml:space="preserve"> and as a basis of bankruptcy jurisdiction.</w:t>
      </w:r>
      <w:r w:rsidRPr="00181CF2">
        <w:rPr>
          <w:rStyle w:val="FootnoteReference"/>
          <w:rFonts w:ascii="Arial" w:hAnsi="Arial" w:cs="Arial"/>
          <w:szCs w:val="24"/>
          <w:lang w:val="en-GB"/>
        </w:rPr>
        <w:footnoteReference w:id="689"/>
      </w:r>
      <w:r w:rsidRPr="00181CF2">
        <w:rPr>
          <w:rFonts w:ascii="Arial" w:hAnsi="Arial" w:cs="Arial"/>
          <w:szCs w:val="24"/>
          <w:lang w:val="en-GB"/>
        </w:rPr>
        <w:t xml:space="preserve">  Lying at the heart of the interpretation is the pa</w:t>
      </w:r>
      <w:r w:rsidRPr="00C57CE1">
        <w:rPr>
          <w:rFonts w:ascii="Arial" w:hAnsi="Arial" w:cs="Arial"/>
          <w:szCs w:val="24"/>
          <w:lang w:val="en-GB"/>
        </w:rPr>
        <w:t xml:space="preserve">ssage in Lord Scarman’s speech in the </w:t>
      </w:r>
      <w:r w:rsidRPr="0028108F">
        <w:rPr>
          <w:rFonts w:ascii="Arial" w:hAnsi="Arial" w:cs="Arial"/>
          <w:i/>
          <w:szCs w:val="24"/>
          <w:lang w:val="en-GB"/>
        </w:rPr>
        <w:t>Shah</w:t>
      </w:r>
      <w:r w:rsidRPr="0028108F">
        <w:rPr>
          <w:rFonts w:ascii="Arial" w:hAnsi="Arial" w:cs="Arial"/>
          <w:szCs w:val="24"/>
          <w:lang w:val="en-GB"/>
        </w:rPr>
        <w:t xml:space="preserve"> case where he said: “</w:t>
      </w:r>
      <w:r w:rsidRPr="0028108F">
        <w:rPr>
          <w:rFonts w:ascii="Arial" w:hAnsi="Arial" w:cs="Arial"/>
          <w:i/>
          <w:szCs w:val="24"/>
          <w:lang w:val="en-GB"/>
        </w:rPr>
        <w:t>‘ordinarily resident’ refers to a person’s abode in a particular place which he has adopted voluntarily and for settled purposes as part of the regular order of his life for the time being, whether of short or of long duration.</w:t>
      </w:r>
      <w:r w:rsidRPr="0028108F">
        <w:rPr>
          <w:rFonts w:ascii="Arial" w:hAnsi="Arial" w:cs="Arial"/>
          <w:szCs w:val="24"/>
          <w:lang w:val="en-GB"/>
        </w:rPr>
        <w:t>”</w:t>
      </w:r>
      <w:r w:rsidRPr="00181CF2">
        <w:rPr>
          <w:rStyle w:val="FootnoteReference"/>
          <w:rFonts w:ascii="Arial" w:hAnsi="Arial" w:cs="Arial"/>
          <w:szCs w:val="24"/>
          <w:lang w:val="en-GB"/>
        </w:rPr>
        <w:footnoteReference w:id="690"/>
      </w:r>
      <w:r w:rsidRPr="00181CF2">
        <w:rPr>
          <w:rFonts w:ascii="Arial" w:hAnsi="Arial" w:cs="Arial"/>
          <w:szCs w:val="24"/>
          <w:lang w:val="en-GB"/>
        </w:rPr>
        <w:t xml:space="preserve"> </w:t>
      </w:r>
      <w:r w:rsidRPr="00C57CE1">
        <w:rPr>
          <w:rFonts w:ascii="Arial" w:hAnsi="Arial" w:cs="Arial"/>
          <w:lang w:val="en-GB"/>
        </w:rPr>
        <w:t xml:space="preserve"> </w:t>
      </w:r>
      <w:r w:rsidR="009E78FB" w:rsidRPr="0028108F">
        <w:rPr>
          <w:rFonts w:ascii="Arial" w:hAnsi="Arial" w:cs="Arial"/>
          <w:szCs w:val="24"/>
          <w:lang w:val="en-GB"/>
        </w:rPr>
        <w:t xml:space="preserve">This rule was applied by the Court of Appeal and Court of Final Appeal of Hong Kong to construe the term </w:t>
      </w:r>
      <w:r w:rsidR="009E78FB" w:rsidRPr="0028108F">
        <w:rPr>
          <w:rFonts w:ascii="Arial" w:hAnsi="Arial" w:cs="Arial"/>
          <w:i/>
          <w:szCs w:val="24"/>
          <w:lang w:val="en-GB"/>
        </w:rPr>
        <w:t>“ordinarily resident”</w:t>
      </w:r>
      <w:r w:rsidR="009E78FB" w:rsidRPr="0028108F">
        <w:rPr>
          <w:rFonts w:ascii="Arial" w:hAnsi="Arial" w:cs="Arial"/>
          <w:szCs w:val="24"/>
          <w:lang w:val="en-GB"/>
        </w:rPr>
        <w:t xml:space="preserve"> for the purposes of Immigration Ordinance</w:t>
      </w:r>
      <w:r w:rsidR="00D7285F">
        <w:rPr>
          <w:rFonts w:ascii="Arial" w:hAnsi="Arial" w:cs="Arial" w:hint="eastAsia"/>
          <w:szCs w:val="24"/>
          <w:lang w:val="en-GB"/>
        </w:rPr>
        <w:t xml:space="preserve"> (</w:t>
      </w:r>
      <w:r w:rsidR="009E78FB" w:rsidRPr="0028108F">
        <w:rPr>
          <w:rFonts w:ascii="Arial" w:hAnsi="Arial" w:cs="Arial"/>
          <w:szCs w:val="24"/>
          <w:lang w:val="en-GB"/>
        </w:rPr>
        <w:t>Cap 115</w:t>
      </w:r>
      <w:r w:rsidR="00D7285F">
        <w:rPr>
          <w:rFonts w:ascii="Arial" w:hAnsi="Arial" w:cs="Arial" w:hint="eastAsia"/>
          <w:szCs w:val="24"/>
          <w:lang w:val="en-GB"/>
        </w:rPr>
        <w:t>)</w:t>
      </w:r>
      <w:r w:rsidR="009E78FB" w:rsidRPr="0028108F">
        <w:rPr>
          <w:rFonts w:ascii="Arial" w:hAnsi="Arial" w:cs="Arial"/>
          <w:szCs w:val="24"/>
          <w:lang w:val="en-GB"/>
        </w:rPr>
        <w:t>.</w:t>
      </w:r>
      <w:r w:rsidR="009E78FB" w:rsidRPr="0028108F">
        <w:rPr>
          <w:rStyle w:val="FootnoteReference"/>
          <w:rFonts w:ascii="Arial" w:hAnsi="Arial" w:cs="Arial"/>
          <w:szCs w:val="24"/>
          <w:lang w:val="en-GB"/>
        </w:rPr>
        <w:footnoteReference w:id="691"/>
      </w:r>
    </w:p>
    <w:p w:rsidR="00984639" w:rsidRPr="0028108F" w:rsidRDefault="00984639"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Some indication of the approach for construing </w:t>
      </w:r>
      <w:r w:rsidRPr="0028108F">
        <w:rPr>
          <w:rFonts w:ascii="Arial" w:hAnsi="Arial" w:cs="Arial"/>
          <w:i/>
          <w:szCs w:val="24"/>
          <w:lang w:val="en-GB"/>
        </w:rPr>
        <w:t>“ordinarily resident”</w:t>
      </w:r>
      <w:r w:rsidRPr="0028108F">
        <w:rPr>
          <w:rFonts w:ascii="Arial" w:hAnsi="Arial" w:cs="Arial"/>
          <w:szCs w:val="24"/>
          <w:lang w:val="en-GB"/>
        </w:rPr>
        <w:t xml:space="preserve"> for the purpose of the Immigration Ordinance can be found in section 2(6), which provides that:</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28108F">
      <w:pPr>
        <w:snapToGrid w:val="0"/>
        <w:ind w:leftChars="354" w:left="851" w:rightChars="212" w:right="509" w:hanging="1"/>
        <w:jc w:val="both"/>
        <w:rPr>
          <w:rFonts w:ascii="Arial" w:hAnsi="Arial" w:cs="Arial"/>
          <w:i/>
          <w:szCs w:val="24"/>
          <w:lang w:val="en-GB"/>
        </w:rPr>
      </w:pPr>
      <w:r w:rsidRPr="0028108F">
        <w:rPr>
          <w:rFonts w:ascii="Arial" w:hAnsi="Arial" w:cs="Arial"/>
          <w:i/>
          <w:szCs w:val="24"/>
          <w:lang w:val="en-GB"/>
        </w:rPr>
        <w:t xml:space="preserve">“For the purposes of this Ordinance, a person does not cease to be ordinarily resident in Hong Kong if he is temporarily absent from Hong Kong.  The circumstances of the person and the absence are relevant in determining whether a person has ceased to be ordinarily resident in Hong Kong.  The circumstances may include- </w:t>
      </w:r>
    </w:p>
    <w:p w:rsidR="00E773F6" w:rsidRPr="0028108F" w:rsidRDefault="00E773F6" w:rsidP="00E773F6">
      <w:pPr>
        <w:tabs>
          <w:tab w:val="left" w:pos="1418"/>
        </w:tabs>
        <w:autoSpaceDE w:val="0"/>
        <w:autoSpaceDN w:val="0"/>
        <w:adjustRightInd w:val="0"/>
        <w:snapToGrid w:val="0"/>
        <w:ind w:leftChars="236" w:left="566" w:firstLine="1"/>
        <w:jc w:val="both"/>
        <w:rPr>
          <w:rFonts w:ascii="Arial" w:hAnsi="Arial" w:cs="Arial"/>
          <w:i/>
          <w:szCs w:val="24"/>
          <w:lang w:val="en-GB"/>
        </w:rPr>
      </w:pPr>
    </w:p>
    <w:p w:rsidR="00E773F6" w:rsidRPr="00181CF2" w:rsidRDefault="00E773F6" w:rsidP="00B9696A">
      <w:pPr>
        <w:snapToGrid w:val="0"/>
        <w:ind w:leftChars="354" w:left="1418" w:rightChars="212" w:right="509" w:hanging="568"/>
        <w:jc w:val="both"/>
        <w:rPr>
          <w:rFonts w:ascii="Arial" w:hAnsi="Arial" w:cs="Arial"/>
          <w:i/>
          <w:szCs w:val="24"/>
          <w:lang w:val="en-GB"/>
        </w:rPr>
      </w:pPr>
      <w:r w:rsidRPr="0028108F">
        <w:rPr>
          <w:rFonts w:ascii="Arial" w:hAnsi="Arial" w:cs="Arial"/>
          <w:i/>
          <w:szCs w:val="24"/>
          <w:lang w:val="en-GB"/>
        </w:rPr>
        <w:t xml:space="preserve">(a) </w:t>
      </w:r>
      <w:r w:rsidR="0082510A" w:rsidRPr="0028108F">
        <w:rPr>
          <w:rFonts w:ascii="Arial" w:hAnsi="Arial" w:cs="Arial"/>
          <w:i/>
          <w:szCs w:val="24"/>
          <w:lang w:val="en-GB"/>
        </w:rPr>
        <w:tab/>
      </w:r>
      <w:r w:rsidRPr="00181CF2">
        <w:rPr>
          <w:rFonts w:ascii="Arial" w:hAnsi="Arial" w:cs="Arial"/>
          <w:i/>
          <w:szCs w:val="24"/>
          <w:lang w:val="en-GB"/>
        </w:rPr>
        <w:t xml:space="preserve">the reason, duration and frequency of any absence from Hong Kong; </w:t>
      </w:r>
    </w:p>
    <w:p w:rsidR="00E773F6" w:rsidRPr="00C57CE1" w:rsidRDefault="00E773F6" w:rsidP="0028108F">
      <w:pPr>
        <w:snapToGrid w:val="0"/>
        <w:ind w:leftChars="354" w:left="1418" w:rightChars="212" w:right="509" w:hanging="568"/>
        <w:jc w:val="both"/>
        <w:rPr>
          <w:rFonts w:ascii="Arial" w:hAnsi="Arial" w:cs="Arial"/>
          <w:i/>
          <w:szCs w:val="24"/>
          <w:lang w:val="en-GB"/>
        </w:rPr>
      </w:pPr>
      <w:r w:rsidRPr="00C57CE1">
        <w:rPr>
          <w:rFonts w:ascii="Arial" w:hAnsi="Arial" w:cs="Arial"/>
          <w:i/>
          <w:szCs w:val="24"/>
          <w:lang w:val="en-GB"/>
        </w:rPr>
        <w:t xml:space="preserve">(b) </w:t>
      </w:r>
      <w:r w:rsidR="0082510A" w:rsidRPr="0028108F">
        <w:rPr>
          <w:rFonts w:ascii="Arial" w:hAnsi="Arial" w:cs="Arial"/>
          <w:i/>
          <w:szCs w:val="24"/>
          <w:lang w:val="en-GB"/>
        </w:rPr>
        <w:tab/>
      </w:r>
      <w:r w:rsidRPr="00181CF2">
        <w:rPr>
          <w:rFonts w:ascii="Arial" w:hAnsi="Arial" w:cs="Arial"/>
          <w:i/>
          <w:szCs w:val="24"/>
          <w:lang w:val="en-GB"/>
        </w:rPr>
        <w:t>whether he has habitual residence in Hong Kon</w:t>
      </w:r>
      <w:r w:rsidRPr="00C57CE1">
        <w:rPr>
          <w:rFonts w:ascii="Arial" w:hAnsi="Arial" w:cs="Arial"/>
          <w:i/>
          <w:szCs w:val="24"/>
          <w:lang w:val="en-GB"/>
        </w:rPr>
        <w:t xml:space="preserve">g; </w:t>
      </w:r>
    </w:p>
    <w:p w:rsidR="00E773F6" w:rsidRPr="00181CF2" w:rsidRDefault="00E773F6" w:rsidP="0028108F">
      <w:pPr>
        <w:snapToGrid w:val="0"/>
        <w:ind w:leftChars="354" w:left="1418" w:rightChars="212" w:right="509" w:hanging="568"/>
        <w:jc w:val="both"/>
        <w:rPr>
          <w:rFonts w:ascii="Arial" w:hAnsi="Arial" w:cs="Arial"/>
          <w:i/>
          <w:szCs w:val="24"/>
          <w:lang w:val="en-GB"/>
        </w:rPr>
      </w:pPr>
      <w:r w:rsidRPr="0028108F">
        <w:rPr>
          <w:rFonts w:ascii="Arial" w:hAnsi="Arial" w:cs="Arial"/>
          <w:i/>
          <w:szCs w:val="24"/>
          <w:lang w:val="en-GB"/>
        </w:rPr>
        <w:t xml:space="preserve">(c) </w:t>
      </w:r>
      <w:r w:rsidR="0082510A" w:rsidRPr="0028108F">
        <w:rPr>
          <w:rFonts w:ascii="Arial" w:hAnsi="Arial" w:cs="Arial"/>
          <w:i/>
          <w:szCs w:val="24"/>
          <w:lang w:val="en-GB"/>
        </w:rPr>
        <w:tab/>
      </w:r>
      <w:r w:rsidRPr="00181CF2">
        <w:rPr>
          <w:rFonts w:ascii="Arial" w:hAnsi="Arial" w:cs="Arial"/>
          <w:i/>
          <w:szCs w:val="24"/>
          <w:lang w:val="en-GB"/>
        </w:rPr>
        <w:t>employment by a Hong Kong based company; and</w:t>
      </w:r>
    </w:p>
    <w:p w:rsidR="00E773F6" w:rsidRPr="00181CF2" w:rsidRDefault="00E773F6" w:rsidP="0028108F">
      <w:pPr>
        <w:snapToGrid w:val="0"/>
        <w:ind w:leftChars="354" w:left="1418" w:rightChars="212" w:right="509" w:hanging="568"/>
        <w:jc w:val="both"/>
        <w:rPr>
          <w:rFonts w:ascii="Arial" w:hAnsi="Arial" w:cs="Arial"/>
          <w:i/>
          <w:szCs w:val="24"/>
          <w:lang w:val="en-GB"/>
        </w:rPr>
      </w:pPr>
      <w:r w:rsidRPr="00C57CE1">
        <w:rPr>
          <w:rFonts w:ascii="Arial" w:hAnsi="Arial" w:cs="Arial"/>
          <w:i/>
          <w:szCs w:val="24"/>
          <w:lang w:val="en-GB"/>
        </w:rPr>
        <w:t xml:space="preserve">(d) </w:t>
      </w:r>
      <w:r w:rsidR="0082510A" w:rsidRPr="0028108F">
        <w:rPr>
          <w:rFonts w:ascii="Arial" w:hAnsi="Arial" w:cs="Arial"/>
          <w:i/>
          <w:szCs w:val="24"/>
          <w:lang w:val="en-GB"/>
        </w:rPr>
        <w:tab/>
      </w:r>
      <w:r w:rsidRPr="00181CF2">
        <w:rPr>
          <w:rFonts w:ascii="Arial" w:hAnsi="Arial" w:cs="Arial"/>
          <w:i/>
          <w:szCs w:val="24"/>
          <w:lang w:val="en-GB"/>
        </w:rPr>
        <w:t>the whereabouts of the principal members of his family (spouse and minor children).”</w:t>
      </w:r>
    </w:p>
    <w:p w:rsidR="00E773F6" w:rsidRPr="00C57CE1"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An important factor distinguishing ordinary residence from domicile is that a person could be, for certain purposes, ordinarily resident in two countries at the same time.</w:t>
      </w:r>
      <w:r w:rsidRPr="0028108F">
        <w:rPr>
          <w:rStyle w:val="FootnoteReference"/>
          <w:rFonts w:ascii="Arial" w:hAnsi="Arial" w:cs="Arial"/>
          <w:szCs w:val="24"/>
          <w:lang w:val="en-GB"/>
        </w:rPr>
        <w:footnoteReference w:id="692"/>
      </w:r>
      <w:r w:rsidRPr="0028108F">
        <w:rPr>
          <w:rFonts w:ascii="Arial" w:hAnsi="Arial" w:cs="Arial"/>
          <w:szCs w:val="24"/>
          <w:lang w:val="en-GB"/>
        </w:rPr>
        <w:t xml:space="preserve">  The requirement of </w:t>
      </w:r>
      <w:r w:rsidRPr="0028108F">
        <w:rPr>
          <w:rFonts w:ascii="Arial" w:hAnsi="Arial" w:cs="Arial"/>
          <w:i/>
          <w:szCs w:val="24"/>
          <w:lang w:val="en-GB"/>
        </w:rPr>
        <w:t>“settled purposes”</w:t>
      </w:r>
      <w:r w:rsidRPr="0028108F">
        <w:rPr>
          <w:rFonts w:ascii="Arial" w:hAnsi="Arial" w:cs="Arial"/>
          <w:szCs w:val="24"/>
          <w:lang w:val="en-GB"/>
        </w:rPr>
        <w:t xml:space="preserve"> is loose whilst an intention to be settled for a limited period suffices, and all that is necessary is that “</w:t>
      </w:r>
      <w:r w:rsidRPr="0028108F">
        <w:rPr>
          <w:rFonts w:ascii="Arial" w:hAnsi="Arial" w:cs="Arial"/>
          <w:i/>
          <w:szCs w:val="24"/>
          <w:lang w:val="en-GB"/>
        </w:rPr>
        <w:t>the purpose of living where one does has a sufficient degree of continuity to be properly described as settled</w:t>
      </w:r>
      <w:r w:rsidRPr="0028108F">
        <w:rPr>
          <w:rFonts w:ascii="Arial" w:hAnsi="Arial" w:cs="Arial"/>
          <w:szCs w:val="24"/>
          <w:lang w:val="en-GB"/>
        </w:rPr>
        <w:t>.</w:t>
      </w:r>
      <w:r w:rsidR="007F4930" w:rsidRPr="0028108F">
        <w:rPr>
          <w:rFonts w:ascii="Arial" w:hAnsi="Arial" w:cs="Arial"/>
          <w:szCs w:val="24"/>
          <w:lang w:val="en-GB"/>
        </w:rPr>
        <w:t>”</w:t>
      </w:r>
      <w:r w:rsidRPr="0028108F">
        <w:rPr>
          <w:rStyle w:val="FootnoteReference"/>
          <w:rFonts w:ascii="Arial" w:hAnsi="Arial" w:cs="Arial"/>
          <w:szCs w:val="24"/>
          <w:lang w:val="en-GB"/>
        </w:rPr>
        <w:footnoteReference w:id="693"/>
      </w:r>
      <w:r w:rsidRPr="0028108F">
        <w:rPr>
          <w:rFonts w:ascii="Arial" w:hAnsi="Arial" w:cs="Arial"/>
          <w:szCs w:val="24"/>
          <w:lang w:val="en-GB"/>
        </w:rPr>
        <w:t xml:space="preserve"> </w:t>
      </w:r>
    </w:p>
    <w:p w:rsidR="00EC76FF" w:rsidRPr="0028108F" w:rsidRDefault="00EC76FF" w:rsidP="0028108F">
      <w:pPr>
        <w:pStyle w:val="ListParagraph"/>
        <w:tabs>
          <w:tab w:val="left" w:pos="1418"/>
          <w:tab w:val="left" w:pos="2552"/>
        </w:tabs>
        <w:adjustRightInd w:val="0"/>
        <w:snapToGrid w:val="0"/>
        <w:ind w:leftChars="0" w:left="0"/>
        <w:jc w:val="both"/>
        <w:rPr>
          <w:rFonts w:ascii="Arial" w:hAnsi="Arial" w:cs="Arial"/>
          <w:szCs w:val="24"/>
          <w:lang w:val="en-GB"/>
        </w:rPr>
      </w:pPr>
    </w:p>
    <w:p w:rsidR="00EC76FF" w:rsidRPr="00181CF2" w:rsidRDefault="008A3139" w:rsidP="00EC76FF">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the H</w:t>
      </w:r>
      <w:r w:rsidRPr="00181CF2">
        <w:rPr>
          <w:rFonts w:ascii="Arial" w:hAnsi="Arial" w:cs="Arial"/>
          <w:szCs w:val="24"/>
          <w:lang w:val="en-GB"/>
        </w:rPr>
        <w:t>o</w:t>
      </w:r>
      <w:r w:rsidRPr="0028108F">
        <w:rPr>
          <w:rFonts w:ascii="Arial" w:hAnsi="Arial" w:cs="Arial"/>
          <w:szCs w:val="24"/>
          <w:lang w:val="en-GB"/>
        </w:rPr>
        <w:t xml:space="preserve">ng Kong context, another concept of importance is </w:t>
      </w:r>
      <w:r w:rsidRPr="00181CF2">
        <w:rPr>
          <w:rFonts w:ascii="Arial" w:hAnsi="Arial" w:cs="Arial"/>
          <w:szCs w:val="24"/>
          <w:lang w:val="en-GB"/>
        </w:rPr>
        <w:t>“</w:t>
      </w:r>
      <w:r w:rsidR="00EC76FF" w:rsidRPr="0028108F">
        <w:rPr>
          <w:rFonts w:ascii="Arial" w:hAnsi="Arial" w:cs="Arial"/>
          <w:i/>
          <w:szCs w:val="24"/>
          <w:lang w:val="en-GB"/>
        </w:rPr>
        <w:t>Hong Kong permanent resident</w:t>
      </w:r>
      <w:r w:rsidR="00EC76FF" w:rsidRPr="00181CF2">
        <w:rPr>
          <w:rFonts w:ascii="Arial" w:hAnsi="Arial" w:cs="Arial"/>
          <w:szCs w:val="24"/>
          <w:lang w:val="en-GB"/>
        </w:rPr>
        <w:t>”</w:t>
      </w:r>
      <w:r w:rsidR="00EC76FF" w:rsidRPr="0028108F">
        <w:rPr>
          <w:rFonts w:ascii="Arial" w:hAnsi="Arial" w:cs="Arial"/>
          <w:szCs w:val="24"/>
          <w:lang w:val="en-GB"/>
        </w:rPr>
        <w:t>.</w:t>
      </w:r>
      <w:r w:rsidR="00EC76FF" w:rsidRPr="00181CF2">
        <w:rPr>
          <w:rStyle w:val="FootnoteReference"/>
          <w:rFonts w:ascii="Arial" w:hAnsi="Arial" w:cs="Arial"/>
          <w:szCs w:val="24"/>
          <w:lang w:val="en-GB"/>
        </w:rPr>
        <w:footnoteReference w:id="694"/>
      </w:r>
      <w:r w:rsidR="00EC76FF" w:rsidRPr="0028108F">
        <w:rPr>
          <w:rFonts w:ascii="Arial" w:hAnsi="Arial" w:cs="Arial"/>
          <w:szCs w:val="24"/>
          <w:lang w:val="en-GB"/>
        </w:rPr>
        <w:t xml:space="preserve">  </w:t>
      </w:r>
      <w:r w:rsidR="00DD3AE7" w:rsidRPr="00181CF2">
        <w:rPr>
          <w:rFonts w:ascii="Arial" w:hAnsi="Arial" w:cs="Arial"/>
          <w:szCs w:val="24"/>
          <w:lang w:val="en-GB"/>
        </w:rPr>
        <w:t xml:space="preserve">This </w:t>
      </w:r>
      <w:r w:rsidR="00EC76FF" w:rsidRPr="0028108F">
        <w:rPr>
          <w:rFonts w:ascii="Arial" w:hAnsi="Arial" w:cs="Arial"/>
          <w:szCs w:val="24"/>
          <w:lang w:val="en-GB"/>
        </w:rPr>
        <w:t xml:space="preserve">is defined in Article 24 of the Basic Law as the following six categories of </w:t>
      </w:r>
      <w:r w:rsidR="00EC76FF" w:rsidRPr="00181CF2">
        <w:rPr>
          <w:rFonts w:ascii="Arial" w:hAnsi="Arial" w:cs="Arial"/>
          <w:szCs w:val="24"/>
          <w:lang w:val="en-GB"/>
        </w:rPr>
        <w:t>residents</w:t>
      </w:r>
      <w:r w:rsidR="00EC76FF" w:rsidRPr="0028108F">
        <w:rPr>
          <w:rFonts w:ascii="Arial" w:hAnsi="Arial" w:cs="Arial"/>
          <w:szCs w:val="24"/>
          <w:lang w:val="en-GB"/>
        </w:rPr>
        <w:t xml:space="preserve"> who shall have the right of abode in Hong Kong and shall be qualified to obtain, in </w:t>
      </w:r>
      <w:r w:rsidR="00EC76FF" w:rsidRPr="00181CF2">
        <w:rPr>
          <w:rFonts w:ascii="Arial" w:hAnsi="Arial" w:cs="Arial"/>
          <w:szCs w:val="24"/>
          <w:lang w:val="en-GB"/>
        </w:rPr>
        <w:t>accordance</w:t>
      </w:r>
      <w:r w:rsidR="00EC76FF" w:rsidRPr="0028108F">
        <w:rPr>
          <w:rFonts w:ascii="Arial" w:hAnsi="Arial" w:cs="Arial"/>
          <w:szCs w:val="24"/>
          <w:lang w:val="en-GB"/>
        </w:rPr>
        <w:t xml:space="preserve"> with the laws of the Region, permanent identity cards which state their right of abode</w:t>
      </w:r>
      <w:r w:rsidR="0024466B" w:rsidRPr="0028108F">
        <w:rPr>
          <w:rFonts w:ascii="Arial" w:hAnsi="Arial" w:cs="Arial"/>
          <w:szCs w:val="24"/>
          <w:lang w:val="en-GB"/>
        </w:rPr>
        <w:t>:</w:t>
      </w:r>
      <w:r w:rsidR="00EC76FF" w:rsidRPr="00181CF2">
        <w:rPr>
          <w:rStyle w:val="FootnoteReference"/>
          <w:rFonts w:ascii="Arial" w:hAnsi="Arial" w:cs="Arial"/>
          <w:szCs w:val="24"/>
          <w:lang w:val="en-GB"/>
        </w:rPr>
        <w:footnoteReference w:id="695"/>
      </w:r>
    </w:p>
    <w:p w:rsidR="00EC76FF" w:rsidRPr="00C57CE1" w:rsidRDefault="00EC76FF" w:rsidP="00EC76FF">
      <w:pPr>
        <w:pStyle w:val="ListParagraph"/>
        <w:rPr>
          <w:rFonts w:ascii="Arial" w:hAnsi="Arial" w:cs="Arial"/>
          <w:szCs w:val="24"/>
          <w:lang w:val="en-GB"/>
        </w:rPr>
      </w:pPr>
    </w:p>
    <w:p w:rsidR="00EC76FF" w:rsidRPr="00C57CE1"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r w:rsidRPr="0028108F">
        <w:rPr>
          <w:rFonts w:ascii="Arial" w:hAnsi="Arial" w:cs="Arial"/>
          <w:lang w:val="en-GB"/>
        </w:rPr>
        <w:t xml:space="preserve">(1) </w:t>
      </w:r>
      <w:r w:rsidRPr="0028108F">
        <w:rPr>
          <w:rFonts w:ascii="Arial" w:hAnsi="Arial" w:cs="Arial"/>
          <w:lang w:val="en-GB"/>
        </w:rPr>
        <w:tab/>
      </w:r>
      <w:r w:rsidRPr="00181CF2">
        <w:rPr>
          <w:rFonts w:ascii="Arial" w:hAnsi="Arial" w:cs="Arial"/>
          <w:lang w:val="en-GB"/>
        </w:rPr>
        <w:t xml:space="preserve">Chinese citizens born in Hong Kong </w:t>
      </w:r>
      <w:r w:rsidRPr="00C57CE1">
        <w:rPr>
          <w:rFonts w:ascii="Arial" w:hAnsi="Arial" w:cs="Arial"/>
          <w:lang w:val="en-GB"/>
        </w:rPr>
        <w:t xml:space="preserve">before or after the establishment of the Hong Kong Special Administrative Region; </w:t>
      </w:r>
    </w:p>
    <w:p w:rsidR="00EC76FF" w:rsidRPr="0028108F"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p>
    <w:p w:rsidR="00EC76FF" w:rsidRPr="00C57CE1"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r w:rsidRPr="0028108F">
        <w:rPr>
          <w:rFonts w:ascii="Arial" w:hAnsi="Arial" w:cs="Arial"/>
          <w:lang w:val="en-GB"/>
        </w:rPr>
        <w:t xml:space="preserve">(2) </w:t>
      </w:r>
      <w:r w:rsidRPr="0028108F">
        <w:rPr>
          <w:rFonts w:ascii="Arial" w:hAnsi="Arial" w:cs="Arial"/>
          <w:lang w:val="en-GB"/>
        </w:rPr>
        <w:tab/>
      </w:r>
      <w:r w:rsidRPr="00181CF2">
        <w:rPr>
          <w:rFonts w:ascii="Arial" w:hAnsi="Arial" w:cs="Arial"/>
          <w:lang w:val="en-GB"/>
        </w:rPr>
        <w:t>Chinese citizens who have ordinarily resided in Hong Kong for a continuous period of not less than seven years before or after the establishment of the Hong Kong Speci</w:t>
      </w:r>
      <w:r w:rsidRPr="00C57CE1">
        <w:rPr>
          <w:rFonts w:ascii="Arial" w:hAnsi="Arial" w:cs="Arial"/>
          <w:lang w:val="en-GB"/>
        </w:rPr>
        <w:t xml:space="preserve">al Administrative Region; </w:t>
      </w:r>
    </w:p>
    <w:p w:rsidR="00EC76FF" w:rsidRPr="0028108F"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p>
    <w:p w:rsidR="00EC76FF" w:rsidRPr="00181CF2"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r w:rsidRPr="0028108F">
        <w:rPr>
          <w:rFonts w:ascii="Arial" w:hAnsi="Arial" w:cs="Arial"/>
          <w:lang w:val="en-GB"/>
        </w:rPr>
        <w:t xml:space="preserve">(3) </w:t>
      </w:r>
      <w:r w:rsidRPr="0028108F">
        <w:rPr>
          <w:rFonts w:ascii="Arial" w:hAnsi="Arial" w:cs="Arial"/>
          <w:lang w:val="en-GB"/>
        </w:rPr>
        <w:tab/>
      </w:r>
      <w:r w:rsidRPr="00181CF2">
        <w:rPr>
          <w:rFonts w:ascii="Arial" w:hAnsi="Arial" w:cs="Arial"/>
          <w:lang w:val="en-GB"/>
        </w:rPr>
        <w:t xml:space="preserve">Persons of Chinese nationality born outside Hong Kong of those residents listed in categories (1) and (2); </w:t>
      </w:r>
    </w:p>
    <w:p w:rsidR="00EC76FF" w:rsidRPr="00C57CE1"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p>
    <w:p w:rsidR="00EC76FF" w:rsidRPr="00C57CE1"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r w:rsidRPr="0028108F">
        <w:rPr>
          <w:rFonts w:ascii="Arial" w:hAnsi="Arial" w:cs="Arial"/>
          <w:lang w:val="en-GB"/>
        </w:rPr>
        <w:t xml:space="preserve">(4) </w:t>
      </w:r>
      <w:r w:rsidRPr="0028108F">
        <w:rPr>
          <w:rFonts w:ascii="Arial" w:hAnsi="Arial" w:cs="Arial"/>
          <w:lang w:val="en-GB"/>
        </w:rPr>
        <w:tab/>
      </w:r>
      <w:r w:rsidRPr="00181CF2">
        <w:rPr>
          <w:rFonts w:ascii="Arial" w:hAnsi="Arial" w:cs="Arial"/>
          <w:lang w:val="en-GB"/>
        </w:rPr>
        <w:t>Persons not of Chinese nationality who have entered Hong Kong with valid travel documents, have ordinarily re</w:t>
      </w:r>
      <w:r w:rsidRPr="00C57CE1">
        <w:rPr>
          <w:rFonts w:ascii="Arial" w:hAnsi="Arial" w:cs="Arial"/>
          <w:lang w:val="en-GB"/>
        </w:rPr>
        <w:t xml:space="preserve">sided in Hong Kong for a continuous period of not less than seven years and have taken Hong Kong as their place of permanent residence before or after the establishment of the Hong Kong Special Administrative Region; </w:t>
      </w:r>
    </w:p>
    <w:p w:rsidR="00EC76FF" w:rsidRPr="0028108F"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p>
    <w:p w:rsidR="00EC76FF" w:rsidRPr="00C57CE1"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r w:rsidRPr="0028108F">
        <w:rPr>
          <w:rFonts w:ascii="Arial" w:hAnsi="Arial" w:cs="Arial"/>
          <w:lang w:val="en-GB"/>
        </w:rPr>
        <w:t xml:space="preserve">(5) </w:t>
      </w:r>
      <w:r w:rsidRPr="0028108F">
        <w:rPr>
          <w:rFonts w:ascii="Arial" w:hAnsi="Arial" w:cs="Arial"/>
          <w:lang w:val="en-GB"/>
        </w:rPr>
        <w:tab/>
      </w:r>
      <w:r w:rsidRPr="00181CF2">
        <w:rPr>
          <w:rFonts w:ascii="Arial" w:hAnsi="Arial" w:cs="Arial"/>
          <w:lang w:val="en-GB"/>
        </w:rPr>
        <w:t>Persons under 21 years of age bo</w:t>
      </w:r>
      <w:r w:rsidRPr="00C57CE1">
        <w:rPr>
          <w:rFonts w:ascii="Arial" w:hAnsi="Arial" w:cs="Arial"/>
          <w:lang w:val="en-GB"/>
        </w:rPr>
        <w:t xml:space="preserve">rn in Hong Kong of those residents listed in category (4) before or after the establishment of the Hong Kong Special Administrative Region; and </w:t>
      </w:r>
    </w:p>
    <w:p w:rsidR="00EC76FF" w:rsidRPr="0028108F"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lang w:val="en-GB"/>
        </w:rPr>
      </w:pPr>
    </w:p>
    <w:p w:rsidR="00EC76FF" w:rsidRPr="0028108F" w:rsidRDefault="00EC76FF" w:rsidP="00EC76FF">
      <w:pPr>
        <w:pStyle w:val="ListParagraph"/>
        <w:tabs>
          <w:tab w:val="left" w:pos="1418"/>
          <w:tab w:val="left" w:pos="2552"/>
        </w:tabs>
        <w:adjustRightInd w:val="0"/>
        <w:snapToGrid w:val="0"/>
        <w:ind w:leftChars="354" w:left="1416" w:hangingChars="236" w:hanging="566"/>
        <w:jc w:val="both"/>
        <w:rPr>
          <w:rFonts w:ascii="Arial" w:hAnsi="Arial" w:cs="Arial"/>
          <w:szCs w:val="24"/>
          <w:lang w:val="en-GB"/>
        </w:rPr>
      </w:pPr>
      <w:r w:rsidRPr="0028108F">
        <w:rPr>
          <w:rFonts w:ascii="Arial" w:hAnsi="Arial" w:cs="Arial"/>
          <w:lang w:val="en-GB"/>
        </w:rPr>
        <w:t xml:space="preserve">(6) </w:t>
      </w:r>
      <w:r w:rsidRPr="0028108F">
        <w:rPr>
          <w:rFonts w:ascii="Arial" w:hAnsi="Arial" w:cs="Arial"/>
          <w:lang w:val="en-GB"/>
        </w:rPr>
        <w:tab/>
      </w:r>
      <w:r w:rsidRPr="00181CF2">
        <w:rPr>
          <w:rFonts w:ascii="Arial" w:hAnsi="Arial" w:cs="Arial"/>
          <w:lang w:val="en-GB"/>
        </w:rPr>
        <w:t xml:space="preserve">Persons other than those residents listed in categories (1) to (5), who, before the establishment of the </w:t>
      </w:r>
      <w:r w:rsidRPr="00C57CE1">
        <w:rPr>
          <w:rFonts w:ascii="Arial" w:hAnsi="Arial" w:cs="Arial"/>
          <w:lang w:val="en-GB"/>
        </w:rPr>
        <w:t>Hong Kong Special Administrative Region, had the right of abode in Hong Kong only.</w:t>
      </w:r>
    </w:p>
    <w:p w:rsidR="00EC76FF" w:rsidRPr="0028108F" w:rsidRDefault="00EC76FF" w:rsidP="00EC76FF">
      <w:pPr>
        <w:pStyle w:val="ListParagraph"/>
        <w:rPr>
          <w:rFonts w:ascii="Arial" w:hAnsi="Arial" w:cs="Arial"/>
          <w:szCs w:val="24"/>
          <w:lang w:val="en-GB"/>
        </w:rPr>
      </w:pPr>
    </w:p>
    <w:p w:rsidR="00EC76FF" w:rsidRPr="00181CF2" w:rsidRDefault="00EC76FF" w:rsidP="00E7508D">
      <w:pPr>
        <w:pStyle w:val="ListParagraph"/>
        <w:widowControl/>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Notably, </w:t>
      </w:r>
      <w:r w:rsidRPr="00181CF2">
        <w:rPr>
          <w:rFonts w:ascii="Arial" w:hAnsi="Arial" w:cs="Arial"/>
          <w:szCs w:val="24"/>
          <w:lang w:val="en-GB"/>
        </w:rPr>
        <w:t>“</w:t>
      </w:r>
      <w:r w:rsidRPr="0028108F">
        <w:rPr>
          <w:rFonts w:ascii="Arial" w:hAnsi="Arial" w:cs="Arial"/>
          <w:i/>
          <w:szCs w:val="24"/>
          <w:lang w:val="en-GB"/>
        </w:rPr>
        <w:t>ordinary residence</w:t>
      </w:r>
      <w:r w:rsidRPr="00181CF2">
        <w:rPr>
          <w:rFonts w:ascii="Arial" w:hAnsi="Arial" w:cs="Arial"/>
          <w:szCs w:val="24"/>
          <w:lang w:val="en-GB"/>
        </w:rPr>
        <w:t>”</w:t>
      </w:r>
      <w:r w:rsidRPr="0028108F">
        <w:rPr>
          <w:rFonts w:ascii="Arial" w:hAnsi="Arial" w:cs="Arial"/>
          <w:szCs w:val="24"/>
          <w:lang w:val="en-GB"/>
        </w:rPr>
        <w:t xml:space="preserve"> is a factor for determining </w:t>
      </w:r>
      <w:r w:rsidRPr="00181CF2">
        <w:rPr>
          <w:rFonts w:ascii="Arial" w:hAnsi="Arial" w:cs="Arial"/>
          <w:szCs w:val="24"/>
          <w:lang w:val="en-GB"/>
        </w:rPr>
        <w:t>“</w:t>
      </w:r>
      <w:r w:rsidRPr="0028108F">
        <w:rPr>
          <w:rFonts w:ascii="Arial" w:hAnsi="Arial" w:cs="Arial"/>
          <w:i/>
          <w:szCs w:val="24"/>
          <w:lang w:val="en-GB"/>
        </w:rPr>
        <w:t>permanent resident</w:t>
      </w:r>
      <w:r w:rsidRPr="00181CF2">
        <w:rPr>
          <w:rFonts w:ascii="Arial" w:hAnsi="Arial" w:cs="Arial"/>
          <w:szCs w:val="24"/>
          <w:lang w:val="en-GB"/>
        </w:rPr>
        <w:t>”</w:t>
      </w:r>
      <w:r w:rsidRPr="0028108F">
        <w:rPr>
          <w:rFonts w:ascii="Arial" w:hAnsi="Arial" w:cs="Arial"/>
          <w:szCs w:val="24"/>
          <w:lang w:val="en-GB"/>
        </w:rPr>
        <w:t xml:space="preserve"> under category (2) above.  In this context, </w:t>
      </w:r>
      <w:r w:rsidRPr="00181CF2">
        <w:rPr>
          <w:rFonts w:ascii="Arial" w:hAnsi="Arial" w:cs="Arial"/>
          <w:szCs w:val="24"/>
          <w:lang w:val="en-GB"/>
        </w:rPr>
        <w:t>the Court of Final Appeal regarded the natural an</w:t>
      </w:r>
      <w:r w:rsidRPr="00C57CE1">
        <w:rPr>
          <w:rFonts w:ascii="Arial" w:hAnsi="Arial" w:cs="Arial"/>
          <w:szCs w:val="24"/>
          <w:lang w:val="en-GB"/>
        </w:rPr>
        <w:t>d ordinary meaning approach of Lord Scarman as a start</w:t>
      </w:r>
      <w:r w:rsidR="0024466B" w:rsidRPr="0028108F">
        <w:rPr>
          <w:rFonts w:ascii="Arial" w:hAnsi="Arial" w:cs="Arial"/>
          <w:szCs w:val="24"/>
          <w:lang w:val="en-GB"/>
        </w:rPr>
        <w:t>ing point but not decisive, as “</w:t>
      </w:r>
      <w:r w:rsidRPr="0028108F">
        <w:rPr>
          <w:rFonts w:ascii="Arial" w:hAnsi="Arial" w:cs="Arial"/>
          <w:i/>
          <w:lang w:val="en-GB"/>
        </w:rPr>
        <w:t>[i]t is always necessary to examine the factual position of the person claiming to be ordinarily resident to see whether there are any special features affecting the nature and quality of his or her residence.</w:t>
      </w:r>
      <w:r w:rsidR="0024466B" w:rsidRPr="0028108F">
        <w:rPr>
          <w:rFonts w:ascii="Arial" w:hAnsi="Arial" w:cs="Arial"/>
          <w:lang w:val="en-GB"/>
        </w:rPr>
        <w:t>”</w:t>
      </w:r>
      <w:r w:rsidRPr="00181CF2">
        <w:rPr>
          <w:rStyle w:val="FootnoteReference"/>
          <w:rFonts w:ascii="Arial" w:hAnsi="Arial" w:cs="Arial"/>
          <w:lang w:val="en-GB"/>
        </w:rPr>
        <w:footnoteReference w:id="696"/>
      </w:r>
      <w:r w:rsidRPr="00181CF2">
        <w:rPr>
          <w:rFonts w:ascii="Arial" w:hAnsi="Arial" w:cs="Arial"/>
          <w:szCs w:val="24"/>
          <w:lang w:val="en-GB"/>
        </w:rPr>
        <w:t xml:space="preserve"> </w:t>
      </w:r>
    </w:p>
    <w:p w:rsidR="00EC76FF" w:rsidRPr="00C57CE1" w:rsidRDefault="00EC76FF" w:rsidP="00EC76FF">
      <w:pPr>
        <w:pStyle w:val="ListParagraph"/>
        <w:tabs>
          <w:tab w:val="left" w:pos="1418"/>
          <w:tab w:val="left" w:pos="2552"/>
        </w:tabs>
        <w:adjustRightInd w:val="0"/>
        <w:snapToGrid w:val="0"/>
        <w:ind w:leftChars="0" w:left="0"/>
        <w:jc w:val="both"/>
        <w:rPr>
          <w:rFonts w:ascii="Arial" w:hAnsi="Arial" w:cs="Arial"/>
          <w:szCs w:val="24"/>
          <w:lang w:val="en-GB"/>
        </w:rPr>
      </w:pPr>
    </w:p>
    <w:p w:rsidR="00EC76FF" w:rsidRPr="00181CF2" w:rsidRDefault="008D0D7A" w:rsidP="00EC76FF">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N</w:t>
      </w:r>
      <w:r w:rsidR="00EC76FF" w:rsidRPr="0028108F">
        <w:rPr>
          <w:rFonts w:ascii="Arial" w:hAnsi="Arial" w:cs="Arial"/>
          <w:szCs w:val="24"/>
          <w:lang w:val="en-GB"/>
        </w:rPr>
        <w:t>on-permanent residents in Hong Kong are persons who are qualified to obtain H</w:t>
      </w:r>
      <w:r w:rsidR="00EC76FF" w:rsidRPr="00181CF2">
        <w:rPr>
          <w:rFonts w:ascii="Arial" w:hAnsi="Arial" w:cs="Arial"/>
          <w:szCs w:val="24"/>
          <w:lang w:val="en-GB"/>
        </w:rPr>
        <w:t>o</w:t>
      </w:r>
      <w:r w:rsidR="00EC76FF" w:rsidRPr="0028108F">
        <w:rPr>
          <w:rFonts w:ascii="Arial" w:hAnsi="Arial" w:cs="Arial"/>
          <w:szCs w:val="24"/>
          <w:lang w:val="en-GB"/>
        </w:rPr>
        <w:t>ng Kong identity cards in accordance with the laws of Hong Kong but have no right of abode.  A person who is permitted by the relevant authorities to remain in H</w:t>
      </w:r>
      <w:r w:rsidR="00EC76FF" w:rsidRPr="00181CF2">
        <w:rPr>
          <w:rFonts w:ascii="Arial" w:hAnsi="Arial" w:cs="Arial"/>
          <w:szCs w:val="24"/>
          <w:lang w:val="en-GB"/>
        </w:rPr>
        <w:t>o</w:t>
      </w:r>
      <w:r w:rsidR="00EC76FF" w:rsidRPr="0028108F">
        <w:rPr>
          <w:rFonts w:ascii="Arial" w:hAnsi="Arial" w:cs="Arial"/>
          <w:szCs w:val="24"/>
          <w:lang w:val="en-GB"/>
        </w:rPr>
        <w:t xml:space="preserve">ng Kong for more than 180 days will have to be registered as </w:t>
      </w:r>
      <w:r w:rsidRPr="00181CF2">
        <w:rPr>
          <w:rFonts w:ascii="Arial" w:hAnsi="Arial" w:cs="Arial"/>
          <w:szCs w:val="24"/>
        </w:rPr>
        <w:t xml:space="preserve">a </w:t>
      </w:r>
      <w:r w:rsidR="00EC76FF" w:rsidRPr="0028108F">
        <w:rPr>
          <w:rFonts w:ascii="Arial" w:hAnsi="Arial" w:cs="Arial"/>
          <w:szCs w:val="24"/>
          <w:lang w:val="en-GB"/>
        </w:rPr>
        <w:t>non-permanent resident.</w:t>
      </w:r>
      <w:r w:rsidR="00EC76FF" w:rsidRPr="00181CF2">
        <w:rPr>
          <w:rStyle w:val="FootnoteReference"/>
          <w:rFonts w:ascii="Arial" w:hAnsi="Arial" w:cs="Arial"/>
          <w:szCs w:val="24"/>
          <w:lang w:val="en-GB"/>
        </w:rPr>
        <w:footnoteReference w:id="697"/>
      </w:r>
      <w:r w:rsidR="00EC76FF" w:rsidRPr="0028108F">
        <w:rPr>
          <w:rFonts w:ascii="Arial" w:hAnsi="Arial" w:cs="Arial"/>
          <w:szCs w:val="24"/>
          <w:lang w:val="en-GB"/>
        </w:rPr>
        <w:t xml:space="preserve">  </w:t>
      </w:r>
    </w:p>
    <w:p w:rsidR="00EC76FF" w:rsidRPr="00C57CE1" w:rsidRDefault="00EC76FF" w:rsidP="00EC76FF">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r w:rsidRPr="0028108F">
        <w:rPr>
          <w:rFonts w:ascii="Arial" w:hAnsi="Arial" w:cs="Arial"/>
          <w:i/>
          <w:szCs w:val="24"/>
          <w:lang w:val="en-GB"/>
        </w:rPr>
        <w:t>Habitual residence</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connecting factor of </w:t>
      </w:r>
      <w:r w:rsidRPr="0028108F">
        <w:rPr>
          <w:rFonts w:ascii="Arial" w:hAnsi="Arial" w:cs="Arial"/>
          <w:i/>
          <w:szCs w:val="24"/>
          <w:lang w:val="en-GB"/>
        </w:rPr>
        <w:t>“habitual residence”</w:t>
      </w:r>
      <w:r w:rsidRPr="0028108F">
        <w:rPr>
          <w:rFonts w:ascii="Arial" w:hAnsi="Arial" w:cs="Arial"/>
          <w:szCs w:val="24"/>
          <w:lang w:val="en-GB"/>
        </w:rPr>
        <w:t xml:space="preserve"> has been widely employed in the Hague Conventions and English statues</w:t>
      </w:r>
      <w:r w:rsidRPr="00181CF2">
        <w:rPr>
          <w:rStyle w:val="FootnoteReference"/>
          <w:rFonts w:ascii="Arial" w:hAnsi="Arial" w:cs="Arial"/>
          <w:szCs w:val="24"/>
          <w:lang w:val="en-GB"/>
        </w:rPr>
        <w:footnoteReference w:id="698"/>
      </w:r>
      <w:r w:rsidRPr="00181CF2">
        <w:rPr>
          <w:rFonts w:ascii="Arial" w:hAnsi="Arial" w:cs="Arial"/>
          <w:szCs w:val="24"/>
          <w:lang w:val="en-GB"/>
        </w:rPr>
        <w:t xml:space="preserve"> and used in the context of divorce,</w:t>
      </w:r>
      <w:r w:rsidRPr="00181CF2">
        <w:rPr>
          <w:rStyle w:val="FootnoteReference"/>
          <w:rFonts w:ascii="Arial" w:hAnsi="Arial" w:cs="Arial"/>
          <w:szCs w:val="24"/>
          <w:lang w:val="en-GB"/>
        </w:rPr>
        <w:footnoteReference w:id="699"/>
      </w:r>
      <w:r w:rsidRPr="00181CF2">
        <w:rPr>
          <w:rFonts w:ascii="Arial" w:hAnsi="Arial" w:cs="Arial"/>
          <w:szCs w:val="24"/>
          <w:lang w:val="en-GB"/>
        </w:rPr>
        <w:t xml:space="preserve"> separation,</w:t>
      </w:r>
      <w:r w:rsidRPr="00181CF2">
        <w:rPr>
          <w:rStyle w:val="FootnoteReference"/>
          <w:rFonts w:ascii="Arial" w:hAnsi="Arial" w:cs="Arial"/>
          <w:szCs w:val="24"/>
          <w:lang w:val="en-GB"/>
        </w:rPr>
        <w:footnoteReference w:id="700"/>
      </w:r>
      <w:r w:rsidRPr="00181CF2">
        <w:rPr>
          <w:rFonts w:ascii="Arial" w:hAnsi="Arial" w:cs="Arial"/>
          <w:szCs w:val="24"/>
          <w:lang w:val="en-GB"/>
        </w:rPr>
        <w:t xml:space="preserve"> nullity of marriage,</w:t>
      </w:r>
      <w:r w:rsidRPr="00181CF2">
        <w:rPr>
          <w:rStyle w:val="FootnoteReference"/>
          <w:rFonts w:ascii="Arial" w:hAnsi="Arial" w:cs="Arial"/>
          <w:szCs w:val="24"/>
          <w:lang w:val="en-GB"/>
        </w:rPr>
        <w:footnoteReference w:id="701"/>
      </w:r>
      <w:r w:rsidRPr="00181CF2">
        <w:rPr>
          <w:rFonts w:ascii="Arial" w:hAnsi="Arial" w:cs="Arial"/>
          <w:szCs w:val="24"/>
          <w:lang w:val="en-GB"/>
        </w:rPr>
        <w:t xml:space="preserve"> recognition of foreign divorces,</w:t>
      </w:r>
      <w:r w:rsidRPr="00181CF2">
        <w:rPr>
          <w:rStyle w:val="FootnoteReference"/>
          <w:rFonts w:ascii="Arial" w:hAnsi="Arial" w:cs="Arial"/>
          <w:szCs w:val="24"/>
          <w:lang w:val="en-GB"/>
        </w:rPr>
        <w:footnoteReference w:id="702"/>
      </w:r>
      <w:r w:rsidRPr="00181CF2">
        <w:rPr>
          <w:rFonts w:ascii="Arial" w:hAnsi="Arial" w:cs="Arial"/>
          <w:szCs w:val="24"/>
          <w:lang w:val="en-GB"/>
        </w:rPr>
        <w:t xml:space="preserve"> formal validity of wills,</w:t>
      </w:r>
      <w:r w:rsidRPr="00181CF2">
        <w:rPr>
          <w:rStyle w:val="FootnoteReference"/>
          <w:rFonts w:ascii="Arial" w:hAnsi="Arial" w:cs="Arial"/>
          <w:szCs w:val="24"/>
          <w:lang w:val="en-GB"/>
        </w:rPr>
        <w:footnoteReference w:id="703"/>
      </w:r>
      <w:r w:rsidRPr="00181CF2">
        <w:rPr>
          <w:rFonts w:ascii="Arial" w:hAnsi="Arial" w:cs="Arial"/>
          <w:szCs w:val="24"/>
          <w:lang w:val="en-GB"/>
        </w:rPr>
        <w:t xml:space="preserve"> child custody,</w:t>
      </w:r>
      <w:r w:rsidRPr="00181CF2">
        <w:rPr>
          <w:rStyle w:val="FootnoteReference"/>
          <w:rFonts w:ascii="Arial" w:hAnsi="Arial" w:cs="Arial"/>
          <w:szCs w:val="24"/>
          <w:lang w:val="en-GB"/>
        </w:rPr>
        <w:footnoteReference w:id="704"/>
      </w:r>
      <w:r w:rsidRPr="00181CF2">
        <w:rPr>
          <w:rFonts w:ascii="Arial" w:hAnsi="Arial" w:cs="Arial"/>
          <w:szCs w:val="24"/>
          <w:lang w:val="en-GB"/>
        </w:rPr>
        <w:t xml:space="preserve"> international adoptions</w:t>
      </w:r>
      <w:r w:rsidRPr="00181CF2">
        <w:rPr>
          <w:rStyle w:val="FootnoteReference"/>
          <w:rFonts w:ascii="Arial" w:hAnsi="Arial" w:cs="Arial"/>
          <w:szCs w:val="24"/>
          <w:lang w:val="en-GB"/>
        </w:rPr>
        <w:footnoteReference w:id="705"/>
      </w:r>
      <w:r w:rsidRPr="00181CF2">
        <w:rPr>
          <w:rFonts w:ascii="Arial" w:hAnsi="Arial" w:cs="Arial"/>
          <w:szCs w:val="24"/>
          <w:lang w:val="en-GB"/>
        </w:rPr>
        <w:t xml:space="preserve"> and child abduction.</w:t>
      </w:r>
      <w:r w:rsidRPr="00181CF2">
        <w:rPr>
          <w:rStyle w:val="FootnoteReference"/>
          <w:rFonts w:ascii="Arial" w:hAnsi="Arial" w:cs="Arial"/>
          <w:szCs w:val="24"/>
          <w:lang w:val="en-GB"/>
        </w:rPr>
        <w:footnoteReference w:id="706"/>
      </w:r>
      <w:r w:rsidRPr="00181CF2">
        <w:rPr>
          <w:rFonts w:ascii="Arial" w:hAnsi="Arial" w:cs="Arial"/>
          <w:szCs w:val="24"/>
          <w:lang w:val="en-GB"/>
        </w:rPr>
        <w:t xml:space="preserve">  It is also encountered in the Hong Kong conflict of laws</w:t>
      </w:r>
      <w:r w:rsidRPr="00C57CE1">
        <w:rPr>
          <w:rFonts w:ascii="Arial" w:hAnsi="Arial" w:cs="Arial"/>
          <w:szCs w:val="24"/>
          <w:lang w:val="en-GB"/>
        </w:rPr>
        <w:t xml:space="preserve"> in the context of: child abduction;</w:t>
      </w:r>
      <w:r w:rsidRPr="00181CF2">
        <w:rPr>
          <w:rStyle w:val="FootnoteReference"/>
          <w:rFonts w:ascii="Arial" w:hAnsi="Arial" w:cs="Arial"/>
          <w:szCs w:val="24"/>
          <w:lang w:val="en-GB"/>
        </w:rPr>
        <w:footnoteReference w:id="707"/>
      </w:r>
      <w:r w:rsidRPr="00181CF2">
        <w:rPr>
          <w:rFonts w:ascii="Arial" w:hAnsi="Arial" w:cs="Arial"/>
          <w:szCs w:val="24"/>
          <w:lang w:val="en-GB"/>
        </w:rPr>
        <w:t xml:space="preserve"> certain parentage, legitimacy and matrimonial issues;</w:t>
      </w:r>
      <w:r w:rsidRPr="00181CF2">
        <w:rPr>
          <w:rStyle w:val="FootnoteReference"/>
          <w:rFonts w:ascii="Arial" w:hAnsi="Arial" w:cs="Arial"/>
          <w:szCs w:val="24"/>
          <w:lang w:val="en-GB"/>
        </w:rPr>
        <w:footnoteReference w:id="708"/>
      </w:r>
      <w:r w:rsidRPr="00181CF2">
        <w:rPr>
          <w:rFonts w:ascii="Arial" w:hAnsi="Arial" w:cs="Arial"/>
          <w:szCs w:val="24"/>
          <w:lang w:val="en-GB"/>
        </w:rPr>
        <w:t xml:space="preserve"> certain statutory restrictions upon contractual choice of law clauses;</w:t>
      </w:r>
      <w:r w:rsidRPr="00181CF2">
        <w:rPr>
          <w:rStyle w:val="FootnoteReference"/>
          <w:rFonts w:ascii="Arial" w:hAnsi="Arial" w:cs="Arial"/>
          <w:szCs w:val="24"/>
          <w:lang w:val="en-GB"/>
        </w:rPr>
        <w:footnoteReference w:id="709"/>
      </w:r>
      <w:r w:rsidRPr="00181CF2">
        <w:rPr>
          <w:rFonts w:ascii="Arial" w:hAnsi="Arial" w:cs="Arial"/>
          <w:szCs w:val="24"/>
          <w:lang w:val="en-GB"/>
        </w:rPr>
        <w:t xml:space="preserve"> formal validity of wills;</w:t>
      </w:r>
      <w:r w:rsidRPr="00181CF2">
        <w:rPr>
          <w:rStyle w:val="FootnoteReference"/>
          <w:rFonts w:ascii="Arial" w:hAnsi="Arial" w:cs="Arial"/>
          <w:szCs w:val="24"/>
          <w:lang w:val="en-GB"/>
        </w:rPr>
        <w:footnoteReference w:id="710"/>
      </w:r>
      <w:r w:rsidRPr="00181CF2">
        <w:rPr>
          <w:rFonts w:ascii="Arial" w:hAnsi="Arial" w:cs="Arial"/>
          <w:szCs w:val="24"/>
          <w:lang w:val="en-GB"/>
        </w:rPr>
        <w:t xml:space="preserve"> and certain jurisdictional issues in shipping collision cases.</w:t>
      </w:r>
      <w:r w:rsidRPr="00181CF2">
        <w:rPr>
          <w:rStyle w:val="FootnoteReference"/>
          <w:rFonts w:ascii="Arial" w:hAnsi="Arial" w:cs="Arial"/>
          <w:szCs w:val="24"/>
          <w:lang w:val="en-GB"/>
        </w:rPr>
        <w:footnoteReference w:id="711"/>
      </w:r>
    </w:p>
    <w:p w:rsidR="00E773F6" w:rsidRPr="00C57CE1" w:rsidRDefault="00E773F6" w:rsidP="00E773F6">
      <w:pPr>
        <w:tabs>
          <w:tab w:val="left" w:pos="1418"/>
        </w:tabs>
        <w:autoSpaceDE w:val="0"/>
        <w:autoSpaceDN w:val="0"/>
        <w:adjustRightInd w:val="0"/>
        <w:snapToGrid w:val="0"/>
        <w:jc w:val="both"/>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However, it is likely that the meaning of habitual residence varies according to the circumstances in which the issues arose.</w:t>
      </w:r>
      <w:r w:rsidRPr="00181CF2">
        <w:rPr>
          <w:rStyle w:val="FootnoteReference"/>
          <w:rFonts w:ascii="Arial" w:hAnsi="Arial" w:cs="Arial"/>
          <w:szCs w:val="24"/>
          <w:lang w:val="en-GB"/>
        </w:rPr>
        <w:footnoteReference w:id="712"/>
      </w:r>
      <w:r w:rsidRPr="00181CF2">
        <w:rPr>
          <w:rFonts w:ascii="Arial" w:hAnsi="Arial" w:cs="Arial"/>
          <w:szCs w:val="24"/>
          <w:lang w:val="en-GB"/>
        </w:rPr>
        <w:t xml:space="preserve">  This view was endorsed by the House of Lords in </w:t>
      </w:r>
      <w:r w:rsidRPr="00C57CE1">
        <w:rPr>
          <w:rFonts w:ascii="Arial" w:hAnsi="Arial" w:cs="Arial"/>
          <w:i/>
          <w:szCs w:val="24"/>
          <w:lang w:val="en-GB"/>
        </w:rPr>
        <w:t>Mark v Mark</w:t>
      </w:r>
      <w:r w:rsidRPr="00181CF2">
        <w:rPr>
          <w:rStyle w:val="FootnoteReference"/>
          <w:rFonts w:ascii="Arial" w:hAnsi="Arial" w:cs="Arial"/>
          <w:szCs w:val="24"/>
          <w:lang w:val="en-GB"/>
        </w:rPr>
        <w:footnoteReference w:id="713"/>
      </w:r>
      <w:r w:rsidRPr="00181CF2">
        <w:rPr>
          <w:rFonts w:ascii="Arial" w:hAnsi="Arial" w:cs="Arial"/>
          <w:i/>
          <w:szCs w:val="24"/>
          <w:lang w:val="en-GB"/>
        </w:rPr>
        <w:t xml:space="preserve"> </w:t>
      </w:r>
      <w:r w:rsidRPr="00C57CE1">
        <w:rPr>
          <w:rFonts w:ascii="Arial" w:hAnsi="Arial" w:cs="Arial"/>
          <w:szCs w:val="24"/>
          <w:lang w:val="en-GB"/>
        </w:rPr>
        <w:t>where it was held that the concept could have a “</w:t>
      </w:r>
      <w:r w:rsidRPr="0028108F">
        <w:rPr>
          <w:rFonts w:ascii="Arial" w:hAnsi="Arial" w:cs="Arial"/>
          <w:i/>
          <w:szCs w:val="24"/>
          <w:lang w:val="en-GB"/>
        </w:rPr>
        <w:t>different meaning in different statutes according to [the] context and purpose”</w:t>
      </w:r>
      <w:r w:rsidRPr="0028108F">
        <w:rPr>
          <w:rFonts w:ascii="Arial" w:hAnsi="Arial" w:cs="Arial"/>
          <w:szCs w:val="24"/>
          <w:lang w:val="en-GB"/>
        </w:rPr>
        <w:t xml:space="preserve"> of the statute.</w:t>
      </w:r>
      <w:r w:rsidRPr="00181CF2">
        <w:rPr>
          <w:rStyle w:val="FootnoteReference"/>
          <w:rFonts w:ascii="Arial" w:hAnsi="Arial" w:cs="Arial"/>
          <w:szCs w:val="24"/>
          <w:lang w:val="en-GB"/>
        </w:rPr>
        <w:footnoteReference w:id="714"/>
      </w:r>
      <w:r w:rsidRPr="00181CF2">
        <w:rPr>
          <w:rFonts w:ascii="Arial" w:hAnsi="Arial" w:cs="Arial"/>
          <w:szCs w:val="24"/>
          <w:lang w:val="en-GB"/>
        </w:rPr>
        <w:t xml:space="preserve">  The English law has generally accepted that this connecting factor and another one</w:t>
      </w:r>
      <w:r w:rsidR="00B24434" w:rsidRPr="0028108F">
        <w:rPr>
          <w:rFonts w:ascii="Arial" w:hAnsi="Arial" w:cs="Arial"/>
          <w:szCs w:val="24"/>
          <w:lang w:val="en-GB"/>
        </w:rPr>
        <w:t>,</w:t>
      </w:r>
      <w:r w:rsidRPr="00181CF2">
        <w:rPr>
          <w:rFonts w:ascii="Arial" w:hAnsi="Arial" w:cs="Arial"/>
          <w:szCs w:val="24"/>
          <w:lang w:val="en-GB"/>
        </w:rPr>
        <w:t xml:space="preserve"> “</w:t>
      </w:r>
      <w:r w:rsidRPr="00C57CE1">
        <w:rPr>
          <w:rFonts w:ascii="Arial" w:hAnsi="Arial" w:cs="Arial"/>
          <w:i/>
          <w:szCs w:val="24"/>
          <w:lang w:val="en-GB"/>
        </w:rPr>
        <w:t>ordinary residence</w:t>
      </w:r>
      <w:r w:rsidRPr="0028108F">
        <w:rPr>
          <w:rFonts w:ascii="Arial" w:hAnsi="Arial" w:cs="Arial"/>
          <w:szCs w:val="24"/>
          <w:lang w:val="en-GB"/>
        </w:rPr>
        <w:t>”</w:t>
      </w:r>
      <w:r w:rsidR="00B24434" w:rsidRPr="0028108F">
        <w:rPr>
          <w:rFonts w:ascii="Arial" w:hAnsi="Arial" w:cs="Arial"/>
          <w:szCs w:val="24"/>
          <w:lang w:val="en-GB"/>
        </w:rPr>
        <w:t>,</w:t>
      </w:r>
      <w:r w:rsidRPr="00181CF2">
        <w:rPr>
          <w:rFonts w:ascii="Arial" w:hAnsi="Arial" w:cs="Arial"/>
          <w:szCs w:val="24"/>
          <w:lang w:val="en-GB"/>
        </w:rPr>
        <w:t xml:space="preserve"> are interchangeable, i</w:t>
      </w:r>
      <w:r w:rsidRPr="00C57CE1">
        <w:rPr>
          <w:rFonts w:ascii="Arial" w:hAnsi="Arial" w:cs="Arial"/>
          <w:szCs w:val="24"/>
          <w:lang w:val="en-GB"/>
        </w:rPr>
        <w:t>e</w:t>
      </w:r>
      <w:r w:rsidR="006B78C8">
        <w:rPr>
          <w:rFonts w:ascii="Arial" w:hAnsi="Arial" w:cs="Arial" w:hint="eastAsia"/>
          <w:szCs w:val="24"/>
          <w:lang w:val="en-GB"/>
        </w:rPr>
        <w:t>,</w:t>
      </w:r>
      <w:r w:rsidRPr="0028108F">
        <w:rPr>
          <w:rFonts w:ascii="Arial" w:hAnsi="Arial" w:cs="Arial"/>
          <w:szCs w:val="24"/>
          <w:lang w:val="en-GB"/>
        </w:rPr>
        <w:t xml:space="preserve"> in order to prove habitual residence it is necessary to establish a concurrence of both the physical element of residence and a mental state of having a settled purpose of remaining there.</w:t>
      </w:r>
      <w:r w:rsidRPr="00181CF2">
        <w:rPr>
          <w:rStyle w:val="FootnoteReference"/>
          <w:rFonts w:ascii="Arial" w:hAnsi="Arial" w:cs="Arial"/>
          <w:szCs w:val="24"/>
          <w:lang w:val="en-GB"/>
        </w:rPr>
        <w:footnoteReference w:id="715"/>
      </w:r>
    </w:p>
    <w:p w:rsidR="00E773F6" w:rsidRPr="00C57CE1" w:rsidRDefault="00E773F6" w:rsidP="00E773F6">
      <w:pPr>
        <w:pStyle w:val="ListParagraph"/>
        <w:tabs>
          <w:tab w:val="left" w:pos="1418"/>
        </w:tabs>
        <w:adjustRightInd w:val="0"/>
        <w:snapToGrid w:val="0"/>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In Hong Kong, the Court of Appeal has summarised the meaning of habitual residence in the child abduction context.</w:t>
      </w:r>
      <w:r w:rsidRPr="00181CF2">
        <w:rPr>
          <w:rStyle w:val="FootnoteReference"/>
          <w:rFonts w:ascii="Arial" w:hAnsi="Arial" w:cs="Arial"/>
          <w:szCs w:val="24"/>
          <w:lang w:val="en-GB"/>
        </w:rPr>
        <w:footnoteReference w:id="716"/>
      </w:r>
      <w:r w:rsidRPr="00181CF2">
        <w:rPr>
          <w:rFonts w:ascii="Arial" w:hAnsi="Arial" w:cs="Arial"/>
          <w:szCs w:val="24"/>
          <w:lang w:val="en-GB"/>
        </w:rPr>
        <w:t xml:space="preserve">  It was held, </w:t>
      </w:r>
      <w:r w:rsidRPr="0028108F">
        <w:rPr>
          <w:rFonts w:ascii="Arial" w:hAnsi="Arial" w:cs="Arial"/>
          <w:i/>
          <w:szCs w:val="24"/>
          <w:lang w:val="en-GB"/>
        </w:rPr>
        <w:t>inter alia</w:t>
      </w:r>
      <w:r w:rsidRPr="00181CF2">
        <w:rPr>
          <w:rFonts w:ascii="Arial" w:hAnsi="Arial" w:cs="Arial"/>
          <w:szCs w:val="24"/>
          <w:lang w:val="en-GB"/>
        </w:rPr>
        <w:t>, that the interpretation is a question of fact, and as far as a child’s habitual residence is concerned, it refers to his/her abode in a particular place which he/she has adopted voluntarily and for settled purposes as part</w:t>
      </w:r>
      <w:r w:rsidRPr="00C57CE1">
        <w:rPr>
          <w:rFonts w:ascii="Arial" w:hAnsi="Arial" w:cs="Arial"/>
          <w:szCs w:val="24"/>
          <w:lang w:val="en-GB"/>
        </w:rPr>
        <w:t xml:space="preserve"> of the regular order of his/her life for the time being, whether of short or of long duration.</w:t>
      </w:r>
      <w:r w:rsidRPr="00181CF2">
        <w:rPr>
          <w:rStyle w:val="FootnoteReference"/>
          <w:rFonts w:ascii="Arial" w:hAnsi="Arial" w:cs="Arial"/>
          <w:szCs w:val="24"/>
          <w:lang w:val="en-GB"/>
        </w:rPr>
        <w:footnoteReference w:id="717"/>
      </w:r>
      <w:r w:rsidRPr="00181CF2">
        <w:rPr>
          <w:rFonts w:ascii="Arial" w:hAnsi="Arial" w:cs="Arial"/>
          <w:szCs w:val="24"/>
          <w:lang w:val="en-GB"/>
        </w:rPr>
        <w:t xml:space="preserve">  It remains to be seen how this is interpreted in other contexts.</w:t>
      </w:r>
    </w:p>
    <w:p w:rsidR="00E773F6" w:rsidRPr="00C57CE1" w:rsidRDefault="00E773F6" w:rsidP="00E773F6">
      <w:pPr>
        <w:pStyle w:val="ListParagraph"/>
        <w:tabs>
          <w:tab w:val="left" w:pos="1418"/>
        </w:tabs>
        <w:adjustRightInd w:val="0"/>
        <w:snapToGrid w:val="0"/>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w:t>
      </w:r>
      <w:r w:rsidR="00A0177D" w:rsidRPr="0028108F">
        <w:rPr>
          <w:rFonts w:ascii="Arial" w:hAnsi="Arial" w:cs="Arial"/>
          <w:szCs w:val="24"/>
          <w:lang w:val="en-GB"/>
        </w:rPr>
        <w:t>has been</w:t>
      </w:r>
      <w:r w:rsidRPr="0028108F">
        <w:rPr>
          <w:rFonts w:ascii="Arial" w:hAnsi="Arial" w:cs="Arial"/>
          <w:szCs w:val="24"/>
          <w:lang w:val="en-GB"/>
        </w:rPr>
        <w:t xml:space="preserve"> argued that the concept of habitual residence is one suited to modern conditions where people move around the world with greater ease than in the past, and is ideally suited for purposes such as divorce jurisdiction or child abduction where the aim is not to establish a </w:t>
      </w:r>
      <w:r w:rsidRPr="0028108F">
        <w:rPr>
          <w:rFonts w:ascii="Arial" w:hAnsi="Arial" w:cs="Arial"/>
          <w:i/>
          <w:szCs w:val="24"/>
          <w:lang w:val="en-GB"/>
        </w:rPr>
        <w:t>“real home”</w:t>
      </w:r>
      <w:r w:rsidRPr="0028108F">
        <w:rPr>
          <w:rFonts w:ascii="Arial" w:hAnsi="Arial" w:cs="Arial"/>
          <w:szCs w:val="24"/>
          <w:lang w:val="en-GB"/>
        </w:rPr>
        <w:t xml:space="preserve"> but rather to identify a jurisdiction with which a person has a legitimate connection.</w:t>
      </w:r>
      <w:r w:rsidRPr="00181CF2">
        <w:rPr>
          <w:rStyle w:val="FootnoteReference"/>
          <w:rFonts w:ascii="Arial" w:hAnsi="Arial" w:cs="Arial"/>
          <w:szCs w:val="24"/>
          <w:lang w:val="en-GB"/>
        </w:rPr>
        <w:footnoteReference w:id="718"/>
      </w:r>
      <w:r w:rsidRPr="00181CF2">
        <w:rPr>
          <w:rFonts w:ascii="Arial" w:hAnsi="Arial" w:cs="Arial"/>
          <w:szCs w:val="24"/>
          <w:lang w:val="en-GB"/>
        </w:rPr>
        <w:t xml:space="preserve">  Habitual residence can be utilised in many areas of law, particularly in the context of jurisdiction and the recognition of foreign judgments.</w:t>
      </w:r>
      <w:r w:rsidRPr="00181CF2">
        <w:rPr>
          <w:rStyle w:val="FootnoteReference"/>
          <w:rFonts w:ascii="Arial" w:hAnsi="Arial" w:cs="Arial"/>
          <w:szCs w:val="24"/>
          <w:lang w:val="en-GB"/>
        </w:rPr>
        <w:footnoteReference w:id="719"/>
      </w:r>
    </w:p>
    <w:p w:rsidR="00E773F6" w:rsidRPr="00C57CE1" w:rsidRDefault="00E773F6" w:rsidP="00E773F6">
      <w:pPr>
        <w:pStyle w:val="ListParagraph"/>
        <w:tabs>
          <w:tab w:val="left" w:pos="1418"/>
        </w:tabs>
        <w:adjustRightInd w:val="0"/>
        <w:snapToGrid w:val="0"/>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However, </w:t>
      </w:r>
      <w:r w:rsidR="00A0177D" w:rsidRPr="0028108F">
        <w:rPr>
          <w:rFonts w:ascii="Arial" w:hAnsi="Arial" w:cs="Arial"/>
          <w:szCs w:val="24"/>
          <w:lang w:val="en-GB"/>
        </w:rPr>
        <w:t xml:space="preserve">it has also been observed that </w:t>
      </w:r>
      <w:r w:rsidRPr="0028108F">
        <w:rPr>
          <w:rFonts w:ascii="Arial" w:hAnsi="Arial" w:cs="Arial"/>
          <w:szCs w:val="24"/>
          <w:lang w:val="en-GB"/>
        </w:rPr>
        <w:t>this concept is unsuitable for general choice of law purposes as it generates a link with a country that may be tenuous.  Such an approach would be inappropriate and could encourage people to engage in deliberate evasion of the law that would normally be applicable to them.</w:t>
      </w:r>
      <w:r w:rsidRPr="00181CF2">
        <w:rPr>
          <w:rStyle w:val="FootnoteReference"/>
          <w:rFonts w:ascii="Arial" w:hAnsi="Arial" w:cs="Arial"/>
          <w:szCs w:val="24"/>
          <w:lang w:val="en-GB"/>
        </w:rPr>
        <w:footnoteReference w:id="720"/>
      </w:r>
      <w:r w:rsidRPr="00181CF2">
        <w:rPr>
          <w:rFonts w:ascii="Arial" w:hAnsi="Arial" w:cs="Arial"/>
          <w:szCs w:val="24"/>
          <w:lang w:val="en-GB"/>
        </w:rPr>
        <w:t xml:space="preserve">  For example</w:t>
      </w:r>
      <w:r w:rsidRPr="00C57CE1">
        <w:rPr>
          <w:rFonts w:ascii="Arial" w:hAnsi="Arial" w:cs="Arial"/>
          <w:szCs w:val="24"/>
          <w:lang w:val="en-GB"/>
        </w:rPr>
        <w:t>, an English domiciliary working on a short term contract can become habitually resident in Saudi Arabia, and he should not marry more than one wife, which is permitted under the Saudi Arabian law.  Therefore, arguably the concept of domicile is more appro</w:t>
      </w:r>
      <w:r w:rsidRPr="0028108F">
        <w:rPr>
          <w:rFonts w:ascii="Arial" w:hAnsi="Arial" w:cs="Arial"/>
          <w:szCs w:val="24"/>
          <w:lang w:val="en-GB"/>
        </w:rPr>
        <w:t>priate for most family choice of law purposes.</w:t>
      </w:r>
      <w:r w:rsidRPr="00181CF2">
        <w:rPr>
          <w:rStyle w:val="FootnoteReference"/>
          <w:rFonts w:ascii="Arial" w:hAnsi="Arial" w:cs="Arial"/>
          <w:szCs w:val="24"/>
          <w:lang w:val="en-GB"/>
        </w:rPr>
        <w:footnoteReference w:id="721"/>
      </w:r>
    </w:p>
    <w:p w:rsidR="00040EFE" w:rsidRDefault="00040EFE" w:rsidP="008813DE">
      <w:pPr>
        <w:pStyle w:val="ListParagraph"/>
        <w:tabs>
          <w:tab w:val="left" w:pos="1418"/>
        </w:tabs>
        <w:adjustRightInd w:val="0"/>
        <w:snapToGrid w:val="0"/>
        <w:rPr>
          <w:rFonts w:ascii="Arial" w:hAnsi="Arial" w:cs="Arial"/>
          <w:b/>
          <w:szCs w:val="24"/>
          <w:lang w:val="en-GB"/>
        </w:rPr>
      </w:pPr>
    </w:p>
    <w:p w:rsidR="00F576DC" w:rsidRPr="00181CF2" w:rsidRDefault="00F576DC" w:rsidP="008813DE">
      <w:pPr>
        <w:pStyle w:val="ListParagraph"/>
        <w:tabs>
          <w:tab w:val="left" w:pos="1418"/>
        </w:tabs>
        <w:adjustRightInd w:val="0"/>
        <w:snapToGrid w:val="0"/>
        <w:rPr>
          <w:rFonts w:ascii="Arial" w:hAnsi="Arial" w:cs="Arial"/>
          <w:b/>
          <w:szCs w:val="24"/>
          <w:lang w:val="en-GB"/>
        </w:rPr>
      </w:pPr>
    </w:p>
    <w:p w:rsidR="0078323D" w:rsidRPr="0028108F" w:rsidRDefault="0078323D" w:rsidP="0078323D">
      <w:pPr>
        <w:rPr>
          <w:rFonts w:ascii="Arial" w:hAnsi="Arial" w:cs="Arial"/>
          <w:b/>
          <w:sz w:val="28"/>
          <w:szCs w:val="28"/>
          <w:lang w:val="en-GB"/>
        </w:rPr>
      </w:pPr>
      <w:r w:rsidRPr="0028108F">
        <w:rPr>
          <w:rFonts w:ascii="Arial" w:hAnsi="Arial" w:cs="Arial"/>
          <w:b/>
          <w:sz w:val="28"/>
          <w:szCs w:val="28"/>
          <w:lang w:val="en-GB"/>
        </w:rPr>
        <w:t>Issue for consultation</w:t>
      </w:r>
      <w:r w:rsidR="00040EFE" w:rsidRPr="00181CF2">
        <w:rPr>
          <w:rFonts w:ascii="Arial" w:hAnsi="Arial" w:cs="Arial"/>
          <w:b/>
          <w:sz w:val="28"/>
          <w:szCs w:val="28"/>
          <w:lang w:val="en-GB"/>
        </w:rPr>
        <w:t xml:space="preserve"> related to residency requirement</w:t>
      </w:r>
    </w:p>
    <w:p w:rsidR="0078323D" w:rsidRPr="00C57CE1" w:rsidRDefault="0078323D" w:rsidP="0078323D">
      <w:pPr>
        <w:pStyle w:val="ListParagraph"/>
        <w:tabs>
          <w:tab w:val="left" w:pos="1418"/>
          <w:tab w:val="left" w:pos="2552"/>
        </w:tabs>
        <w:adjustRightInd w:val="0"/>
        <w:snapToGrid w:val="0"/>
        <w:ind w:leftChars="0" w:left="0"/>
        <w:jc w:val="both"/>
        <w:rPr>
          <w:rFonts w:ascii="Arial" w:hAnsi="Arial" w:cs="Arial"/>
          <w:szCs w:val="24"/>
          <w:lang w:val="en-GB"/>
        </w:rPr>
      </w:pPr>
    </w:p>
    <w:p w:rsidR="00040EFE" w:rsidRPr="0028108F" w:rsidRDefault="0078323D" w:rsidP="00517171">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040EFE"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040EFE" w:rsidRPr="0028108F">
        <w:rPr>
          <w:rFonts w:ascii="Arial" w:hAnsi="Arial" w:cs="Arial"/>
          <w:b/>
          <w:color w:val="000000" w:themeColor="text1"/>
          <w:szCs w:val="24"/>
          <w:u w:val="single"/>
          <w:lang w:val="en-GB"/>
        </w:rPr>
        <w:t xml:space="preserve"> </w:t>
      </w:r>
      <w:r w:rsidR="00040EFE" w:rsidRPr="008813DE">
        <w:rPr>
          <w:rFonts w:ascii="Arial" w:hAnsi="Arial" w:cs="Arial"/>
          <w:b/>
          <w:color w:val="000000" w:themeColor="text1"/>
          <w:szCs w:val="24"/>
          <w:u w:val="single"/>
          <w:lang w:val="en-GB"/>
        </w:rPr>
        <w:t>7</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00E75189" w:rsidRPr="0028108F">
        <w:rPr>
          <w:rFonts w:ascii="Arial" w:hAnsi="Arial" w:cs="Arial"/>
          <w:b/>
          <w:color w:val="000000" w:themeColor="text1"/>
          <w:szCs w:val="24"/>
          <w:lang w:val="en-GB"/>
        </w:rPr>
        <w:t xml:space="preserve"> views from the public on </w:t>
      </w:r>
      <w:r w:rsidR="00EF57E0"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in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w:t>
      </w:r>
      <w:r w:rsidR="00EF57E0"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 xml:space="preserve"> whether the scheme should be open to</w:t>
      </w:r>
      <w:r w:rsidR="007F4930" w:rsidRPr="0028108F">
        <w:rPr>
          <w:rFonts w:ascii="Arial" w:hAnsi="Arial" w:cs="Arial"/>
          <w:b/>
          <w:color w:val="000000" w:themeColor="text1"/>
          <w:szCs w:val="24"/>
          <w:lang w:val="en-GB"/>
        </w:rPr>
        <w:t>, for examp</w:t>
      </w:r>
      <w:r w:rsidR="00EF57E0" w:rsidRPr="0028108F">
        <w:rPr>
          <w:rFonts w:ascii="Arial" w:hAnsi="Arial" w:cs="Arial"/>
          <w:b/>
          <w:color w:val="000000" w:themeColor="text1"/>
          <w:szCs w:val="24"/>
          <w:lang w:val="en-GB"/>
        </w:rPr>
        <w:t>l</w:t>
      </w:r>
      <w:r w:rsidR="007F4930" w:rsidRPr="0028108F">
        <w:rPr>
          <w:rFonts w:ascii="Arial" w:hAnsi="Arial" w:cs="Arial"/>
          <w:b/>
          <w:color w:val="000000" w:themeColor="text1"/>
          <w:szCs w:val="24"/>
          <w:lang w:val="en-GB"/>
        </w:rPr>
        <w:t>e,</w:t>
      </w:r>
      <w:r w:rsidRPr="0028108F">
        <w:rPr>
          <w:rFonts w:ascii="Arial" w:hAnsi="Arial" w:cs="Arial"/>
          <w:b/>
          <w:color w:val="000000" w:themeColor="text1"/>
          <w:szCs w:val="24"/>
          <w:lang w:val="en-GB"/>
        </w:rPr>
        <w:t xml:space="preserve"> permanent residents of Hong Kong, non-permanent residents</w:t>
      </w:r>
      <w:r w:rsidR="00EF57E0"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 xml:space="preserve"> and/or any other persons (such as visitors), and why.</w:t>
      </w:r>
    </w:p>
    <w:p w:rsidR="00F576DC" w:rsidRPr="008813DE" w:rsidRDefault="00F576DC" w:rsidP="008813DE">
      <w:pPr>
        <w:pStyle w:val="ListParagraph"/>
        <w:tabs>
          <w:tab w:val="left" w:pos="1418"/>
        </w:tabs>
        <w:adjustRightInd w:val="0"/>
        <w:snapToGrid w:val="0"/>
        <w:rPr>
          <w:rFonts w:ascii="Arial" w:hAnsi="Arial" w:cs="Arial"/>
          <w:szCs w:val="24"/>
          <w:lang w:val="en-GB"/>
        </w:rPr>
      </w:pPr>
    </w:p>
    <w:p w:rsidR="00181CF2" w:rsidRDefault="00181CF2" w:rsidP="008813DE">
      <w:pPr>
        <w:pStyle w:val="ListParagraph"/>
        <w:tabs>
          <w:tab w:val="left" w:pos="1418"/>
        </w:tabs>
        <w:adjustRightInd w:val="0"/>
        <w:snapToGrid w:val="0"/>
        <w:rPr>
          <w:rFonts w:ascii="Arial" w:hAnsi="Arial" w:cs="Arial"/>
          <w:szCs w:val="24"/>
          <w:lang w:val="en-GB"/>
        </w:rPr>
      </w:pPr>
    </w:p>
    <w:p w:rsidR="00117C9E" w:rsidRDefault="00117C9E" w:rsidP="008813DE">
      <w:pPr>
        <w:pStyle w:val="ListParagraph"/>
        <w:tabs>
          <w:tab w:val="left" w:pos="1418"/>
        </w:tabs>
        <w:adjustRightInd w:val="0"/>
        <w:snapToGrid w:val="0"/>
        <w:rPr>
          <w:rFonts w:ascii="Arial" w:hAnsi="Arial" w:cs="Arial"/>
          <w:szCs w:val="24"/>
          <w:lang w:val="en-GB"/>
        </w:rPr>
      </w:pPr>
    </w:p>
    <w:p w:rsidR="00117C9E" w:rsidRPr="008813DE" w:rsidRDefault="00117C9E" w:rsidP="008813DE">
      <w:pPr>
        <w:pStyle w:val="ListParagraph"/>
        <w:tabs>
          <w:tab w:val="left" w:pos="1418"/>
        </w:tabs>
        <w:adjustRightInd w:val="0"/>
        <w:snapToGrid w:val="0"/>
        <w:rPr>
          <w:rFonts w:ascii="Arial" w:hAnsi="Arial" w:cs="Arial"/>
          <w:szCs w:val="24"/>
          <w:lang w:val="en-GB"/>
        </w:rPr>
      </w:pPr>
    </w:p>
    <w:p w:rsidR="00E773F6" w:rsidRPr="0028108F" w:rsidRDefault="00E773F6"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Minimum age requirement</w:t>
      </w:r>
    </w:p>
    <w:p w:rsidR="00E773F6" w:rsidRPr="0028108F" w:rsidRDefault="00E773F6" w:rsidP="00E773F6">
      <w:pPr>
        <w:adjustRightInd w:val="0"/>
        <w:snapToGrid w:val="0"/>
        <w:jc w:val="both"/>
        <w:rPr>
          <w:rFonts w:ascii="Arial" w:hAnsi="Arial" w:cs="Arial"/>
          <w:b/>
          <w:color w:val="0000FF"/>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kern w:val="0"/>
          <w:szCs w:val="24"/>
          <w:lang w:val="en-GB"/>
        </w:rPr>
        <w:t xml:space="preserve">Arguments in support </w:t>
      </w:r>
      <w:r w:rsidR="00E773F6" w:rsidRPr="0028108F">
        <w:rPr>
          <w:rFonts w:ascii="Arial" w:hAnsi="Arial" w:cs="Arial"/>
          <w:b/>
          <w:i/>
          <w:color w:val="000000" w:themeColor="text1"/>
          <w:szCs w:val="24"/>
          <w:lang w:val="en-GB"/>
        </w:rPr>
        <w:t xml:space="preserve">of having a minimum age requirement </w:t>
      </w:r>
    </w:p>
    <w:p w:rsidR="00E773F6" w:rsidRPr="0028108F" w:rsidRDefault="00E773F6" w:rsidP="00E773F6">
      <w:pPr>
        <w:adjustRightInd w:val="0"/>
        <w:snapToGrid w:val="0"/>
        <w:jc w:val="both"/>
        <w:rPr>
          <w:rFonts w:ascii="Arial" w:hAnsi="Arial" w:cs="Arial"/>
          <w:b/>
          <w:color w:val="0000FF"/>
          <w:szCs w:val="24"/>
          <w:lang w:val="en-GB"/>
        </w:rPr>
      </w:pPr>
    </w:p>
    <w:p w:rsidR="00E773F6" w:rsidRPr="00181CF2" w:rsidRDefault="00E773F6"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It has been argued that setting the age requirement for gender recognition at the age of majority is reasonable, as a change of legal gender involves substantial changes in lifestyle and, if legal gender recognition requires surgery, a person has to be mature enough to make an informed decision about undergoing gender reassignment surgery.</w:t>
      </w:r>
      <w:r w:rsidRPr="00181CF2">
        <w:rPr>
          <w:rStyle w:val="FootnoteReference"/>
          <w:rFonts w:ascii="Arial" w:hAnsi="Arial" w:cs="Arial"/>
          <w:color w:val="000000" w:themeColor="text1"/>
          <w:szCs w:val="24"/>
          <w:lang w:val="en-GB"/>
        </w:rPr>
        <w:footnoteReference w:id="722"/>
      </w:r>
      <w:r w:rsidRPr="00181CF2">
        <w:rPr>
          <w:rFonts w:ascii="Arial" w:hAnsi="Arial" w:cs="Arial"/>
          <w:color w:val="000000" w:themeColor="text1"/>
          <w:szCs w:val="24"/>
          <w:lang w:val="en-GB"/>
        </w:rPr>
        <w:t xml:space="preserve">  There has been media commentary in this area illustrating the general belief shared by many judges and policy makers in Euro</w:t>
      </w:r>
      <w:r w:rsidRPr="00C57CE1">
        <w:rPr>
          <w:rFonts w:ascii="Arial" w:hAnsi="Arial" w:cs="Arial"/>
          <w:color w:val="000000" w:themeColor="text1"/>
          <w:szCs w:val="24"/>
          <w:lang w:val="en-GB"/>
        </w:rPr>
        <w:t>pe that minors must be protected from actions that they may regret in later life.</w:t>
      </w:r>
      <w:r w:rsidRPr="00181CF2">
        <w:rPr>
          <w:rStyle w:val="FootnoteReference"/>
          <w:rFonts w:ascii="Arial" w:hAnsi="Arial" w:cs="Arial"/>
          <w:color w:val="000000" w:themeColor="text1"/>
          <w:lang w:val="en-GB"/>
        </w:rPr>
        <w:footnoteReference w:id="723"/>
      </w:r>
      <w:r w:rsidRPr="00181CF2">
        <w:rPr>
          <w:rFonts w:ascii="Arial" w:hAnsi="Arial" w:cs="Arial"/>
          <w:color w:val="000000" w:themeColor="text1"/>
          <w:szCs w:val="24"/>
          <w:lang w:val="en-GB"/>
        </w:rPr>
        <w:t xml:space="preserve">  It was recognised that the age limit set down in the UK GRA reflects the practice in an overwhelming majority of European states;</w:t>
      </w:r>
      <w:r w:rsidRPr="00181CF2">
        <w:rPr>
          <w:rStyle w:val="FootnoteReference"/>
          <w:rFonts w:ascii="Arial" w:hAnsi="Arial" w:cs="Arial"/>
          <w:color w:val="000000" w:themeColor="text1"/>
          <w:lang w:val="en-GB"/>
        </w:rPr>
        <w:footnoteReference w:id="724"/>
      </w:r>
      <w:r w:rsidRPr="00181CF2">
        <w:rPr>
          <w:rFonts w:ascii="Arial" w:hAnsi="Arial" w:cs="Arial"/>
          <w:color w:val="000000" w:themeColor="text1"/>
          <w:szCs w:val="24"/>
          <w:lang w:val="en-GB"/>
        </w:rPr>
        <w:t xml:space="preserve"> and even the Danish landmark gender recog</w:t>
      </w:r>
      <w:r w:rsidRPr="00C57CE1">
        <w:rPr>
          <w:rFonts w:ascii="Arial" w:hAnsi="Arial" w:cs="Arial"/>
          <w:color w:val="000000" w:themeColor="text1"/>
          <w:szCs w:val="24"/>
          <w:lang w:val="en-GB"/>
        </w:rPr>
        <w:t>nition scheme, which is based solely on the principle of self-determination, is restricted to individuals who have reached the age of majority.  The legislature in Japan prescribed the reaching of majority age for a number of reasons: first, the requirem</w:t>
      </w:r>
      <w:r w:rsidRPr="0028108F">
        <w:rPr>
          <w:rFonts w:ascii="Arial" w:hAnsi="Arial" w:cs="Arial"/>
          <w:color w:val="000000" w:themeColor="text1"/>
          <w:szCs w:val="24"/>
          <w:lang w:val="en-GB"/>
        </w:rPr>
        <w:t>ent accords with the principle of civil law which provides adults with full capacity to enter into transactions independently; secondly, surgery is mandatory for gender recognition in that jurisdiction and thus the decision ought to be carefully taken by an adult who has attained biological maturity and mental stability; thirdly, this requirement is in line with the guidelines promulgated by the Japanese Society of Psychiatry and Neurology which only allow applicants over 20 years of age to access gender confirmation surgery.</w:t>
      </w:r>
      <w:r w:rsidRPr="00181CF2">
        <w:rPr>
          <w:rStyle w:val="FootnoteReference"/>
          <w:rFonts w:ascii="Arial" w:hAnsi="Arial" w:cs="Arial"/>
          <w:color w:val="000000" w:themeColor="text1"/>
          <w:szCs w:val="24"/>
          <w:lang w:val="en-GB"/>
        </w:rPr>
        <w:footnoteReference w:id="725"/>
      </w:r>
    </w:p>
    <w:p w:rsidR="00E773F6" w:rsidRPr="00C57CE1" w:rsidRDefault="00E773F6" w:rsidP="00961014">
      <w:pPr>
        <w:pStyle w:val="ListParagraph"/>
        <w:tabs>
          <w:tab w:val="left" w:pos="1418"/>
          <w:tab w:val="left" w:pos="2552"/>
        </w:tabs>
        <w:adjustRightInd w:val="0"/>
        <w:snapToGrid w:val="0"/>
        <w:ind w:leftChars="0" w:left="840"/>
        <w:jc w:val="both"/>
        <w:rPr>
          <w:rFonts w:ascii="Arial" w:hAnsi="Arial" w:cs="Arial"/>
          <w:color w:val="000000" w:themeColor="text1"/>
          <w:szCs w:val="24"/>
          <w:lang w:val="en-GB"/>
        </w:rPr>
      </w:pPr>
    </w:p>
    <w:p w:rsidR="00C80D5D" w:rsidRPr="0028108F" w:rsidRDefault="00E773F6" w:rsidP="0028108F">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From the medical perspective, it is stated in the WPATH </w:t>
      </w:r>
      <w:r w:rsidRPr="0028108F">
        <w:rPr>
          <w:rFonts w:ascii="Arial" w:hAnsi="Arial" w:cs="Arial"/>
          <w:i/>
          <w:color w:val="000000" w:themeColor="text1"/>
          <w:szCs w:val="24"/>
          <w:lang w:val="en-GB"/>
        </w:rPr>
        <w:t>Standards of Care</w:t>
      </w:r>
      <w:r w:rsidRPr="00181CF2">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that follow up studies show that for the majority of children who had </w:t>
      </w:r>
      <w:r w:rsidR="00E0316D" w:rsidRPr="0028108F">
        <w:rPr>
          <w:rFonts w:ascii="Arial" w:hAnsi="Arial" w:cs="Arial"/>
          <w:color w:val="000000" w:themeColor="text1"/>
          <w:szCs w:val="24"/>
          <w:lang w:val="en-GB"/>
        </w:rPr>
        <w:t xml:space="preserve">been diagnosed </w:t>
      </w:r>
      <w:r w:rsidR="00A0177D" w:rsidRPr="0028108F">
        <w:rPr>
          <w:rFonts w:ascii="Arial" w:hAnsi="Arial" w:cs="Arial"/>
          <w:color w:val="000000" w:themeColor="text1"/>
          <w:szCs w:val="24"/>
          <w:lang w:val="en-GB"/>
        </w:rPr>
        <w:t xml:space="preserve">as </w:t>
      </w:r>
      <w:r w:rsidR="00513E4A">
        <w:rPr>
          <w:rFonts w:ascii="Arial" w:hAnsi="Arial" w:cs="Arial" w:hint="eastAsia"/>
          <w:color w:val="000000" w:themeColor="text1"/>
          <w:szCs w:val="24"/>
          <w:lang w:val="en-GB"/>
        </w:rPr>
        <w:t>having</w:t>
      </w:r>
      <w:r w:rsidR="00E0316D"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gender dysphoria before puberty, this did not persist into adulthood, while patients with onset in adolescence (during and after puberty) and adulthood had a higher chance of the condition persisting.  </w:t>
      </w:r>
      <w:r w:rsidR="00093CD2" w:rsidRPr="0028108F">
        <w:rPr>
          <w:rFonts w:ascii="Arial" w:hAnsi="Arial" w:cs="Arial"/>
          <w:color w:val="000000" w:themeColor="text1"/>
          <w:szCs w:val="24"/>
          <w:lang w:val="en-GB"/>
        </w:rPr>
        <w:t>The</w:t>
      </w:r>
      <w:r w:rsidR="00093CD2" w:rsidRPr="0028108F">
        <w:rPr>
          <w:rFonts w:ascii="Arial" w:eastAsiaTheme="minorEastAsia" w:hAnsi="Arial" w:cs="Arial"/>
          <w:kern w:val="0"/>
          <w:szCs w:val="24"/>
          <w:lang w:val="en-GB"/>
        </w:rPr>
        <w:t xml:space="preserve"> WPATH noted that some epidemiologic studies lent support to the proposition that “</w:t>
      </w:r>
      <w:r w:rsidR="00093CD2" w:rsidRPr="0028108F">
        <w:rPr>
          <w:rFonts w:ascii="Arial" w:eastAsiaTheme="minorEastAsia" w:hAnsi="Arial" w:cs="Arial"/>
          <w:i/>
          <w:kern w:val="0"/>
          <w:szCs w:val="24"/>
          <w:lang w:val="en-GB"/>
        </w:rPr>
        <w:t xml:space="preserve">[g]ender dysphoria during childhood does not inevitably continue into adulthood” </w:t>
      </w:r>
      <w:r w:rsidR="00093CD2" w:rsidRPr="0028108F">
        <w:rPr>
          <w:rFonts w:ascii="Arial" w:eastAsiaTheme="minorEastAsia" w:hAnsi="Arial" w:cs="Arial"/>
          <w:kern w:val="0"/>
          <w:szCs w:val="24"/>
          <w:lang w:val="en-GB"/>
        </w:rPr>
        <w:t>and</w:t>
      </w:r>
      <w:r w:rsidR="00093CD2" w:rsidRPr="0028108F">
        <w:rPr>
          <w:rFonts w:ascii="Arial" w:eastAsiaTheme="minorEastAsia" w:hAnsi="Arial" w:cs="Arial"/>
          <w:i/>
          <w:kern w:val="0"/>
          <w:szCs w:val="24"/>
          <w:lang w:val="en-GB"/>
        </w:rPr>
        <w:t xml:space="preserve"> “the persistence of gender dysphoria into adulthood appears to be much higher for adolescents</w:t>
      </w:r>
      <w:r w:rsidR="00093CD2" w:rsidRPr="0028108F">
        <w:rPr>
          <w:rFonts w:ascii="Arial" w:eastAsiaTheme="minorEastAsia" w:hAnsi="Arial" w:cs="Arial"/>
          <w:kern w:val="0"/>
          <w:szCs w:val="24"/>
          <w:lang w:val="en-GB"/>
        </w:rPr>
        <w:t>.”</w:t>
      </w:r>
      <w:r w:rsidR="00093CD2" w:rsidRPr="00181CF2">
        <w:rPr>
          <w:rFonts w:ascii="Arial" w:eastAsiaTheme="minorEastAsia" w:hAnsi="Arial" w:cs="Arial"/>
          <w:szCs w:val="24"/>
          <w:vertAlign w:val="superscript"/>
          <w:lang w:val="en-GB"/>
        </w:rPr>
        <w:footnoteReference w:id="726"/>
      </w:r>
      <w:r w:rsidR="00093CD2" w:rsidRPr="00181CF2">
        <w:rPr>
          <w:rFonts w:ascii="Arial" w:eastAsiaTheme="minorEastAsia" w:hAnsi="Arial" w:cs="Arial"/>
          <w:kern w:val="0"/>
          <w:szCs w:val="24"/>
          <w:lang w:val="en-GB"/>
        </w:rPr>
        <w:t xml:space="preserve">  </w:t>
      </w:r>
      <w:r w:rsidR="00093CD2" w:rsidRPr="0028108F">
        <w:rPr>
          <w:rFonts w:ascii="Arial" w:eastAsiaTheme="minorEastAsia" w:hAnsi="Arial" w:cs="Arial"/>
          <w:kern w:val="0"/>
          <w:szCs w:val="24"/>
          <w:lang w:val="en-GB"/>
        </w:rPr>
        <w:t xml:space="preserve">As </w:t>
      </w:r>
      <w:r w:rsidR="00A0177D" w:rsidRPr="0028108F">
        <w:rPr>
          <w:rFonts w:ascii="Arial" w:eastAsiaTheme="minorEastAsia" w:hAnsi="Arial" w:cs="Arial"/>
          <w:kern w:val="0"/>
          <w:szCs w:val="24"/>
          <w:lang w:val="en-GB"/>
        </w:rPr>
        <w:t xml:space="preserve">discussed </w:t>
      </w:r>
      <w:r w:rsidR="00093CD2" w:rsidRPr="0028108F">
        <w:rPr>
          <w:rFonts w:ascii="Arial" w:eastAsiaTheme="minorEastAsia" w:hAnsi="Arial" w:cs="Arial"/>
          <w:kern w:val="0"/>
          <w:szCs w:val="24"/>
          <w:lang w:val="en-GB"/>
        </w:rPr>
        <w:t xml:space="preserve">earlier in Chapter 6 (under paragraph </w:t>
      </w:r>
      <w:r w:rsidR="00093CD2" w:rsidRPr="008813DE">
        <w:rPr>
          <w:rFonts w:ascii="Arial" w:eastAsiaTheme="minorEastAsia" w:hAnsi="Arial" w:cs="Arial"/>
          <w:kern w:val="0"/>
          <w:szCs w:val="24"/>
          <w:lang w:val="en-GB"/>
        </w:rPr>
        <w:t>6.9</w:t>
      </w:r>
      <w:r w:rsidR="00093CD2" w:rsidRPr="0028108F">
        <w:rPr>
          <w:rFonts w:ascii="Arial" w:eastAsiaTheme="minorEastAsia" w:hAnsi="Arial" w:cs="Arial"/>
          <w:kern w:val="0"/>
          <w:szCs w:val="24"/>
          <w:lang w:val="en-GB"/>
        </w:rPr>
        <w:t>), i</w:t>
      </w:r>
      <w:r w:rsidR="00C80D5D" w:rsidRPr="0028108F">
        <w:rPr>
          <w:rFonts w:ascii="Arial" w:hAnsi="Arial" w:cs="Arial"/>
          <w:color w:val="000000" w:themeColor="text1"/>
          <w:szCs w:val="24"/>
          <w:lang w:val="en-GB"/>
        </w:rPr>
        <w:t>t appears that a number of studies conducted by psychologists and sexologists in different jurisdictions</w:t>
      </w:r>
      <w:r w:rsidR="00093CD2" w:rsidRPr="0028108F">
        <w:rPr>
          <w:rFonts w:ascii="Arial" w:hAnsi="Arial" w:cs="Arial"/>
          <w:color w:val="000000" w:themeColor="text1"/>
          <w:szCs w:val="24"/>
          <w:lang w:val="en-GB"/>
        </w:rPr>
        <w:t xml:space="preserve"> have made similar observations</w:t>
      </w:r>
      <w:r w:rsidR="00C80D5D" w:rsidRPr="0028108F">
        <w:rPr>
          <w:rFonts w:ascii="Arial" w:hAnsi="Arial" w:cs="Arial"/>
          <w:color w:val="000000" w:themeColor="text1"/>
          <w:szCs w:val="24"/>
          <w:lang w:val="en-GB"/>
        </w:rPr>
        <w:t xml:space="preserve">.  By citing those studies, Dr Kwan Kai Man argued that </w:t>
      </w:r>
      <w:r w:rsidR="00DE39EE" w:rsidRPr="00181CF2">
        <w:rPr>
          <w:rFonts w:ascii="Arial" w:hAnsi="Arial" w:cs="Arial"/>
          <w:color w:val="000000" w:themeColor="text1"/>
          <w:szCs w:val="24"/>
          <w:lang w:val="en-GB"/>
        </w:rPr>
        <w:t>“</w:t>
      </w:r>
      <w:r w:rsidR="00DE39EE" w:rsidRPr="0028108F">
        <w:rPr>
          <w:rFonts w:ascii="Arial" w:hAnsi="Arial" w:cs="Arial"/>
          <w:color w:val="000000" w:themeColor="text1"/>
          <w:szCs w:val="24"/>
          <w:lang w:val="en-GB"/>
        </w:rPr>
        <w:t xml:space="preserve">allowing </w:t>
      </w:r>
      <w:r w:rsidR="00DE39EE" w:rsidRPr="00181CF2">
        <w:rPr>
          <w:rFonts w:ascii="Arial" w:hAnsi="Arial" w:cs="Arial"/>
          <w:color w:val="000000" w:themeColor="text1"/>
          <w:szCs w:val="24"/>
          <w:lang w:val="en-GB"/>
        </w:rPr>
        <w:t>children</w:t>
      </w:r>
      <w:r w:rsidR="00DE39EE" w:rsidRPr="0028108F">
        <w:rPr>
          <w:rFonts w:ascii="Arial" w:hAnsi="Arial" w:cs="Arial"/>
          <w:color w:val="000000" w:themeColor="text1"/>
          <w:szCs w:val="24"/>
          <w:lang w:val="en-GB"/>
        </w:rPr>
        <w:t xml:space="preserve"> to undergo social gender identity transition or apply adolescent inhibitors before puberty will very likely </w:t>
      </w:r>
      <w:r w:rsidR="00DE39EE" w:rsidRPr="00181CF2">
        <w:rPr>
          <w:rFonts w:ascii="Arial" w:hAnsi="Arial" w:cs="Arial"/>
          <w:color w:val="000000" w:themeColor="text1"/>
          <w:szCs w:val="24"/>
          <w:lang w:val="en-GB"/>
        </w:rPr>
        <w:t>strengthen</w:t>
      </w:r>
      <w:r w:rsidR="00DE39EE" w:rsidRPr="0028108F">
        <w:rPr>
          <w:rFonts w:ascii="Arial" w:hAnsi="Arial" w:cs="Arial"/>
          <w:color w:val="000000" w:themeColor="text1"/>
          <w:szCs w:val="24"/>
          <w:lang w:val="en-GB"/>
        </w:rPr>
        <w:t xml:space="preserve"> their transgender inclination and increase the chance of </w:t>
      </w:r>
      <w:r w:rsidR="00DE39EE" w:rsidRPr="00181CF2">
        <w:rPr>
          <w:rFonts w:ascii="Arial" w:hAnsi="Arial" w:cs="Arial"/>
          <w:color w:val="000000" w:themeColor="text1"/>
          <w:szCs w:val="24"/>
          <w:lang w:val="en-GB"/>
        </w:rPr>
        <w:t>persisting</w:t>
      </w:r>
      <w:r w:rsidR="00DE39EE" w:rsidRPr="0028108F">
        <w:rPr>
          <w:rFonts w:ascii="Arial" w:hAnsi="Arial" w:cs="Arial"/>
          <w:color w:val="000000" w:themeColor="text1"/>
          <w:szCs w:val="24"/>
          <w:lang w:val="en-GB"/>
        </w:rPr>
        <w:t xml:space="preserve"> their gender identity disorder into </w:t>
      </w:r>
      <w:r w:rsidR="00DE39EE" w:rsidRPr="00181CF2">
        <w:rPr>
          <w:rFonts w:ascii="Arial" w:hAnsi="Arial" w:cs="Arial"/>
          <w:color w:val="000000" w:themeColor="text1"/>
          <w:szCs w:val="24"/>
          <w:lang w:val="en-GB"/>
        </w:rPr>
        <w:t>adulthood</w:t>
      </w:r>
      <w:r w:rsidR="00DE39EE" w:rsidRPr="0028108F">
        <w:rPr>
          <w:rFonts w:ascii="Arial" w:hAnsi="Arial" w:cs="Arial"/>
          <w:color w:val="000000" w:themeColor="text1"/>
          <w:szCs w:val="24"/>
          <w:lang w:val="en-GB"/>
        </w:rPr>
        <w:t xml:space="preserve"> which would lead to irreversible surgery a</w:t>
      </w:r>
      <w:r w:rsidR="00B20E01" w:rsidRPr="0028108F">
        <w:rPr>
          <w:rFonts w:ascii="Arial" w:hAnsi="Arial" w:cs="Arial"/>
          <w:color w:val="000000" w:themeColor="text1"/>
          <w:szCs w:val="24"/>
          <w:lang w:val="en-GB"/>
        </w:rPr>
        <w:t>nd a route to the gender change bearing the risk of being affected by the side effects of drugs in the rest of their lives</w:t>
      </w:r>
      <w:r w:rsidR="00070507" w:rsidRPr="0028108F">
        <w:rPr>
          <w:rFonts w:ascii="Arial" w:hAnsi="Arial" w:cs="Arial"/>
          <w:color w:val="000000" w:themeColor="text1"/>
          <w:szCs w:val="24"/>
          <w:lang w:val="en-GB"/>
        </w:rPr>
        <w:t>.</w:t>
      </w:r>
      <w:r w:rsidR="00B20E01" w:rsidRPr="0028108F">
        <w:rPr>
          <w:rFonts w:ascii="Arial" w:hAnsi="Arial" w:cs="Arial"/>
          <w:color w:val="000000" w:themeColor="text1"/>
          <w:szCs w:val="24"/>
          <w:lang w:val="en-GB"/>
        </w:rPr>
        <w:t xml:space="preserve">  Accordingly, should the best interests of children be the paramount consideration, and based on the current unambiguous empirical scientific conclusion, the society must refuse any policies and ideologies that normalise transgender.</w:t>
      </w:r>
      <w:r w:rsidR="00B20E01" w:rsidRPr="00181CF2">
        <w:rPr>
          <w:rFonts w:ascii="Arial" w:hAnsi="Arial" w:cs="Arial"/>
          <w:color w:val="000000" w:themeColor="text1"/>
          <w:szCs w:val="24"/>
          <w:lang w:val="en-GB"/>
        </w:rPr>
        <w:t>”</w:t>
      </w:r>
      <w:r w:rsidR="00C80D5D" w:rsidRPr="00181CF2">
        <w:rPr>
          <w:rStyle w:val="FootnoteReference"/>
          <w:rFonts w:ascii="Arial" w:hAnsi="Arial" w:cs="Arial"/>
          <w:color w:val="000000" w:themeColor="text1"/>
          <w:szCs w:val="24"/>
          <w:lang w:val="en-GB"/>
        </w:rPr>
        <w:footnoteReference w:id="727"/>
      </w:r>
      <w:r w:rsidR="00C80D5D" w:rsidRPr="0028108F">
        <w:rPr>
          <w:rFonts w:ascii="Arial" w:hAnsi="Arial" w:cs="Arial"/>
          <w:color w:val="000000" w:themeColor="text1"/>
          <w:szCs w:val="24"/>
          <w:lang w:val="en-GB"/>
        </w:rPr>
        <w:t xml:space="preserve"> </w:t>
      </w:r>
    </w:p>
    <w:p w:rsidR="00C80D5D" w:rsidRPr="0028108F" w:rsidRDefault="00C80D5D" w:rsidP="0028108F">
      <w:pPr>
        <w:pStyle w:val="ListParagraph"/>
        <w:tabs>
          <w:tab w:val="left" w:pos="1418"/>
          <w:tab w:val="left" w:pos="2552"/>
        </w:tabs>
        <w:adjustRightInd w:val="0"/>
        <w:snapToGrid w:val="0"/>
        <w:ind w:leftChars="0" w:left="840"/>
        <w:jc w:val="both"/>
        <w:rPr>
          <w:rFonts w:ascii="Arial" w:hAnsi="Arial" w:cs="Arial"/>
          <w:color w:val="000000" w:themeColor="text1"/>
          <w:szCs w:val="24"/>
          <w:lang w:val="en-GB"/>
        </w:rPr>
      </w:pPr>
    </w:p>
    <w:p w:rsidR="00E773F6" w:rsidRPr="0028108F" w:rsidRDefault="00C80D5D"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It was noted that</w:t>
      </w:r>
      <w:r w:rsidR="00E773F6" w:rsidRPr="00C57CE1">
        <w:rPr>
          <w:rFonts w:ascii="Arial" w:hAnsi="Arial" w:cs="Arial"/>
          <w:color w:val="000000" w:themeColor="text1"/>
          <w:szCs w:val="24"/>
          <w:lang w:val="en-GB"/>
        </w:rPr>
        <w:t xml:space="preserve"> treatment for gender dysphoria would usually concentrate more on counseling before puberty, while more reversible treatment may be considered in adoles</w:t>
      </w:r>
      <w:r w:rsidR="00E773F6" w:rsidRPr="0028108F">
        <w:rPr>
          <w:rFonts w:ascii="Arial" w:hAnsi="Arial" w:cs="Arial"/>
          <w:color w:val="000000" w:themeColor="text1"/>
          <w:szCs w:val="24"/>
          <w:lang w:val="en-GB"/>
        </w:rPr>
        <w:t>cents on or after puberty.</w:t>
      </w:r>
      <w:r w:rsidR="00E773F6" w:rsidRPr="00181CF2">
        <w:rPr>
          <w:rStyle w:val="FootnoteReference"/>
          <w:rFonts w:ascii="Arial" w:hAnsi="Arial" w:cs="Arial"/>
          <w:color w:val="000000" w:themeColor="text1"/>
          <w:lang w:val="en-GB"/>
        </w:rPr>
        <w:footnoteReference w:id="728"/>
      </w:r>
      <w:r w:rsidR="00E773F6" w:rsidRPr="00181CF2">
        <w:rPr>
          <w:rFonts w:ascii="Arial" w:hAnsi="Arial" w:cs="Arial"/>
          <w:color w:val="000000" w:themeColor="text1"/>
          <w:szCs w:val="24"/>
          <w:lang w:val="en-GB"/>
        </w:rPr>
        <w:t xml:space="preserve">  The hormonal treatment for teenage patients would aim to afford them a chance to </w:t>
      </w:r>
      <w:r w:rsidR="00E773F6" w:rsidRPr="00C57CE1">
        <w:rPr>
          <w:rFonts w:ascii="Arial" w:hAnsi="Arial" w:cs="Arial"/>
          <w:i/>
          <w:color w:val="000000" w:themeColor="text1"/>
          <w:szCs w:val="24"/>
          <w:lang w:val="en-GB"/>
        </w:rPr>
        <w:t>“revert”</w:t>
      </w:r>
      <w:r w:rsidR="00E773F6" w:rsidRPr="0028108F">
        <w:rPr>
          <w:rFonts w:ascii="Arial" w:hAnsi="Arial" w:cs="Arial"/>
          <w:color w:val="000000" w:themeColor="text1"/>
          <w:szCs w:val="24"/>
          <w:lang w:val="en-GB"/>
        </w:rPr>
        <w:t xml:space="preserve"> back to their anatomical sex and the hormones prescribed would delay puberty in adolescence and block normal hormones that would cause children to develop secondary sex characteristics.</w:t>
      </w:r>
      <w:r w:rsidR="00E773F6" w:rsidRPr="00181CF2">
        <w:rPr>
          <w:rStyle w:val="FootnoteReference"/>
          <w:rFonts w:ascii="Arial" w:hAnsi="Arial" w:cs="Arial"/>
          <w:color w:val="000000" w:themeColor="text1"/>
          <w:szCs w:val="24"/>
          <w:lang w:val="en-GB"/>
        </w:rPr>
        <w:footnoteReference w:id="729"/>
      </w:r>
      <w:r w:rsidR="00E773F6" w:rsidRPr="00181CF2">
        <w:rPr>
          <w:rFonts w:ascii="Arial" w:hAnsi="Arial" w:cs="Arial"/>
          <w:color w:val="000000" w:themeColor="text1"/>
          <w:szCs w:val="24"/>
          <w:lang w:val="en-GB"/>
        </w:rPr>
        <w:t xml:space="preserve">  According to the Hospital Authority, </w:t>
      </w:r>
      <w:r w:rsidR="00E773F6" w:rsidRPr="00C57CE1">
        <w:rPr>
          <w:rFonts w:ascii="Arial" w:hAnsi="Arial" w:cs="Arial"/>
          <w:szCs w:val="24"/>
          <w:lang w:val="en-GB"/>
        </w:rPr>
        <w:t xml:space="preserve">after the diagnosis of gender dysphoria, the treatment varies with age and </w:t>
      </w:r>
      <w:r w:rsidR="00E50F27" w:rsidRPr="0028108F">
        <w:rPr>
          <w:rFonts w:ascii="Arial" w:hAnsi="Arial" w:cs="Arial"/>
          <w:szCs w:val="24"/>
          <w:lang w:val="en-GB"/>
        </w:rPr>
        <w:t xml:space="preserve">the </w:t>
      </w:r>
      <w:r w:rsidR="00E773F6" w:rsidRPr="0028108F">
        <w:rPr>
          <w:rFonts w:ascii="Arial" w:hAnsi="Arial" w:cs="Arial"/>
          <w:szCs w:val="24"/>
          <w:lang w:val="en-GB"/>
        </w:rPr>
        <w:t>desire of patient.  For children and adolescents, the mainstay of treatment is psychological counselling.  For exceptional cases in adolescence, hormones of the opposite sex may be prescribed.  For adults, the mainstays of treatment are hormones and surgery.  Psychotherapy is also a mainstay of care for adult patients.</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color w:val="000000" w:themeColor="text1"/>
          <w:szCs w:val="24"/>
          <w:lang w:val="en-GB"/>
        </w:rPr>
      </w:pPr>
    </w:p>
    <w:p w:rsidR="00E773F6" w:rsidRPr="00181CF2"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Medical interventions for legal gender recognition procedures are usually age-sensitive</w:t>
      </w:r>
      <w:r w:rsidR="003F3B26" w:rsidRPr="0028108F">
        <w:rPr>
          <w:rFonts w:ascii="Arial" w:hAnsi="Arial" w:cs="Arial"/>
          <w:szCs w:val="24"/>
          <w:lang w:val="en-GB"/>
        </w:rPr>
        <w:t>.</w:t>
      </w:r>
      <w:r w:rsidRPr="0028108F">
        <w:rPr>
          <w:rFonts w:ascii="Arial" w:hAnsi="Arial" w:cs="Arial"/>
          <w:szCs w:val="24"/>
          <w:lang w:val="en-GB"/>
        </w:rPr>
        <w:t xml:space="preserve"> </w:t>
      </w:r>
      <w:r w:rsidR="003F3B26" w:rsidRPr="0028108F">
        <w:rPr>
          <w:rFonts w:ascii="Arial" w:hAnsi="Arial" w:cs="Arial"/>
          <w:szCs w:val="24"/>
          <w:lang w:val="en-GB"/>
        </w:rPr>
        <w:t xml:space="preserve"> F</w:t>
      </w:r>
      <w:r w:rsidRPr="0028108F">
        <w:rPr>
          <w:rFonts w:ascii="Arial" w:hAnsi="Arial" w:cs="Arial"/>
          <w:szCs w:val="24"/>
          <w:lang w:val="en-GB"/>
        </w:rPr>
        <w:t xml:space="preserve">or example, </w:t>
      </w:r>
      <w:r w:rsidR="003F3B26" w:rsidRPr="0028108F">
        <w:rPr>
          <w:rFonts w:ascii="Arial" w:hAnsi="Arial" w:cs="Arial"/>
          <w:szCs w:val="24"/>
          <w:lang w:val="en-GB"/>
        </w:rPr>
        <w:t>they might be restricted</w:t>
      </w:r>
      <w:r w:rsidRPr="0028108F">
        <w:rPr>
          <w:rFonts w:ascii="Arial" w:hAnsi="Arial" w:cs="Arial"/>
          <w:szCs w:val="24"/>
          <w:lang w:val="en-GB"/>
        </w:rPr>
        <w:t xml:space="preserve"> to persons at or above a certain age</w:t>
      </w:r>
      <w:r w:rsidR="00E50F27" w:rsidRPr="0028108F">
        <w:rPr>
          <w:rFonts w:ascii="Arial" w:hAnsi="Arial" w:cs="Arial"/>
          <w:szCs w:val="24"/>
          <w:lang w:val="en-GB"/>
        </w:rPr>
        <w:t>,</w:t>
      </w:r>
      <w:r w:rsidRPr="0028108F">
        <w:rPr>
          <w:rFonts w:ascii="Arial" w:hAnsi="Arial" w:cs="Arial"/>
          <w:szCs w:val="24"/>
          <w:lang w:val="en-GB"/>
        </w:rPr>
        <w:t xml:space="preserve"> such as 16 or 18.  The WPATH</w:t>
      </w:r>
      <w:r w:rsidR="00FD6DE0" w:rsidRPr="0028108F">
        <w:rPr>
          <w:rFonts w:ascii="Arial" w:hAnsi="Arial" w:cs="Arial"/>
          <w:szCs w:val="24"/>
          <w:lang w:val="en-GB"/>
        </w:rPr>
        <w:t>’s</w:t>
      </w:r>
      <w:r w:rsidRPr="0028108F">
        <w:rPr>
          <w:rFonts w:ascii="Arial" w:hAnsi="Arial" w:cs="Arial"/>
          <w:szCs w:val="24"/>
          <w:lang w:val="en-GB"/>
        </w:rPr>
        <w:t xml:space="preserve"> </w:t>
      </w:r>
      <w:r w:rsidRPr="0028108F">
        <w:rPr>
          <w:rFonts w:ascii="Arial" w:hAnsi="Arial" w:cs="Arial"/>
          <w:i/>
          <w:szCs w:val="24"/>
          <w:lang w:val="en-GB"/>
        </w:rPr>
        <w:t>Standards of Care</w:t>
      </w:r>
      <w:r w:rsidRPr="00181CF2">
        <w:rPr>
          <w:rFonts w:ascii="Arial" w:hAnsi="Arial" w:cs="Arial"/>
          <w:szCs w:val="24"/>
          <w:lang w:val="en-GB"/>
        </w:rPr>
        <w:t xml:space="preserve"> suggest that adolescents may be eligible to begin </w:t>
      </w:r>
      <w:r w:rsidRPr="00C57CE1">
        <w:rPr>
          <w:rFonts w:ascii="Arial" w:hAnsi="Arial" w:cs="Arial"/>
          <w:szCs w:val="24"/>
          <w:lang w:val="en-GB"/>
        </w:rPr>
        <w:t>feminising/masculinising hormone therapy, preferably with parental consent, while genital surgery should not be carried out until (a) patients reach the legal age of majority to give consent for medical procedures in a given country and (b) patients have</w:t>
      </w:r>
      <w:r w:rsidRPr="0028108F">
        <w:rPr>
          <w:rFonts w:ascii="Arial" w:hAnsi="Arial" w:cs="Arial"/>
          <w:szCs w:val="24"/>
          <w:lang w:val="en-GB"/>
        </w:rPr>
        <w:t xml:space="preserve"> lived continuously for at least 12 months in the gender role that is congruent with their gender identity.</w:t>
      </w:r>
      <w:r w:rsidRPr="00181CF2">
        <w:rPr>
          <w:rFonts w:ascii="Arial" w:hAnsi="Arial" w:cs="Arial"/>
          <w:vertAlign w:val="superscript"/>
          <w:lang w:val="en-GB"/>
        </w:rPr>
        <w:footnoteReference w:id="730"/>
      </w:r>
    </w:p>
    <w:p w:rsidR="00E773F6" w:rsidRPr="0028108F" w:rsidRDefault="00E773F6" w:rsidP="00E773F6">
      <w:pPr>
        <w:tabs>
          <w:tab w:val="left" w:pos="1418"/>
        </w:tabs>
        <w:snapToGrid w:val="0"/>
        <w:ind w:leftChars="531" w:left="1274"/>
        <w:jc w:val="both"/>
        <w:rPr>
          <w:rFonts w:ascii="Arial" w:hAnsi="Arial" w:cs="Arial"/>
          <w:b/>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Arguments against</w:t>
      </w:r>
      <w:r w:rsidR="00E773F6" w:rsidRPr="0028108F">
        <w:rPr>
          <w:rFonts w:ascii="Arial" w:hAnsi="Arial" w:cs="Arial"/>
          <w:b/>
          <w:i/>
          <w:color w:val="000000" w:themeColor="text1"/>
          <w:szCs w:val="24"/>
          <w:lang w:val="en-GB"/>
        </w:rPr>
        <w:t xml:space="preserve"> having a minimum age requirement </w:t>
      </w:r>
    </w:p>
    <w:p w:rsidR="00E773F6" w:rsidRPr="0028108F" w:rsidRDefault="00E773F6" w:rsidP="00E773F6">
      <w:pPr>
        <w:adjustRightInd w:val="0"/>
        <w:snapToGrid w:val="0"/>
        <w:jc w:val="both"/>
        <w:rPr>
          <w:rFonts w:ascii="Arial" w:hAnsi="Arial" w:cs="Arial"/>
          <w:b/>
          <w:color w:val="0000FF"/>
          <w:szCs w:val="24"/>
          <w:lang w:val="en-GB"/>
        </w:rPr>
      </w:pPr>
    </w:p>
    <w:p w:rsidR="00E773F6" w:rsidRPr="0028108F" w:rsidRDefault="00561157" w:rsidP="001544FD">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It is noted that t</w:t>
      </w:r>
      <w:r w:rsidR="00E773F6" w:rsidRPr="0028108F">
        <w:rPr>
          <w:rFonts w:ascii="Arial" w:hAnsi="Arial" w:cs="Arial"/>
          <w:szCs w:val="24"/>
          <w:lang w:val="en-GB"/>
        </w:rPr>
        <w:t xml:space="preserve">here has been a trend in many countries to remove the minimum age requirement for gender recognition.  </w:t>
      </w:r>
      <w:r w:rsidR="009467A9" w:rsidRPr="0028108F">
        <w:rPr>
          <w:rFonts w:ascii="Arial" w:hAnsi="Arial" w:cs="Arial"/>
          <w:color w:val="000000" w:themeColor="text1"/>
          <w:szCs w:val="24"/>
          <w:lang w:val="en-GB"/>
        </w:rPr>
        <w:t xml:space="preserve">Dr </w:t>
      </w:r>
      <w:r w:rsidR="00E773F6" w:rsidRPr="0028108F">
        <w:rPr>
          <w:rFonts w:ascii="Arial" w:hAnsi="Arial" w:cs="Arial"/>
          <w:color w:val="000000" w:themeColor="text1"/>
          <w:szCs w:val="24"/>
          <w:lang w:val="en-GB"/>
        </w:rPr>
        <w:t xml:space="preserve">Scherpe </w:t>
      </w:r>
      <w:r w:rsidR="00E50F27" w:rsidRPr="0028108F">
        <w:rPr>
          <w:rFonts w:ascii="Arial" w:hAnsi="Arial" w:cs="Arial"/>
          <w:color w:val="000000" w:themeColor="text1"/>
          <w:szCs w:val="24"/>
          <w:lang w:val="en-GB"/>
        </w:rPr>
        <w:t>has observed</w:t>
      </w:r>
      <w:r w:rsidR="00E773F6" w:rsidRPr="0028108F">
        <w:rPr>
          <w:rFonts w:ascii="Arial" w:hAnsi="Arial" w:cs="Arial"/>
          <w:szCs w:val="24"/>
          <w:lang w:val="en-GB"/>
        </w:rPr>
        <w:t>:</w:t>
      </w:r>
    </w:p>
    <w:p w:rsidR="00E773F6" w:rsidRPr="0028108F" w:rsidRDefault="00E773F6" w:rsidP="00E773F6">
      <w:pPr>
        <w:pStyle w:val="ListParagraph"/>
        <w:tabs>
          <w:tab w:val="left" w:pos="1418"/>
          <w:tab w:val="left" w:pos="2552"/>
        </w:tabs>
        <w:adjustRightInd w:val="0"/>
        <w:snapToGrid w:val="0"/>
        <w:ind w:leftChars="0" w:left="0"/>
        <w:jc w:val="both"/>
        <w:rPr>
          <w:rFonts w:ascii="Arial" w:hAnsi="Arial" w:cs="Arial"/>
          <w:szCs w:val="24"/>
          <w:lang w:val="en-GB"/>
        </w:rPr>
      </w:pPr>
    </w:p>
    <w:p w:rsidR="00E773F6" w:rsidRPr="00181CF2" w:rsidRDefault="00E773F6" w:rsidP="00961014">
      <w:pPr>
        <w:snapToGrid w:val="0"/>
        <w:ind w:leftChars="-235" w:left="852" w:rightChars="212" w:right="509" w:hangingChars="590" w:hanging="1416"/>
        <w:jc w:val="both"/>
        <w:rPr>
          <w:rFonts w:ascii="Arial" w:hAnsi="Arial" w:cs="Arial"/>
          <w:kern w:val="0"/>
          <w:szCs w:val="24"/>
          <w:lang w:val="en-GB"/>
        </w:rPr>
      </w:pPr>
      <w:r w:rsidRPr="0028108F">
        <w:rPr>
          <w:rFonts w:ascii="Arial" w:hAnsi="Arial" w:cs="Arial"/>
          <w:kern w:val="0"/>
          <w:szCs w:val="24"/>
          <w:lang w:val="en-GB"/>
        </w:rPr>
        <w:tab/>
      </w:r>
      <w:r w:rsidRPr="0028108F">
        <w:rPr>
          <w:rFonts w:ascii="Arial" w:hAnsi="Arial" w:cs="Arial"/>
          <w:i/>
          <w:kern w:val="0"/>
          <w:szCs w:val="24"/>
          <w:lang w:val="en-GB"/>
        </w:rPr>
        <w:t>“The earlier statutes/legal provision of the 1970/80s (for example those of Sweden and Germany) often stipulated a certain minimum age for an applicant (e.g. 18 years or even 25 years).  More recent legislation, having the benefit of being able to rely on modern medical and psychological research, have moved away from a minimum age requirement.  In the case of Germany such a requirement was even found to be a violation of Germany’s Basic Law.</w:t>
      </w:r>
      <w:r w:rsidRPr="0028108F">
        <w:rPr>
          <w:rFonts w:ascii="Arial" w:hAnsi="Arial" w:cs="Arial"/>
          <w:kern w:val="0"/>
          <w:szCs w:val="24"/>
          <w:lang w:val="en-GB"/>
        </w:rPr>
        <w:t>”</w:t>
      </w:r>
      <w:r w:rsidRPr="00181CF2">
        <w:rPr>
          <w:rStyle w:val="FootnoteReference"/>
          <w:rFonts w:ascii="Arial" w:hAnsi="Arial" w:cs="Arial"/>
          <w:color w:val="000000" w:themeColor="text1"/>
          <w:szCs w:val="24"/>
          <w:lang w:val="en-GB"/>
        </w:rPr>
        <w:footnoteReference w:id="731"/>
      </w:r>
    </w:p>
    <w:p w:rsidR="00E773F6" w:rsidRPr="00C57CE1" w:rsidRDefault="00E773F6" w:rsidP="00E773F6">
      <w:pPr>
        <w:pStyle w:val="ListParagraph"/>
        <w:tabs>
          <w:tab w:val="left" w:pos="1418"/>
          <w:tab w:val="left" w:pos="2552"/>
        </w:tabs>
        <w:adjustRightInd w:val="0"/>
        <w:snapToGrid w:val="0"/>
        <w:ind w:leftChars="0" w:left="0"/>
        <w:jc w:val="both"/>
        <w:rPr>
          <w:rFonts w:ascii="Arial" w:eastAsiaTheme="minorEastAsia" w:hAnsi="Arial" w:cs="Arial"/>
          <w:i/>
          <w:kern w:val="0"/>
          <w:szCs w:val="24"/>
          <w:lang w:val="en-GB"/>
        </w:rPr>
      </w:pPr>
    </w:p>
    <w:p w:rsidR="00E773F6" w:rsidRPr="0028108F" w:rsidRDefault="00E73C00" w:rsidP="001544FD">
      <w:pPr>
        <w:pStyle w:val="ListParagraph"/>
        <w:numPr>
          <w:ilvl w:val="0"/>
          <w:numId w:val="104"/>
        </w:numPr>
        <w:tabs>
          <w:tab w:val="left" w:pos="1418"/>
          <w:tab w:val="left" w:pos="2552"/>
        </w:tabs>
        <w:adjustRightInd w:val="0"/>
        <w:snapToGrid w:val="0"/>
        <w:ind w:leftChars="0" w:left="0" w:firstLine="0"/>
        <w:jc w:val="both"/>
        <w:rPr>
          <w:rFonts w:ascii="Arial" w:eastAsiaTheme="minorEastAsia" w:hAnsi="Arial" w:cs="Arial"/>
          <w:i/>
          <w:kern w:val="0"/>
          <w:szCs w:val="24"/>
          <w:lang w:val="en-GB"/>
        </w:rPr>
      </w:pPr>
      <w:r w:rsidRPr="0028108F">
        <w:rPr>
          <w:rFonts w:ascii="Arial" w:hAnsi="Arial" w:cs="Arial"/>
          <w:color w:val="000000" w:themeColor="text1"/>
          <w:szCs w:val="24"/>
          <w:lang w:val="en-GB"/>
        </w:rPr>
        <w:t xml:space="preserve">Dr </w:t>
      </w:r>
      <w:r w:rsidR="00E773F6" w:rsidRPr="0028108F">
        <w:rPr>
          <w:rFonts w:ascii="Arial" w:hAnsi="Arial" w:cs="Arial"/>
          <w:color w:val="000000" w:themeColor="text1"/>
          <w:szCs w:val="24"/>
          <w:lang w:val="en-GB"/>
        </w:rPr>
        <w:t xml:space="preserve">Scherpe also </w:t>
      </w:r>
      <w:r w:rsidR="00E50F27" w:rsidRPr="0028108F">
        <w:rPr>
          <w:rFonts w:ascii="Arial" w:hAnsi="Arial" w:cs="Arial"/>
          <w:color w:val="000000" w:themeColor="text1"/>
          <w:szCs w:val="24"/>
          <w:lang w:val="en-GB"/>
        </w:rPr>
        <w:t>stated</w:t>
      </w:r>
      <w:r w:rsidR="00E773F6" w:rsidRPr="0028108F">
        <w:rPr>
          <w:rFonts w:ascii="Arial" w:hAnsi="Arial" w:cs="Arial"/>
          <w:color w:val="000000" w:themeColor="text1"/>
          <w:szCs w:val="24"/>
          <w:lang w:val="en-GB"/>
        </w:rPr>
        <w:t xml:space="preserve"> that:</w:t>
      </w:r>
    </w:p>
    <w:p w:rsidR="00E773F6" w:rsidRPr="0028108F" w:rsidRDefault="00E773F6" w:rsidP="00E773F6">
      <w:pPr>
        <w:snapToGrid w:val="0"/>
        <w:ind w:left="1699" w:hangingChars="708" w:hanging="1699"/>
        <w:jc w:val="both"/>
        <w:rPr>
          <w:rFonts w:ascii="Arial" w:hAnsi="Arial" w:cs="Arial"/>
          <w:i/>
          <w:kern w:val="0"/>
          <w:szCs w:val="24"/>
          <w:lang w:val="en-GB"/>
        </w:rPr>
      </w:pPr>
    </w:p>
    <w:p w:rsidR="00E773F6" w:rsidRPr="00C57CE1" w:rsidRDefault="00E773F6" w:rsidP="00961014">
      <w:pPr>
        <w:snapToGrid w:val="0"/>
        <w:ind w:leftChars="-235" w:left="852" w:rightChars="212" w:right="509" w:hangingChars="590" w:hanging="1416"/>
        <w:jc w:val="both"/>
        <w:rPr>
          <w:rFonts w:ascii="Arial" w:hAnsi="Arial" w:cs="Arial"/>
          <w:i/>
          <w:kern w:val="0"/>
          <w:szCs w:val="24"/>
          <w:lang w:val="en-GB"/>
        </w:rPr>
      </w:pPr>
      <w:r w:rsidRPr="0028108F">
        <w:rPr>
          <w:rFonts w:ascii="Arial" w:hAnsi="Arial" w:cs="Arial"/>
          <w:i/>
          <w:kern w:val="0"/>
          <w:szCs w:val="24"/>
          <w:lang w:val="en-GB"/>
        </w:rPr>
        <w:tab/>
        <w:t>“Any age limit essentially is an arbitrary one, and each applicant therefore deserves to be considered as an individual and the particular circumstances of the individual need to be taken into account.”</w:t>
      </w:r>
      <w:r w:rsidRPr="00C57CE1">
        <w:rPr>
          <w:rStyle w:val="FootnoteReference"/>
          <w:rFonts w:ascii="Arial" w:hAnsi="Arial" w:cs="Arial"/>
          <w:color w:val="000000" w:themeColor="text1"/>
          <w:szCs w:val="24"/>
          <w:lang w:val="en-GB"/>
        </w:rPr>
        <w:footnoteReference w:id="732"/>
      </w:r>
    </w:p>
    <w:p w:rsidR="00E773F6" w:rsidRPr="0028108F" w:rsidRDefault="00E773F6" w:rsidP="00E773F6">
      <w:pPr>
        <w:snapToGrid w:val="0"/>
        <w:ind w:left="1699" w:hangingChars="708" w:hanging="1699"/>
        <w:jc w:val="both"/>
        <w:rPr>
          <w:rFonts w:ascii="Arial" w:hAnsi="Arial" w:cs="Arial"/>
          <w:i/>
          <w:kern w:val="0"/>
          <w:szCs w:val="24"/>
          <w:lang w:val="en-GB"/>
        </w:rPr>
      </w:pPr>
    </w:p>
    <w:p w:rsidR="00E773F6" w:rsidRPr="00C57CE1" w:rsidRDefault="00E50F27"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One observation is that e</w:t>
      </w:r>
      <w:r w:rsidR="00E773F6" w:rsidRPr="0028108F">
        <w:rPr>
          <w:rFonts w:ascii="Arial" w:hAnsi="Arial" w:cs="Arial"/>
          <w:szCs w:val="24"/>
          <w:lang w:val="en-GB"/>
        </w:rPr>
        <w:t xml:space="preserve">xplicit or implicit age restrictions affecting transgender persons’ access to legal gender recognition may </w:t>
      </w:r>
      <w:r w:rsidR="00F576DC">
        <w:rPr>
          <w:rFonts w:ascii="Arial" w:hAnsi="Arial" w:cs="Arial" w:hint="eastAsia"/>
          <w:szCs w:val="24"/>
          <w:lang w:val="en-GB"/>
        </w:rPr>
        <w:t xml:space="preserve">(though not necessarily will) </w:t>
      </w:r>
      <w:r w:rsidR="00E773F6" w:rsidRPr="0028108F">
        <w:rPr>
          <w:rFonts w:ascii="Arial" w:hAnsi="Arial" w:cs="Arial"/>
          <w:szCs w:val="24"/>
          <w:lang w:val="en-GB"/>
        </w:rPr>
        <w:t>have implications on their right to non-discrimination on the grounds of age under the Hong Kong Bill of Rights.  Also relevant are the non-discrimination provisions in the Convention on the Rights of the Child (</w:t>
      </w:r>
      <w:r w:rsidR="000B2634">
        <w:rPr>
          <w:rFonts w:ascii="Arial" w:hAnsi="Arial" w:cs="Arial"/>
          <w:szCs w:val="24"/>
          <w:lang w:val="en-GB"/>
        </w:rPr>
        <w:t>“</w:t>
      </w:r>
      <w:r w:rsidR="00E773F6" w:rsidRPr="008813DE">
        <w:rPr>
          <w:rFonts w:ascii="Arial" w:hAnsi="Arial" w:cs="Arial"/>
          <w:i/>
          <w:szCs w:val="24"/>
          <w:lang w:val="en-GB"/>
        </w:rPr>
        <w:t>CRC</w:t>
      </w:r>
      <w:r w:rsidR="000B2634">
        <w:rPr>
          <w:rFonts w:ascii="Arial" w:hAnsi="Arial" w:cs="Arial"/>
          <w:szCs w:val="24"/>
          <w:lang w:val="en-GB"/>
        </w:rPr>
        <w:t>”</w:t>
      </w:r>
      <w:r w:rsidR="00E773F6" w:rsidRPr="0028108F">
        <w:rPr>
          <w:rFonts w:ascii="Arial" w:hAnsi="Arial" w:cs="Arial"/>
          <w:szCs w:val="24"/>
          <w:lang w:val="en-GB"/>
        </w:rPr>
        <w:t>),</w:t>
      </w:r>
      <w:r w:rsidR="00E773F6" w:rsidRPr="00181CF2">
        <w:rPr>
          <w:rFonts w:ascii="Arial" w:hAnsi="Arial" w:cs="Arial"/>
          <w:vertAlign w:val="superscript"/>
          <w:lang w:val="en-GB"/>
        </w:rPr>
        <w:footnoteReference w:id="733"/>
      </w:r>
      <w:r w:rsidR="00E773F6" w:rsidRPr="00181CF2">
        <w:rPr>
          <w:rFonts w:ascii="Arial" w:hAnsi="Arial" w:cs="Arial"/>
          <w:szCs w:val="24"/>
          <w:lang w:val="en-GB"/>
        </w:rPr>
        <w:t xml:space="preserve"> the ECHR</w:t>
      </w:r>
      <w:r w:rsidR="00E773F6" w:rsidRPr="00181CF2">
        <w:rPr>
          <w:rStyle w:val="FootnoteReference"/>
          <w:rFonts w:ascii="Arial" w:hAnsi="Arial" w:cs="Arial"/>
          <w:szCs w:val="24"/>
          <w:lang w:val="en-GB"/>
        </w:rPr>
        <w:footnoteReference w:id="734"/>
      </w:r>
      <w:r w:rsidR="00E773F6" w:rsidRPr="00181CF2">
        <w:rPr>
          <w:rFonts w:ascii="Arial" w:hAnsi="Arial" w:cs="Arial"/>
          <w:szCs w:val="24"/>
          <w:lang w:val="en-GB"/>
        </w:rPr>
        <w:t xml:space="preserve"> and the Yogyakarta Principles.</w:t>
      </w:r>
      <w:r w:rsidR="00E773F6" w:rsidRPr="00181CF2">
        <w:rPr>
          <w:rFonts w:ascii="Arial" w:hAnsi="Arial" w:cs="Arial"/>
          <w:vertAlign w:val="superscript"/>
          <w:lang w:val="en-GB"/>
        </w:rPr>
        <w:footnoteReference w:id="735"/>
      </w:r>
      <w:r w:rsidR="00E773F6" w:rsidRPr="00181CF2">
        <w:rPr>
          <w:rFonts w:ascii="Arial" w:hAnsi="Arial" w:cs="Arial"/>
          <w:szCs w:val="24"/>
          <w:lang w:val="en-GB"/>
        </w:rPr>
        <w:t xml:space="preserve">   There have been arguments that the omission of minors from the UK GRA has created significant practical obstacles</w:t>
      </w:r>
      <w:r w:rsidRPr="00C57CE1">
        <w:rPr>
          <w:rFonts w:ascii="Arial" w:hAnsi="Arial" w:cs="Arial"/>
          <w:szCs w:val="24"/>
          <w:lang w:val="en-GB"/>
        </w:rPr>
        <w:t>,</w:t>
      </w:r>
      <w:r w:rsidR="00E773F6" w:rsidRPr="0028108F">
        <w:rPr>
          <w:rFonts w:ascii="Arial" w:hAnsi="Arial" w:cs="Arial"/>
          <w:szCs w:val="24"/>
          <w:lang w:val="en-GB"/>
        </w:rPr>
        <w:t xml:space="preserve"> as transgender youth who are unable to access gender-appropriate identity documents would run a continual risk of public </w:t>
      </w:r>
      <w:r w:rsidR="00741504" w:rsidRPr="00181CF2">
        <w:rPr>
          <w:rFonts w:ascii="Arial" w:hAnsi="Arial" w:cs="Arial"/>
          <w:szCs w:val="24"/>
          <w:lang w:val="en-GB"/>
        </w:rPr>
        <w:t>‘</w:t>
      </w:r>
      <w:r w:rsidR="00E773F6" w:rsidRPr="00C57CE1">
        <w:rPr>
          <w:rFonts w:ascii="Arial" w:hAnsi="Arial" w:cs="Arial"/>
          <w:szCs w:val="24"/>
          <w:lang w:val="en-GB"/>
        </w:rPr>
        <w:t>outings</w:t>
      </w:r>
      <w:r w:rsidRPr="0028108F">
        <w:rPr>
          <w:rFonts w:ascii="Arial" w:hAnsi="Arial" w:cs="Arial"/>
          <w:szCs w:val="24"/>
          <w:lang w:val="en-GB"/>
        </w:rPr>
        <w:t>’</w:t>
      </w:r>
      <w:r w:rsidR="00E773F6" w:rsidRPr="0028108F">
        <w:rPr>
          <w:rFonts w:ascii="Arial" w:hAnsi="Arial" w:cs="Arial"/>
          <w:szCs w:val="24"/>
          <w:lang w:val="en-GB"/>
        </w:rPr>
        <w:t xml:space="preserve"> which in turn could expose them to higher levels of bullying and, in extreme cases, the threat of transphobic violence.</w:t>
      </w:r>
      <w:r w:rsidR="00E773F6" w:rsidRPr="00181CF2">
        <w:rPr>
          <w:rStyle w:val="FootnoteReference"/>
          <w:rFonts w:ascii="Arial" w:hAnsi="Arial" w:cs="Arial"/>
          <w:color w:val="000000" w:themeColor="text1"/>
          <w:lang w:val="en-GB"/>
        </w:rPr>
        <w:footnoteReference w:id="736"/>
      </w:r>
      <w:r w:rsidR="00E773F6" w:rsidRPr="00181CF2">
        <w:rPr>
          <w:rFonts w:ascii="Arial" w:hAnsi="Arial" w:cs="Arial"/>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390D31">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In the case of a child below 18, the CRC requires States parties to respect the right of the child to preserve his or her identity as recognised by law without unlawful interference.</w:t>
      </w:r>
      <w:r w:rsidRPr="0028108F">
        <w:rPr>
          <w:rFonts w:ascii="Arial" w:hAnsi="Arial" w:cs="Arial"/>
          <w:vertAlign w:val="superscript"/>
          <w:lang w:val="en-GB"/>
        </w:rPr>
        <w:footnoteReference w:id="737"/>
      </w:r>
      <w:r w:rsidRPr="00181CF2">
        <w:rPr>
          <w:rFonts w:ascii="Arial" w:hAnsi="Arial" w:cs="Arial"/>
          <w:szCs w:val="24"/>
          <w:lang w:val="en-GB"/>
        </w:rPr>
        <w:t xml:space="preserve">  It also requires States parties to respect</w:t>
      </w:r>
      <w:r w:rsidR="00E50F27" w:rsidRPr="00C57CE1">
        <w:rPr>
          <w:rFonts w:ascii="Arial" w:hAnsi="Arial" w:cs="Arial"/>
          <w:szCs w:val="24"/>
          <w:lang w:val="en-GB"/>
        </w:rPr>
        <w:t xml:space="preserve"> children’s</w:t>
      </w:r>
      <w:r w:rsidRPr="0028108F">
        <w:rPr>
          <w:rFonts w:ascii="Arial" w:hAnsi="Arial" w:cs="Arial"/>
          <w:i/>
          <w:szCs w:val="24"/>
          <w:lang w:val="en-GB"/>
        </w:rPr>
        <w:t xml:space="preserve"> </w:t>
      </w:r>
      <w:r w:rsidRPr="0028108F">
        <w:rPr>
          <w:rFonts w:ascii="Arial" w:hAnsi="Arial" w:cs="Arial"/>
          <w:szCs w:val="24"/>
          <w:lang w:val="en-GB"/>
        </w:rPr>
        <w:t>right to be heard</w:t>
      </w:r>
      <w:r w:rsidR="00E50F27" w:rsidRPr="0028108F">
        <w:rPr>
          <w:rFonts w:ascii="Arial" w:hAnsi="Arial" w:cs="Arial"/>
          <w:szCs w:val="24"/>
          <w:lang w:val="en-GB"/>
        </w:rPr>
        <w:t>,</w:t>
      </w:r>
      <w:r w:rsidRPr="0028108F">
        <w:rPr>
          <w:rFonts w:ascii="Arial" w:hAnsi="Arial" w:cs="Arial"/>
          <w:szCs w:val="24"/>
          <w:lang w:val="en-GB"/>
        </w:rPr>
        <w:t xml:space="preserve"> and to duly take </w:t>
      </w:r>
      <w:r w:rsidR="00E50F27" w:rsidRPr="0028108F">
        <w:rPr>
          <w:rFonts w:ascii="Arial" w:hAnsi="Arial" w:cs="Arial"/>
          <w:szCs w:val="24"/>
          <w:lang w:val="en-GB"/>
        </w:rPr>
        <w:t xml:space="preserve">their views </w:t>
      </w:r>
      <w:r w:rsidRPr="0028108F">
        <w:rPr>
          <w:rFonts w:ascii="Arial" w:hAnsi="Arial" w:cs="Arial"/>
          <w:szCs w:val="24"/>
          <w:lang w:val="en-GB"/>
        </w:rPr>
        <w:t>into account.</w:t>
      </w:r>
      <w:r w:rsidRPr="0028108F">
        <w:rPr>
          <w:rFonts w:ascii="Arial" w:hAnsi="Arial" w:cs="Arial"/>
          <w:vertAlign w:val="superscript"/>
          <w:lang w:val="en-GB"/>
        </w:rPr>
        <w:footnoteReference w:id="738"/>
      </w:r>
      <w:r w:rsidRPr="00181CF2">
        <w:rPr>
          <w:rFonts w:ascii="Arial" w:hAnsi="Arial" w:cs="Arial"/>
          <w:szCs w:val="24"/>
          <w:lang w:val="en-GB"/>
        </w:rPr>
        <w:t xml:space="preserve">  In all actions concerning children,</w:t>
      </w:r>
      <w:r w:rsidRPr="00C57CE1">
        <w:rPr>
          <w:rFonts w:ascii="Arial" w:hAnsi="Arial" w:cs="Arial"/>
          <w:i/>
          <w:szCs w:val="24"/>
          <w:lang w:val="en-GB"/>
        </w:rPr>
        <w:t xml:space="preserve"> “the best interests of the child shall be a primary consideration</w:t>
      </w:r>
      <w:r w:rsidRPr="0028108F">
        <w:rPr>
          <w:rFonts w:ascii="Arial" w:hAnsi="Arial" w:cs="Arial"/>
          <w:szCs w:val="24"/>
          <w:lang w:val="en-GB"/>
        </w:rPr>
        <w:t>”.</w:t>
      </w:r>
      <w:r w:rsidRPr="0028108F">
        <w:rPr>
          <w:rFonts w:ascii="Arial" w:hAnsi="Arial" w:cs="Arial"/>
          <w:vertAlign w:val="superscript"/>
          <w:lang w:val="en-GB"/>
        </w:rPr>
        <w:footnoteReference w:id="739"/>
      </w:r>
      <w:r w:rsidRPr="00181CF2">
        <w:rPr>
          <w:rFonts w:ascii="Arial" w:hAnsi="Arial" w:cs="Arial"/>
          <w:szCs w:val="24"/>
          <w:lang w:val="en-GB"/>
        </w:rPr>
        <w:t xml:space="preserve">  Further, it has been argued that the maturity of a person cannot in reality be pinned </w:t>
      </w:r>
      <w:r w:rsidRPr="00C57CE1">
        <w:rPr>
          <w:rFonts w:ascii="Arial" w:hAnsi="Arial" w:cs="Arial"/>
          <w:szCs w:val="24"/>
          <w:lang w:val="en-GB"/>
        </w:rPr>
        <w:t xml:space="preserve">to a specific date or age, and thus the age of legal majority is only a legal fiction in the contexts of gender recognition.  </w:t>
      </w:r>
      <w:r w:rsidRPr="0028108F">
        <w:rPr>
          <w:rFonts w:ascii="Arial" w:hAnsi="Arial" w:cs="Arial"/>
          <w:lang w:val="en-GB"/>
        </w:rPr>
        <w:t xml:space="preserve">Recent studies suggest that young transgender individuals are just as capable of expressing a consistent </w:t>
      </w:r>
      <w:r w:rsidR="005250D8" w:rsidRPr="0028108F">
        <w:rPr>
          <w:rFonts w:ascii="Arial" w:hAnsi="Arial" w:cs="Arial"/>
          <w:lang w:val="en-GB"/>
        </w:rPr>
        <w:t xml:space="preserve">gender </w:t>
      </w:r>
      <w:r w:rsidRPr="0028108F">
        <w:rPr>
          <w:rFonts w:ascii="Arial" w:hAnsi="Arial" w:cs="Arial"/>
          <w:lang w:val="en-GB"/>
        </w:rPr>
        <w:t>identity as other children.</w:t>
      </w:r>
      <w:r w:rsidRPr="0028108F">
        <w:rPr>
          <w:rStyle w:val="FootnoteReference"/>
          <w:rFonts w:ascii="Arial" w:hAnsi="Arial" w:cs="Arial"/>
          <w:lang w:val="en-GB"/>
        </w:rPr>
        <w:footnoteReference w:id="740"/>
      </w:r>
      <w:r w:rsidRPr="0028108F">
        <w:rPr>
          <w:rFonts w:ascii="Arial" w:hAnsi="Arial" w:cs="Arial"/>
          <w:lang w:val="en-GB"/>
        </w:rPr>
        <w:t xml:space="preserve">  </w:t>
      </w:r>
    </w:p>
    <w:p w:rsidR="00390D31" w:rsidRPr="0028108F" w:rsidRDefault="00390D31" w:rsidP="00390D31">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E7508D">
      <w:pPr>
        <w:pStyle w:val="ListParagraph"/>
        <w:widowControl/>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There are signs that national policy makers are increasingly aware of the difficulties faced by transgender youth.  In 2013, the Netherlands adopted new gender recognition rules which expressly include 16 and 17 year old individuals,</w:t>
      </w:r>
      <w:r w:rsidRPr="00181CF2">
        <w:rPr>
          <w:rStyle w:val="FootnoteReference"/>
          <w:rFonts w:ascii="Arial" w:hAnsi="Arial" w:cs="Arial"/>
          <w:lang w:val="en-GB"/>
        </w:rPr>
        <w:footnoteReference w:id="741"/>
      </w:r>
      <w:r w:rsidRPr="00181CF2">
        <w:rPr>
          <w:rFonts w:ascii="Arial" w:hAnsi="Arial" w:cs="Arial"/>
          <w:szCs w:val="24"/>
          <w:lang w:val="en-GB"/>
        </w:rPr>
        <w:t xml:space="preserve"> </w:t>
      </w:r>
      <w:r w:rsidRPr="0028108F">
        <w:rPr>
          <w:rFonts w:ascii="Arial" w:hAnsi="Arial" w:cs="Arial"/>
          <w:szCs w:val="24"/>
          <w:lang w:val="en-GB"/>
        </w:rPr>
        <w:t>apparently acknowledg</w:t>
      </w:r>
      <w:r w:rsidR="000A493A" w:rsidRPr="0028108F">
        <w:rPr>
          <w:rFonts w:ascii="Arial" w:hAnsi="Arial" w:cs="Arial"/>
          <w:szCs w:val="24"/>
          <w:lang w:val="en-GB"/>
        </w:rPr>
        <w:t>ing</w:t>
      </w:r>
      <w:r w:rsidRPr="0028108F">
        <w:rPr>
          <w:rFonts w:ascii="Arial" w:hAnsi="Arial" w:cs="Arial"/>
          <w:szCs w:val="24"/>
          <w:lang w:val="en-GB"/>
        </w:rPr>
        <w:t xml:space="preserve"> that persons under 18 years can express a stable and coherent gender identity.  Argentina and Malta allow transgender children and minors, irrespective of age, to make an application for gender recognition through their parents or guardians.</w:t>
      </w:r>
      <w:r w:rsidRPr="00181CF2">
        <w:rPr>
          <w:rStyle w:val="FootnoteReference"/>
          <w:rFonts w:ascii="Arial" w:hAnsi="Arial" w:cs="Arial"/>
          <w:lang w:val="en-GB"/>
        </w:rPr>
        <w:footnoteReference w:id="742"/>
      </w:r>
      <w:r w:rsidRPr="00181CF2">
        <w:rPr>
          <w:rFonts w:ascii="Arial" w:hAnsi="Arial" w:cs="Arial"/>
          <w:szCs w:val="24"/>
          <w:lang w:val="en-GB"/>
        </w:rPr>
        <w:t xml:space="preserve">  In 2013, Argentine media reported the case of </w:t>
      </w:r>
      <w:r w:rsidR="00B70493">
        <w:rPr>
          <w:rFonts w:ascii="Arial" w:hAnsi="Arial" w:cs="Arial"/>
          <w:szCs w:val="24"/>
          <w:lang w:val="en-GB"/>
        </w:rPr>
        <w:t>“</w:t>
      </w:r>
      <w:r w:rsidRPr="00181CF2">
        <w:rPr>
          <w:rFonts w:ascii="Arial" w:hAnsi="Arial" w:cs="Arial"/>
          <w:szCs w:val="24"/>
          <w:lang w:val="en-GB"/>
        </w:rPr>
        <w:t>Lulu</w:t>
      </w:r>
      <w:r w:rsidR="00B70493">
        <w:rPr>
          <w:rFonts w:ascii="Arial" w:hAnsi="Arial" w:cs="Arial"/>
          <w:szCs w:val="24"/>
          <w:lang w:val="en-GB"/>
        </w:rPr>
        <w:t>”</w:t>
      </w:r>
      <w:r w:rsidRPr="00181CF2">
        <w:rPr>
          <w:rFonts w:ascii="Arial" w:hAnsi="Arial" w:cs="Arial"/>
          <w:szCs w:val="24"/>
          <w:lang w:val="en-GB"/>
        </w:rPr>
        <w:t>, a six-year-old transgender child who, after protracted negotiations with national registry officials, obtained legal recognition of her preferred female gender.</w:t>
      </w:r>
      <w:r w:rsidRPr="00181CF2">
        <w:rPr>
          <w:rStyle w:val="FootnoteReference"/>
          <w:rFonts w:ascii="Arial" w:hAnsi="Arial" w:cs="Arial"/>
          <w:lang w:val="en-GB"/>
        </w:rPr>
        <w:footnoteReference w:id="743"/>
      </w:r>
      <w:r w:rsidRPr="00181CF2">
        <w:rPr>
          <w:rFonts w:ascii="Arial" w:hAnsi="Arial" w:cs="Arial"/>
          <w:szCs w:val="24"/>
          <w:lang w:val="en-GB"/>
        </w:rPr>
        <w:t xml:space="preserve">  </w:t>
      </w:r>
      <w:r w:rsidR="009467A9" w:rsidRPr="0028108F">
        <w:rPr>
          <w:rFonts w:ascii="Arial" w:hAnsi="Arial" w:cs="Arial"/>
          <w:szCs w:val="24"/>
          <w:lang w:val="en-GB"/>
        </w:rPr>
        <w:t xml:space="preserve">Dr </w:t>
      </w:r>
      <w:r w:rsidRPr="0028108F">
        <w:rPr>
          <w:rFonts w:ascii="Arial" w:hAnsi="Arial" w:cs="Arial"/>
          <w:szCs w:val="24"/>
          <w:lang w:val="en-GB"/>
        </w:rPr>
        <w:t>Scherpe observed:</w:t>
      </w:r>
      <w:r w:rsidRPr="00181CF2">
        <w:rPr>
          <w:rStyle w:val="FootnoteReference"/>
          <w:rFonts w:ascii="Arial" w:hAnsi="Arial" w:cs="Arial"/>
          <w:lang w:val="en-GB"/>
        </w:rPr>
        <w:footnoteReference w:id="744"/>
      </w:r>
    </w:p>
    <w:p w:rsidR="00E773F6" w:rsidRPr="00181CF2" w:rsidRDefault="00E773F6" w:rsidP="00E773F6">
      <w:pPr>
        <w:pStyle w:val="ListParagraph"/>
        <w:rPr>
          <w:rFonts w:ascii="Arial" w:hAnsi="Arial" w:cs="Arial"/>
          <w:color w:val="0000FF"/>
          <w:szCs w:val="24"/>
          <w:lang w:val="en-GB"/>
        </w:rPr>
      </w:pPr>
    </w:p>
    <w:p w:rsidR="00E773F6" w:rsidRPr="0028108F" w:rsidRDefault="00E773F6" w:rsidP="00961014">
      <w:pPr>
        <w:snapToGrid w:val="0"/>
        <w:ind w:leftChars="-235" w:left="852" w:rightChars="212" w:right="509" w:hangingChars="590" w:hanging="1416"/>
        <w:jc w:val="both"/>
        <w:rPr>
          <w:rFonts w:ascii="Arial" w:hAnsi="Arial" w:cs="Arial"/>
          <w:i/>
          <w:kern w:val="0"/>
          <w:szCs w:val="24"/>
          <w:lang w:val="en-GB"/>
        </w:rPr>
      </w:pPr>
      <w:r w:rsidRPr="00C57CE1">
        <w:rPr>
          <w:rFonts w:ascii="Arial" w:hAnsi="Arial" w:cs="Arial"/>
          <w:i/>
          <w:kern w:val="0"/>
          <w:szCs w:val="24"/>
          <w:lang w:val="en-GB"/>
        </w:rPr>
        <w:tab/>
        <w:t>“The reality is that, irrespective of whether the law recognises the existence of transgender young people, such children and adolescents are present in society.  A significant minority of transgender young people now self-identity as gender</w:t>
      </w:r>
      <w:r w:rsidRPr="0028108F">
        <w:rPr>
          <w:rFonts w:ascii="Arial" w:hAnsi="Arial" w:cs="Arial"/>
          <w:i/>
          <w:kern w:val="0"/>
          <w:szCs w:val="24"/>
          <w:lang w:val="en-GB"/>
        </w:rPr>
        <w:t xml:space="preserve"> non-conforming.  While many of these young people are satisfied with their current identity documentation, others struggle on a daily basis with the inability to access services according to their true gender</w:t>
      </w:r>
      <w:r w:rsidR="00B70493">
        <w:rPr>
          <w:rFonts w:ascii="Arial" w:hAnsi="Arial" w:cs="Arial"/>
          <w:i/>
          <w:kern w:val="0"/>
          <w:szCs w:val="24"/>
          <w:lang w:val="en-GB"/>
        </w:rPr>
        <w:t xml:space="preserve"> </w:t>
      </w:r>
      <w:r w:rsidRPr="0028108F">
        <w:rPr>
          <w:rFonts w:ascii="Arial" w:hAnsi="Arial" w:cs="Arial"/>
          <w:i/>
          <w:kern w:val="0"/>
          <w:szCs w:val="24"/>
          <w:lang w:val="en-GB"/>
        </w:rPr>
        <w:t>…</w:t>
      </w:r>
      <w:r w:rsidR="00B70493">
        <w:rPr>
          <w:rFonts w:ascii="Arial" w:hAnsi="Arial" w:cs="Arial"/>
          <w:i/>
          <w:kern w:val="0"/>
          <w:szCs w:val="24"/>
          <w:lang w:val="en-GB"/>
        </w:rPr>
        <w:t xml:space="preserve"> </w:t>
      </w:r>
      <w:r w:rsidRPr="0028108F">
        <w:rPr>
          <w:rFonts w:ascii="Arial" w:hAnsi="Arial" w:cs="Arial"/>
          <w:i/>
          <w:kern w:val="0"/>
          <w:szCs w:val="24"/>
          <w:lang w:val="en-GB"/>
        </w:rPr>
        <w:t>[T]his situation creates circumstances of potential danger for young transgender individuals.  Where a child or adolescent lives and presents in their preferred gender, but must bear the burden of incongruent identity documents, the individual will be subjected to continuous ‘outings’, where their transgender history is involuntarily revealed to others and where they may be exposed to peer bullying, social discrimination and, in extreme cases, transphobic violence.  If the primary concern of legal gender recognition is truly the ‘best interests of the child’, it makes little sense to force a person who has, from an early age, expressed a clear and consistent gender identity to live in a way which does not reflect his or her lived experience of gender, and which may create significant emotional harm.”</w:t>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lang w:val="en-GB"/>
        </w:rPr>
      </w:pPr>
    </w:p>
    <w:p w:rsidR="00E773F6" w:rsidRPr="0028108F" w:rsidRDefault="005250D8" w:rsidP="00390D31">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lang w:val="en-GB"/>
        </w:rPr>
        <w:t>I</w:t>
      </w:r>
      <w:r w:rsidR="00E773F6" w:rsidRPr="0028108F">
        <w:rPr>
          <w:rFonts w:ascii="Arial" w:hAnsi="Arial" w:cs="Arial"/>
          <w:szCs w:val="24"/>
          <w:lang w:val="en-GB"/>
        </w:rPr>
        <w:t xml:space="preserve">n the UK, the minimum age limit for GRC applications </w:t>
      </w:r>
      <w:r w:rsidR="00FA7AE0" w:rsidRPr="0028108F">
        <w:rPr>
          <w:rFonts w:ascii="Arial" w:hAnsi="Arial" w:cs="Arial"/>
          <w:szCs w:val="24"/>
          <w:lang w:val="en-GB"/>
        </w:rPr>
        <w:t xml:space="preserve">under the GRA </w:t>
      </w:r>
      <w:r w:rsidR="00E773F6" w:rsidRPr="0028108F">
        <w:rPr>
          <w:rFonts w:ascii="Arial" w:hAnsi="Arial" w:cs="Arial"/>
          <w:szCs w:val="24"/>
          <w:lang w:val="en-GB"/>
        </w:rPr>
        <w:t>(ie</w:t>
      </w:r>
      <w:r w:rsidR="00B42008" w:rsidRPr="0028108F">
        <w:rPr>
          <w:rFonts w:ascii="Arial" w:hAnsi="Arial" w:cs="Arial"/>
          <w:szCs w:val="24"/>
          <w:lang w:val="en-GB"/>
        </w:rPr>
        <w:t>,</w:t>
      </w:r>
      <w:r w:rsidR="00E773F6" w:rsidRPr="0028108F">
        <w:rPr>
          <w:rFonts w:ascii="Arial" w:hAnsi="Arial" w:cs="Arial"/>
          <w:szCs w:val="24"/>
          <w:lang w:val="en-GB"/>
        </w:rPr>
        <w:t xml:space="preserve"> 18 years old) has been challenged.  The Women and Equalities Committee</w:t>
      </w:r>
      <w:r w:rsidR="000A493A" w:rsidRPr="0028108F">
        <w:rPr>
          <w:rStyle w:val="FootnoteReference"/>
          <w:rFonts w:ascii="Arial" w:hAnsi="Arial" w:cs="Arial"/>
          <w:szCs w:val="24"/>
          <w:lang w:val="en-GB"/>
        </w:rPr>
        <w:footnoteReference w:id="745"/>
      </w:r>
      <w:r w:rsidR="00E773F6" w:rsidRPr="0028108F">
        <w:rPr>
          <w:rFonts w:ascii="Arial" w:hAnsi="Arial" w:cs="Arial"/>
          <w:szCs w:val="24"/>
          <w:lang w:val="en-GB"/>
        </w:rPr>
        <w:t xml:space="preserve"> released a report on </w:t>
      </w:r>
      <w:r w:rsidR="00E773F6" w:rsidRPr="0028108F">
        <w:rPr>
          <w:rFonts w:ascii="Arial" w:hAnsi="Arial" w:cs="Arial"/>
          <w:i/>
          <w:szCs w:val="24"/>
          <w:lang w:val="en-GB"/>
        </w:rPr>
        <w:t>Transgender Equality</w:t>
      </w:r>
      <w:r w:rsidR="00E773F6" w:rsidRPr="0028108F">
        <w:rPr>
          <w:rFonts w:ascii="Arial" w:hAnsi="Arial" w:cs="Arial"/>
          <w:szCs w:val="24"/>
          <w:lang w:val="en-GB"/>
        </w:rPr>
        <w:t xml:space="preserve"> in January 2016 recommending, </w:t>
      </w:r>
      <w:r w:rsidR="00E773F6" w:rsidRPr="0028108F">
        <w:rPr>
          <w:rFonts w:ascii="Arial" w:hAnsi="Arial" w:cs="Arial"/>
          <w:i/>
          <w:szCs w:val="24"/>
          <w:lang w:val="en-GB"/>
        </w:rPr>
        <w:t>inter alia</w:t>
      </w:r>
      <w:r w:rsidR="00E773F6" w:rsidRPr="0028108F">
        <w:rPr>
          <w:rFonts w:ascii="Arial" w:hAnsi="Arial" w:cs="Arial"/>
          <w:szCs w:val="24"/>
          <w:lang w:val="en-GB"/>
        </w:rPr>
        <w:t>, that the gender recognition process should be opened up to applicants aged 16 and 17.</w:t>
      </w:r>
      <w:r w:rsidR="00E773F6" w:rsidRPr="0028108F">
        <w:rPr>
          <w:rStyle w:val="FootnoteReference"/>
          <w:rFonts w:ascii="Arial" w:hAnsi="Arial" w:cs="Arial"/>
          <w:szCs w:val="24"/>
          <w:lang w:val="en-GB"/>
        </w:rPr>
        <w:footnoteReference w:id="746"/>
      </w:r>
      <w:r w:rsidR="00E773F6" w:rsidRPr="0028108F">
        <w:rPr>
          <w:rFonts w:ascii="Arial" w:hAnsi="Arial" w:cs="Arial"/>
          <w:szCs w:val="24"/>
          <w:lang w:val="en-GB"/>
        </w:rPr>
        <w:t xml:space="preserve">  The reason for the proposal was based on the findings in recent research that many adolescents in the UK transition at younger ages nowadays and hold a stable gender identity.  They can consent to medical treatment from the age of 16 years; they are accessing appropriate and supervised healthcare pathways; they also engage in earlier social transitions and develop important networks of peer-support and enjoy formative experiences in their preferred gender.  The Committee </w:t>
      </w:r>
      <w:r w:rsidR="002A479F" w:rsidRPr="0028108F">
        <w:rPr>
          <w:rFonts w:ascii="Arial" w:hAnsi="Arial" w:cs="Arial"/>
          <w:szCs w:val="24"/>
          <w:lang w:val="en-GB"/>
        </w:rPr>
        <w:t xml:space="preserve">was </w:t>
      </w:r>
      <w:r w:rsidR="00E773F6" w:rsidRPr="0028108F">
        <w:rPr>
          <w:rFonts w:ascii="Arial" w:hAnsi="Arial" w:cs="Arial"/>
          <w:szCs w:val="24"/>
          <w:lang w:val="en-GB"/>
        </w:rPr>
        <w:t xml:space="preserve">of the view that subject to a caveat that clear safeguards are in place to ensure that long-term decisions about gender recognition are made at an appropriate time, a persuasive case has been made in favour of reducing the minimum age at which </w:t>
      </w:r>
      <w:r w:rsidR="00FA7AE0" w:rsidRPr="0028108F">
        <w:rPr>
          <w:rFonts w:ascii="Arial" w:hAnsi="Arial" w:cs="Arial"/>
          <w:szCs w:val="24"/>
          <w:lang w:val="en-GB"/>
        </w:rPr>
        <w:t xml:space="preserve">an </w:t>
      </w:r>
      <w:r w:rsidR="00E773F6" w:rsidRPr="0028108F">
        <w:rPr>
          <w:rFonts w:ascii="Arial" w:hAnsi="Arial" w:cs="Arial"/>
          <w:szCs w:val="24"/>
          <w:lang w:val="en-GB"/>
        </w:rPr>
        <w:t>application can be made for gender recognition to 16 years old.</w:t>
      </w:r>
      <w:r w:rsidR="00E773F6" w:rsidRPr="0028108F">
        <w:rPr>
          <w:rStyle w:val="FootnoteReference"/>
          <w:rFonts w:ascii="Arial" w:hAnsi="Arial" w:cs="Arial"/>
          <w:szCs w:val="24"/>
          <w:lang w:val="en-GB"/>
        </w:rPr>
        <w:footnoteReference w:id="747"/>
      </w:r>
      <w:r w:rsidR="00E773F6" w:rsidRPr="0028108F">
        <w:rPr>
          <w:rFonts w:ascii="Arial" w:hAnsi="Arial" w:cs="Arial"/>
          <w:szCs w:val="24"/>
          <w:lang w:val="en-GB"/>
        </w:rPr>
        <w:t xml:space="preserve">  Similar recommendations were made in Scotland.</w:t>
      </w:r>
      <w:r w:rsidR="00E773F6" w:rsidRPr="0028108F">
        <w:rPr>
          <w:rStyle w:val="FootnoteReference"/>
          <w:rFonts w:ascii="Arial" w:hAnsi="Arial" w:cs="Arial"/>
          <w:szCs w:val="24"/>
          <w:lang w:val="en-GB"/>
        </w:rPr>
        <w:footnoteReference w:id="748"/>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lang w:val="en-GB"/>
        </w:rPr>
      </w:pPr>
    </w:p>
    <w:p w:rsidR="00E773F6" w:rsidRPr="0028108F" w:rsidRDefault="00FA7AE0" w:rsidP="00961014">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lang w:val="en-GB"/>
        </w:rPr>
      </w:pPr>
      <w:r w:rsidRPr="0028108F">
        <w:rPr>
          <w:rFonts w:ascii="Arial" w:hAnsi="Arial" w:cs="Arial"/>
          <w:lang w:val="en-GB"/>
        </w:rPr>
        <w:t xml:space="preserve">In his recent text, </w:t>
      </w:r>
      <w:r w:rsidR="009467A9" w:rsidRPr="0028108F">
        <w:rPr>
          <w:rFonts w:ascii="Arial" w:hAnsi="Arial" w:cs="Arial"/>
          <w:lang w:val="en-GB"/>
        </w:rPr>
        <w:t>Dr</w:t>
      </w:r>
      <w:r w:rsidR="002A479F" w:rsidRPr="0028108F">
        <w:rPr>
          <w:rFonts w:ascii="Arial" w:hAnsi="Arial" w:cs="Arial"/>
          <w:lang w:val="en-GB"/>
        </w:rPr>
        <w:t xml:space="preserve"> </w:t>
      </w:r>
      <w:r w:rsidR="00E773F6" w:rsidRPr="0028108F">
        <w:rPr>
          <w:rFonts w:ascii="Arial" w:hAnsi="Arial" w:cs="Arial"/>
          <w:lang w:val="en-GB"/>
        </w:rPr>
        <w:t>Scherpe</w:t>
      </w:r>
      <w:r w:rsidR="002A479F" w:rsidRPr="0028108F">
        <w:rPr>
          <w:rFonts w:ascii="Arial" w:hAnsi="Arial" w:cs="Arial"/>
          <w:lang w:val="en-GB"/>
        </w:rPr>
        <w:t xml:space="preserve"> made a </w:t>
      </w:r>
      <w:r w:rsidR="00E773F6" w:rsidRPr="0028108F">
        <w:rPr>
          <w:rFonts w:ascii="Arial" w:hAnsi="Arial" w:cs="Arial"/>
          <w:lang w:val="en-GB"/>
        </w:rPr>
        <w:t xml:space="preserve">recommendation on </w:t>
      </w:r>
      <w:r w:rsidR="002A479F" w:rsidRPr="0028108F">
        <w:rPr>
          <w:rFonts w:ascii="Arial" w:hAnsi="Arial" w:cs="Arial"/>
          <w:lang w:val="en-GB"/>
        </w:rPr>
        <w:t xml:space="preserve">the </w:t>
      </w:r>
      <w:r w:rsidR="00E773F6" w:rsidRPr="0028108F">
        <w:rPr>
          <w:rFonts w:ascii="Arial" w:hAnsi="Arial" w:cs="Arial"/>
          <w:lang w:val="en-GB"/>
        </w:rPr>
        <w:t>age limit for gender recognition as follows:</w:t>
      </w:r>
      <w:r w:rsidR="00E773F6" w:rsidRPr="0028108F">
        <w:rPr>
          <w:rStyle w:val="FootnoteReference"/>
          <w:rFonts w:ascii="Arial" w:hAnsi="Arial" w:cs="Arial"/>
          <w:sz w:val="22"/>
          <w:lang w:val="en-GB"/>
        </w:rPr>
        <w:footnoteReference w:id="749"/>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lang w:val="en-GB"/>
        </w:rPr>
      </w:pPr>
    </w:p>
    <w:p w:rsidR="002A479F" w:rsidRPr="0028108F" w:rsidRDefault="00E773F6" w:rsidP="008813DE">
      <w:pPr>
        <w:snapToGrid w:val="0"/>
        <w:ind w:left="850" w:rightChars="212" w:right="509" w:hangingChars="354" w:hanging="850"/>
        <w:jc w:val="both"/>
        <w:rPr>
          <w:rFonts w:ascii="Arial" w:hAnsi="Arial" w:cs="Arial"/>
          <w:b/>
          <w:color w:val="0000FF"/>
          <w:szCs w:val="24"/>
          <w:lang w:val="en-GB"/>
        </w:rPr>
      </w:pPr>
      <w:r w:rsidRPr="0028108F">
        <w:rPr>
          <w:rFonts w:ascii="Arial" w:hAnsi="Arial" w:cs="Arial"/>
          <w:i/>
          <w:kern w:val="0"/>
          <w:szCs w:val="24"/>
          <w:lang w:val="en-GB"/>
        </w:rPr>
        <w:tab/>
        <w:t>“There should be no absolute age limit for obtaining legal recognition of preferred gender.  Where legislatures restrict access for minors, exceptions must be available and should not be excessively onerous to achieve.  Decisions regarding the legal recognition of preferred gender of children should solely be based on the best interest of the child and should take account of the opinion of the minor concerned.”</w:t>
      </w:r>
    </w:p>
    <w:p w:rsidR="002A479F" w:rsidRDefault="002A479F">
      <w:pPr>
        <w:snapToGrid w:val="0"/>
        <w:ind w:left="1417" w:hangingChars="590" w:hanging="1417"/>
        <w:jc w:val="both"/>
        <w:rPr>
          <w:rFonts w:ascii="Arial" w:hAnsi="Arial" w:cs="Arial"/>
          <w:b/>
          <w:color w:val="0000FF"/>
          <w:szCs w:val="24"/>
          <w:lang w:val="en-GB"/>
        </w:rPr>
      </w:pPr>
    </w:p>
    <w:p w:rsidR="00F576DC" w:rsidRDefault="00F576DC">
      <w:pPr>
        <w:snapToGrid w:val="0"/>
        <w:ind w:left="1417" w:hangingChars="590" w:hanging="1417"/>
        <w:jc w:val="both"/>
        <w:rPr>
          <w:rFonts w:ascii="Arial" w:hAnsi="Arial" w:cs="Arial"/>
          <w:b/>
          <w:color w:val="0000FF"/>
          <w:szCs w:val="24"/>
          <w:lang w:val="en-GB"/>
        </w:rPr>
      </w:pPr>
    </w:p>
    <w:p w:rsidR="00117C9E" w:rsidRDefault="00117C9E">
      <w:pPr>
        <w:snapToGrid w:val="0"/>
        <w:ind w:left="1417" w:hangingChars="590" w:hanging="1417"/>
        <w:jc w:val="both"/>
        <w:rPr>
          <w:rFonts w:ascii="Arial" w:hAnsi="Arial" w:cs="Arial"/>
          <w:b/>
          <w:color w:val="0000FF"/>
          <w:szCs w:val="24"/>
          <w:lang w:val="en-GB"/>
        </w:rPr>
      </w:pPr>
    </w:p>
    <w:p w:rsidR="00117C9E" w:rsidRDefault="00117C9E">
      <w:pPr>
        <w:snapToGrid w:val="0"/>
        <w:ind w:left="1417" w:hangingChars="590" w:hanging="1417"/>
        <w:jc w:val="both"/>
        <w:rPr>
          <w:rFonts w:ascii="Arial" w:hAnsi="Arial" w:cs="Arial"/>
          <w:b/>
          <w:color w:val="0000FF"/>
          <w:szCs w:val="24"/>
          <w:lang w:val="en-GB"/>
        </w:rPr>
      </w:pPr>
    </w:p>
    <w:p w:rsidR="00117C9E" w:rsidRDefault="00117C9E">
      <w:pPr>
        <w:snapToGrid w:val="0"/>
        <w:ind w:left="1417" w:hangingChars="590" w:hanging="1417"/>
        <w:jc w:val="both"/>
        <w:rPr>
          <w:rFonts w:ascii="Arial" w:hAnsi="Arial" w:cs="Arial"/>
          <w:b/>
          <w:color w:val="0000FF"/>
          <w:szCs w:val="24"/>
          <w:lang w:val="en-GB"/>
        </w:rPr>
      </w:pPr>
    </w:p>
    <w:p w:rsidR="00117C9E" w:rsidRPr="0028108F" w:rsidRDefault="00117C9E">
      <w:pPr>
        <w:snapToGrid w:val="0"/>
        <w:ind w:left="1417" w:hangingChars="590" w:hanging="1417"/>
        <w:jc w:val="both"/>
        <w:rPr>
          <w:rFonts w:ascii="Arial" w:hAnsi="Arial" w:cs="Arial"/>
          <w:b/>
          <w:color w:val="0000FF"/>
          <w:szCs w:val="24"/>
          <w:lang w:val="en-GB"/>
        </w:rPr>
      </w:pPr>
    </w:p>
    <w:p w:rsidR="002A479F" w:rsidRPr="0028108F" w:rsidRDefault="002A479F" w:rsidP="002A479F">
      <w:pPr>
        <w:rPr>
          <w:rFonts w:ascii="Arial" w:hAnsi="Arial" w:cs="Arial"/>
          <w:b/>
          <w:sz w:val="28"/>
          <w:szCs w:val="28"/>
          <w:lang w:val="en-GB"/>
        </w:rPr>
      </w:pPr>
      <w:r w:rsidRPr="0028108F">
        <w:rPr>
          <w:rFonts w:ascii="Arial" w:hAnsi="Arial" w:cs="Arial"/>
          <w:b/>
          <w:sz w:val="28"/>
          <w:szCs w:val="28"/>
          <w:lang w:val="en-GB"/>
        </w:rPr>
        <w:t>Issue for consultation</w:t>
      </w:r>
      <w:r w:rsidR="00040EFE" w:rsidRPr="00181CF2">
        <w:rPr>
          <w:rFonts w:ascii="Arial" w:hAnsi="Arial" w:cs="Arial"/>
          <w:b/>
          <w:sz w:val="28"/>
          <w:szCs w:val="28"/>
          <w:lang w:val="en-GB"/>
        </w:rPr>
        <w:t xml:space="preserve"> related to age requirements</w:t>
      </w:r>
    </w:p>
    <w:p w:rsidR="00040EFE" w:rsidRPr="0028108F" w:rsidRDefault="00040EFE" w:rsidP="002A479F">
      <w:pPr>
        <w:pStyle w:val="ListParagraph"/>
        <w:tabs>
          <w:tab w:val="left" w:pos="1418"/>
          <w:tab w:val="left" w:pos="2552"/>
        </w:tabs>
        <w:adjustRightInd w:val="0"/>
        <w:snapToGrid w:val="0"/>
        <w:ind w:leftChars="0" w:left="0"/>
        <w:jc w:val="both"/>
        <w:rPr>
          <w:rFonts w:ascii="Arial" w:hAnsi="Arial" w:cs="Arial"/>
          <w:szCs w:val="24"/>
          <w:lang w:val="en-GB"/>
        </w:rPr>
      </w:pPr>
    </w:p>
    <w:p w:rsidR="002A479F" w:rsidRPr="0028108F"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040EFE"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040EFE" w:rsidRPr="0028108F">
        <w:rPr>
          <w:rFonts w:ascii="Arial" w:hAnsi="Arial" w:cs="Arial"/>
          <w:b/>
          <w:color w:val="000000" w:themeColor="text1"/>
          <w:szCs w:val="24"/>
          <w:u w:val="single"/>
          <w:lang w:val="en-GB"/>
        </w:rPr>
        <w:t xml:space="preserve"> </w:t>
      </w:r>
      <w:r w:rsidR="00040EFE" w:rsidRPr="008813DE">
        <w:rPr>
          <w:rFonts w:ascii="Arial" w:hAnsi="Arial" w:cs="Arial"/>
          <w:b/>
          <w:color w:val="000000" w:themeColor="text1"/>
          <w:szCs w:val="24"/>
          <w:u w:val="single"/>
          <w:lang w:val="en-GB"/>
        </w:rPr>
        <w:t>8</w:t>
      </w:r>
      <w:r w:rsidRPr="00181CF2">
        <w:rPr>
          <w:rFonts w:ascii="Arial" w:hAnsi="Arial" w:cs="Arial"/>
          <w:b/>
          <w:color w:val="000000" w:themeColor="text1"/>
          <w:szCs w:val="24"/>
          <w:lang w:val="en-GB"/>
        </w:rPr>
        <w:t>:</w:t>
      </w:r>
      <w:r w:rsidR="002D7009"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040EFE" w:rsidRPr="0028108F">
        <w:rPr>
          <w:rFonts w:ascii="Arial" w:hAnsi="Arial" w:cs="Arial"/>
          <w:b/>
          <w:color w:val="000000" w:themeColor="text1"/>
          <w:szCs w:val="24"/>
          <w:lang w:val="en-GB"/>
        </w:rPr>
        <w:t xml:space="preserve"> the following matters.</w:t>
      </w:r>
    </w:p>
    <w:p w:rsidR="002A479F" w:rsidRPr="0028108F"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A479F" w:rsidRPr="0028108F" w:rsidRDefault="002A479F" w:rsidP="00E7508D">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040EFE"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 whether there should be a minimum age requirement for applying for gender recognition.</w:t>
      </w:r>
    </w:p>
    <w:p w:rsidR="002A479F" w:rsidRPr="0028108F"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A479F" w:rsidRPr="0028108F" w:rsidRDefault="002A479F" w:rsidP="00E7508D">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040EFE"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(1) is “yes”, what should be the minimum age for the application</w:t>
      </w:r>
      <w:r w:rsidR="00FA7AE0"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 xml:space="preserve"> 12 years of age, 18 years of age, 21 years of age or another age</w:t>
      </w:r>
      <w:r w:rsidR="00FA7AE0"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 xml:space="preserve"> and the basis for </w:t>
      </w:r>
      <w:r w:rsidR="00FA7AE0" w:rsidRPr="0028108F">
        <w:rPr>
          <w:rFonts w:ascii="Arial" w:hAnsi="Arial" w:cs="Arial"/>
          <w:b/>
          <w:color w:val="000000" w:themeColor="text1"/>
          <w:szCs w:val="24"/>
          <w:lang w:val="en-GB"/>
        </w:rPr>
        <w:t>choosing</w:t>
      </w:r>
      <w:r w:rsidRPr="0028108F">
        <w:rPr>
          <w:rFonts w:ascii="Arial" w:hAnsi="Arial" w:cs="Arial"/>
          <w:b/>
          <w:color w:val="000000" w:themeColor="text1"/>
          <w:szCs w:val="24"/>
          <w:lang w:val="en-GB"/>
        </w:rPr>
        <w:t xml:space="preserve"> that age as the minimum age for the application.</w:t>
      </w:r>
    </w:p>
    <w:p w:rsidR="002A479F" w:rsidRPr="0028108F"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A479F" w:rsidRPr="0028108F"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(3)</w:t>
      </w:r>
      <w:r w:rsidRPr="0028108F">
        <w:rPr>
          <w:rFonts w:ascii="Arial" w:hAnsi="Arial" w:cs="Arial"/>
          <w:b/>
          <w:color w:val="000000" w:themeColor="text1"/>
          <w:szCs w:val="24"/>
          <w:lang w:val="en-GB"/>
        </w:rPr>
        <w:tab/>
      </w:r>
      <w:r w:rsidR="00040EFE"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(1) is “no”,</w:t>
      </w:r>
    </w:p>
    <w:p w:rsidR="002A479F" w:rsidRPr="0028108F"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A479F" w:rsidRPr="00181CF2" w:rsidRDefault="00E7508D" w:rsidP="0028108F">
      <w:pPr>
        <w:widowControl/>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2A479F" w:rsidRPr="00181CF2">
        <w:rPr>
          <w:rFonts w:ascii="Arial" w:hAnsi="Arial" w:cs="Arial"/>
          <w:b/>
          <w:color w:val="000000" w:themeColor="text1"/>
          <w:szCs w:val="24"/>
          <w:lang w:val="en-GB"/>
        </w:rPr>
        <w:t>(a)</w:t>
      </w:r>
      <w:r w:rsidRPr="0028108F">
        <w:rPr>
          <w:rFonts w:ascii="Arial" w:hAnsi="Arial" w:cs="Arial"/>
          <w:b/>
          <w:color w:val="000000" w:themeColor="text1"/>
          <w:szCs w:val="24"/>
          <w:lang w:val="en-GB"/>
        </w:rPr>
        <w:tab/>
      </w:r>
      <w:r w:rsidR="002A479F" w:rsidRPr="00181CF2">
        <w:rPr>
          <w:rFonts w:ascii="Arial" w:hAnsi="Arial" w:cs="Arial"/>
          <w:b/>
          <w:color w:val="000000" w:themeColor="text1"/>
          <w:szCs w:val="24"/>
          <w:lang w:val="en-GB"/>
        </w:rPr>
        <w:t>whether a minor (under the age of 18 years) should not be allowed to make an application unless with the consent of his or her par</w:t>
      </w:r>
      <w:r w:rsidR="002A479F" w:rsidRPr="00C57CE1">
        <w:rPr>
          <w:rFonts w:ascii="Arial" w:hAnsi="Arial" w:cs="Arial"/>
          <w:b/>
          <w:color w:val="000000" w:themeColor="text1"/>
          <w:szCs w:val="24"/>
          <w:lang w:val="en-GB"/>
        </w:rPr>
        <w:t>ents</w:t>
      </w:r>
      <w:r w:rsidR="006D68E2" w:rsidRPr="0028108F">
        <w:rPr>
          <w:rFonts w:ascii="Arial" w:hAnsi="Arial" w:cs="Arial"/>
          <w:b/>
          <w:color w:val="000000" w:themeColor="text1"/>
          <w:szCs w:val="24"/>
          <w:lang w:val="en-GB"/>
        </w:rPr>
        <w:t xml:space="preserve"> </w:t>
      </w:r>
      <w:r w:rsidR="002A479F" w:rsidRPr="00181CF2">
        <w:rPr>
          <w:rFonts w:ascii="Arial" w:hAnsi="Arial" w:cs="Arial"/>
          <w:b/>
          <w:color w:val="000000" w:themeColor="text1"/>
          <w:szCs w:val="24"/>
          <w:lang w:val="en-GB"/>
        </w:rPr>
        <w:t>and/or legal guardians, and why;</w:t>
      </w:r>
    </w:p>
    <w:p w:rsidR="002A479F" w:rsidRPr="00C57CE1"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A479F" w:rsidRPr="00181CF2" w:rsidRDefault="00E7508D" w:rsidP="0028108F">
      <w:pPr>
        <w:widowControl/>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2A479F" w:rsidRPr="00181CF2">
        <w:rPr>
          <w:rFonts w:ascii="Arial" w:hAnsi="Arial" w:cs="Arial"/>
          <w:b/>
          <w:color w:val="000000" w:themeColor="text1"/>
          <w:szCs w:val="24"/>
          <w:lang w:val="en-GB"/>
        </w:rPr>
        <w:t>(b)</w:t>
      </w:r>
      <w:r w:rsidR="002A479F" w:rsidRPr="00181CF2">
        <w:rPr>
          <w:rFonts w:ascii="Arial" w:hAnsi="Arial" w:cs="Arial"/>
          <w:b/>
          <w:color w:val="000000" w:themeColor="text1"/>
          <w:szCs w:val="24"/>
          <w:lang w:val="en-GB"/>
        </w:rPr>
        <w:tab/>
        <w:t>whether there should be additional requirements for a minor applicant which would not be required for an adult applicant, and why; and</w:t>
      </w:r>
    </w:p>
    <w:p w:rsidR="002A479F" w:rsidRPr="00181CF2" w:rsidRDefault="002A479F" w:rsidP="002A479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A479F" w:rsidRPr="0028108F" w:rsidRDefault="00E7508D" w:rsidP="0028108F">
      <w:pPr>
        <w:widowControl/>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2A479F" w:rsidRPr="00181CF2">
        <w:rPr>
          <w:rFonts w:ascii="Arial" w:hAnsi="Arial" w:cs="Arial"/>
          <w:b/>
          <w:color w:val="000000" w:themeColor="text1"/>
          <w:szCs w:val="24"/>
          <w:lang w:val="en-GB"/>
        </w:rPr>
        <w:t>(c)</w:t>
      </w:r>
      <w:r w:rsidR="002A479F" w:rsidRPr="00181CF2">
        <w:rPr>
          <w:rFonts w:ascii="Arial" w:hAnsi="Arial" w:cs="Arial"/>
          <w:b/>
          <w:color w:val="000000" w:themeColor="text1"/>
          <w:szCs w:val="24"/>
          <w:lang w:val="en-GB"/>
        </w:rPr>
        <w:tab/>
        <w:t xml:space="preserve">if the answer to sub-paragraph (b) is “yes”, what </w:t>
      </w:r>
      <w:r w:rsidR="00CA6326" w:rsidRPr="00C57CE1">
        <w:rPr>
          <w:rFonts w:ascii="Arial" w:hAnsi="Arial" w:cs="Arial"/>
          <w:b/>
          <w:color w:val="000000" w:themeColor="text1"/>
          <w:szCs w:val="24"/>
          <w:lang w:val="en-GB"/>
        </w:rPr>
        <w:tab/>
      </w:r>
      <w:r w:rsidR="002A479F" w:rsidRPr="0028108F">
        <w:rPr>
          <w:rFonts w:ascii="Arial" w:hAnsi="Arial" w:cs="Arial"/>
          <w:b/>
          <w:color w:val="000000" w:themeColor="text1"/>
          <w:szCs w:val="24"/>
          <w:lang w:val="en-GB"/>
        </w:rPr>
        <w:t>kind of requirement(s) and evidence should be required.</w:t>
      </w:r>
    </w:p>
    <w:p w:rsidR="00040EFE" w:rsidRPr="0028108F" w:rsidRDefault="00040EFE" w:rsidP="0028108F">
      <w:pPr>
        <w:pBdr>
          <w:top w:val="single" w:sz="4" w:space="8" w:color="auto"/>
          <w:left w:val="single" w:sz="4" w:space="8" w:color="auto"/>
          <w:bottom w:val="single" w:sz="4" w:space="8" w:color="auto"/>
          <w:right w:val="single" w:sz="4" w:space="8" w:color="auto"/>
        </w:pBdr>
        <w:snapToGrid w:val="0"/>
        <w:ind w:left="720" w:right="720" w:firstLineChars="300" w:firstLine="721"/>
        <w:jc w:val="both"/>
        <w:rPr>
          <w:rFonts w:ascii="Arial" w:hAnsi="Arial" w:cs="Arial"/>
          <w:b/>
          <w:color w:val="000000" w:themeColor="text1"/>
          <w:szCs w:val="24"/>
          <w:lang w:val="en-GB"/>
        </w:rPr>
      </w:pPr>
    </w:p>
    <w:p w:rsidR="00CF5F0B" w:rsidRDefault="00CF5F0B">
      <w:pPr>
        <w:snapToGrid w:val="0"/>
        <w:ind w:left="1417" w:hangingChars="590" w:hanging="1417"/>
        <w:jc w:val="both"/>
        <w:rPr>
          <w:rFonts w:ascii="Arial" w:hAnsi="Arial" w:cs="Arial"/>
          <w:b/>
          <w:color w:val="0000FF"/>
          <w:szCs w:val="24"/>
        </w:rPr>
      </w:pPr>
    </w:p>
    <w:p w:rsidR="006F76B8" w:rsidRPr="0028108F" w:rsidRDefault="006F76B8">
      <w:pPr>
        <w:snapToGrid w:val="0"/>
        <w:ind w:left="1417" w:hangingChars="590" w:hanging="1417"/>
        <w:jc w:val="both"/>
        <w:rPr>
          <w:rFonts w:ascii="Arial" w:hAnsi="Arial" w:cs="Arial"/>
          <w:b/>
          <w:color w:val="0000FF"/>
          <w:szCs w:val="24"/>
        </w:rPr>
      </w:pPr>
    </w:p>
    <w:p w:rsidR="00E773F6" w:rsidRPr="0028108F" w:rsidRDefault="00E773F6"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 xml:space="preserve">Requirement </w:t>
      </w:r>
      <w:r w:rsidR="00040EFE" w:rsidRPr="0028108F">
        <w:rPr>
          <w:rFonts w:ascii="Arial" w:hAnsi="Arial" w:cs="Arial"/>
          <w:b/>
          <w:color w:val="000000" w:themeColor="text1"/>
          <w:sz w:val="28"/>
          <w:szCs w:val="28"/>
          <w:lang w:val="en-GB"/>
        </w:rPr>
        <w:t>related to</w:t>
      </w:r>
      <w:r w:rsidRPr="0028108F">
        <w:rPr>
          <w:rFonts w:ascii="Arial" w:hAnsi="Arial" w:cs="Arial"/>
          <w:b/>
          <w:color w:val="000000" w:themeColor="text1"/>
          <w:sz w:val="28"/>
          <w:szCs w:val="28"/>
          <w:lang w:val="en-GB"/>
        </w:rPr>
        <w:t xml:space="preserve"> marital status </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kern w:val="0"/>
          <w:szCs w:val="24"/>
          <w:lang w:val="en-GB"/>
        </w:rPr>
        <w:t xml:space="preserve">Arguments in support </w:t>
      </w:r>
      <w:r w:rsidR="00E773F6" w:rsidRPr="00C57CE1">
        <w:rPr>
          <w:rFonts w:ascii="Arial" w:hAnsi="Arial" w:cs="Arial"/>
          <w:b/>
          <w:i/>
          <w:color w:val="000000" w:themeColor="text1"/>
          <w:szCs w:val="24"/>
          <w:lang w:val="en-GB"/>
        </w:rPr>
        <w:t xml:space="preserve">of having </w:t>
      </w:r>
      <w:r w:rsidR="00EC3218" w:rsidRPr="0028108F">
        <w:rPr>
          <w:rFonts w:ascii="Arial" w:hAnsi="Arial" w:cs="Arial"/>
          <w:b/>
          <w:i/>
          <w:color w:val="000000" w:themeColor="text1"/>
          <w:szCs w:val="24"/>
          <w:lang w:val="en-GB"/>
        </w:rPr>
        <w:t xml:space="preserve">a </w:t>
      </w:r>
      <w:r w:rsidR="00E773F6" w:rsidRPr="0028108F">
        <w:rPr>
          <w:rFonts w:ascii="Arial" w:hAnsi="Arial" w:cs="Arial"/>
          <w:b/>
          <w:i/>
          <w:color w:val="000000" w:themeColor="text1"/>
          <w:szCs w:val="24"/>
          <w:lang w:val="en-GB"/>
        </w:rPr>
        <w:t>requirement that an applicant should be unmarried or divorced</w:t>
      </w:r>
    </w:p>
    <w:p w:rsidR="00E773F6" w:rsidRPr="0028108F" w:rsidRDefault="00E773F6" w:rsidP="00E773F6">
      <w:pPr>
        <w:tabs>
          <w:tab w:val="left" w:pos="851"/>
        </w:tabs>
        <w:adjustRightInd w:val="0"/>
        <w:snapToGrid w:val="0"/>
        <w:jc w:val="both"/>
        <w:rPr>
          <w:rFonts w:ascii="Arial" w:hAnsi="Arial" w:cs="Arial"/>
          <w:color w:val="0000FF"/>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 xml:space="preserve">In </w:t>
      </w:r>
      <w:r w:rsidR="006E15C4" w:rsidRPr="0028108F">
        <w:rPr>
          <w:rFonts w:ascii="Arial" w:hAnsi="Arial" w:cs="Arial"/>
          <w:szCs w:val="24"/>
          <w:lang w:val="en-GB"/>
        </w:rPr>
        <w:t xml:space="preserve">jurisdictions </w:t>
      </w:r>
      <w:r w:rsidRPr="0028108F">
        <w:rPr>
          <w:rFonts w:ascii="Arial" w:hAnsi="Arial" w:cs="Arial"/>
          <w:szCs w:val="24"/>
          <w:lang w:val="en-GB"/>
        </w:rPr>
        <w:t xml:space="preserve">where same-sex marriage is not </w:t>
      </w:r>
      <w:r w:rsidR="00EC3218" w:rsidRPr="0028108F">
        <w:rPr>
          <w:rFonts w:ascii="Arial" w:hAnsi="Arial" w:cs="Arial"/>
          <w:szCs w:val="24"/>
          <w:lang w:val="en-GB"/>
        </w:rPr>
        <w:t>legalised</w:t>
      </w:r>
      <w:r w:rsidRPr="0028108F">
        <w:rPr>
          <w:rFonts w:ascii="Arial" w:hAnsi="Arial" w:cs="Arial"/>
          <w:szCs w:val="24"/>
          <w:lang w:val="en-GB"/>
        </w:rPr>
        <w:t xml:space="preserve">, there is often a legal requirement </w:t>
      </w:r>
      <w:r w:rsidR="006E15C4" w:rsidRPr="0028108F">
        <w:rPr>
          <w:rFonts w:ascii="Arial" w:hAnsi="Arial" w:cs="Arial"/>
          <w:szCs w:val="24"/>
          <w:lang w:val="en-GB"/>
        </w:rPr>
        <w:t>in t</w:t>
      </w:r>
      <w:r w:rsidR="00540443">
        <w:rPr>
          <w:rFonts w:ascii="Arial" w:hAnsi="Arial" w:cs="Arial" w:hint="eastAsia"/>
          <w:szCs w:val="24"/>
          <w:lang w:val="en-GB"/>
        </w:rPr>
        <w:t>heir</w:t>
      </w:r>
      <w:r w:rsidR="00CF5F0B" w:rsidRPr="0028108F">
        <w:rPr>
          <w:rFonts w:ascii="Arial" w:hAnsi="Arial" w:cs="Arial"/>
          <w:szCs w:val="24"/>
          <w:lang w:val="en-GB"/>
        </w:rPr>
        <w:t xml:space="preserve"> </w:t>
      </w:r>
      <w:r w:rsidR="006E15C4" w:rsidRPr="0028108F">
        <w:rPr>
          <w:rFonts w:ascii="Arial" w:hAnsi="Arial" w:cs="Arial"/>
          <w:szCs w:val="24"/>
          <w:lang w:val="en-GB"/>
        </w:rPr>
        <w:t xml:space="preserve">gender recognition scheme (if </w:t>
      </w:r>
      <w:r w:rsidR="00CF5F0B" w:rsidRPr="0028108F">
        <w:rPr>
          <w:rFonts w:ascii="Arial" w:hAnsi="Arial" w:cs="Arial"/>
          <w:szCs w:val="24"/>
          <w:lang w:val="en-GB"/>
        </w:rPr>
        <w:t xml:space="preserve">it </w:t>
      </w:r>
      <w:r w:rsidR="006E15C4" w:rsidRPr="0028108F">
        <w:rPr>
          <w:rFonts w:ascii="Arial" w:hAnsi="Arial" w:cs="Arial"/>
          <w:szCs w:val="24"/>
          <w:lang w:val="en-GB"/>
        </w:rPr>
        <w:t xml:space="preserve">exists) </w:t>
      </w:r>
      <w:r w:rsidRPr="0028108F">
        <w:rPr>
          <w:rFonts w:ascii="Arial" w:hAnsi="Arial" w:cs="Arial"/>
          <w:szCs w:val="24"/>
          <w:lang w:val="en-GB"/>
        </w:rPr>
        <w:t xml:space="preserve">that </w:t>
      </w:r>
      <w:r w:rsidR="00CF5F0B" w:rsidRPr="0028108F">
        <w:rPr>
          <w:rFonts w:ascii="Arial" w:hAnsi="Arial" w:cs="Arial"/>
          <w:szCs w:val="24"/>
          <w:lang w:val="en-GB"/>
        </w:rPr>
        <w:t xml:space="preserve">an applicant is single, or, if married, that the applicant must divorce </w:t>
      </w:r>
      <w:r w:rsidRPr="0028108F">
        <w:rPr>
          <w:rFonts w:ascii="Arial" w:hAnsi="Arial" w:cs="Arial"/>
          <w:szCs w:val="24"/>
          <w:lang w:val="en-GB"/>
        </w:rPr>
        <w:t xml:space="preserve">his/her opposite-sex partner before his/her new gender can be recognised.  </w:t>
      </w:r>
      <w:r w:rsidR="00B24E04" w:rsidRPr="0028108F">
        <w:rPr>
          <w:rFonts w:ascii="Arial" w:hAnsi="Arial" w:cs="Arial"/>
          <w:szCs w:val="24"/>
          <w:lang w:val="en-GB"/>
        </w:rPr>
        <w:t xml:space="preserve">Including such prerequisites to gender recognition </w:t>
      </w:r>
      <w:r w:rsidR="00540443">
        <w:rPr>
          <w:rFonts w:ascii="Arial" w:hAnsi="Arial" w:cs="Arial" w:hint="eastAsia"/>
          <w:szCs w:val="24"/>
          <w:lang w:val="en-GB"/>
        </w:rPr>
        <w:t xml:space="preserve">could arguably </w:t>
      </w:r>
      <w:r w:rsidR="00B24E04" w:rsidRPr="0028108F">
        <w:rPr>
          <w:rFonts w:ascii="Arial" w:hAnsi="Arial" w:cs="Arial"/>
          <w:szCs w:val="24"/>
          <w:lang w:val="en-GB"/>
        </w:rPr>
        <w:t>avoid any assumption of legalisation of same-sex unions.</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6E15C4"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As an illustration</w:t>
      </w:r>
      <w:r w:rsidR="00E773F6" w:rsidRPr="0028108F">
        <w:rPr>
          <w:rFonts w:ascii="Arial" w:hAnsi="Arial" w:cs="Arial"/>
          <w:szCs w:val="24"/>
          <w:lang w:val="en-GB"/>
        </w:rPr>
        <w:t>, the Japanese legislature has provided the requirement of being un</w:t>
      </w:r>
      <w:r w:rsidR="00B24E04" w:rsidRPr="0028108F">
        <w:rPr>
          <w:rFonts w:ascii="Arial" w:hAnsi="Arial" w:cs="Arial"/>
          <w:szCs w:val="24"/>
          <w:lang w:val="en-GB"/>
        </w:rPr>
        <w:t>married</w:t>
      </w:r>
      <w:r w:rsidR="00E773F6" w:rsidRPr="0028108F">
        <w:rPr>
          <w:rFonts w:ascii="Arial" w:hAnsi="Arial" w:cs="Arial"/>
          <w:szCs w:val="24"/>
          <w:lang w:val="en-GB"/>
        </w:rPr>
        <w:t xml:space="preserve"> for gender recognition</w:t>
      </w:r>
      <w:r w:rsidR="00B24E04" w:rsidRPr="0028108F">
        <w:rPr>
          <w:rFonts w:ascii="Arial" w:hAnsi="Arial" w:cs="Arial"/>
          <w:szCs w:val="24"/>
          <w:lang w:val="en-GB"/>
        </w:rPr>
        <w:t>,</w:t>
      </w:r>
      <w:r w:rsidR="00E773F6" w:rsidRPr="0028108F">
        <w:rPr>
          <w:rFonts w:ascii="Arial" w:hAnsi="Arial" w:cs="Arial"/>
          <w:szCs w:val="24"/>
          <w:lang w:val="en-GB"/>
        </w:rPr>
        <w:t xml:space="preserve"> because it believed that authorising the legal recognition of gender for a married person would result in same-sex marriages, which are not legally recognised in Japan.  Despite occasional academic opinions calling for the requirement to be abolished, the majority of commentary, however, considers that the Japanese family law system is grounded on the heterosexual marital family unit, as is reflected in the family register, and marriage is conceived </w:t>
      </w:r>
      <w:r w:rsidR="00B24E04" w:rsidRPr="0028108F">
        <w:rPr>
          <w:rFonts w:ascii="Arial" w:hAnsi="Arial" w:cs="Arial"/>
          <w:szCs w:val="24"/>
          <w:lang w:val="en-GB"/>
        </w:rPr>
        <w:t>to be</w:t>
      </w:r>
      <w:r w:rsidR="00E773F6" w:rsidRPr="0028108F">
        <w:rPr>
          <w:rFonts w:ascii="Arial" w:hAnsi="Arial" w:cs="Arial"/>
          <w:szCs w:val="24"/>
          <w:lang w:val="en-GB"/>
        </w:rPr>
        <w:t xml:space="preserve"> a stable community of </w:t>
      </w:r>
      <w:r w:rsidR="00B24E04" w:rsidRPr="0028108F">
        <w:rPr>
          <w:rFonts w:ascii="Arial" w:hAnsi="Arial" w:cs="Arial"/>
          <w:szCs w:val="24"/>
          <w:lang w:val="en-GB"/>
        </w:rPr>
        <w:t xml:space="preserve">a </w:t>
      </w:r>
      <w:r w:rsidR="00E773F6" w:rsidRPr="0028108F">
        <w:rPr>
          <w:rFonts w:ascii="Arial" w:hAnsi="Arial" w:cs="Arial"/>
          <w:szCs w:val="24"/>
          <w:lang w:val="en-GB"/>
        </w:rPr>
        <w:t xml:space="preserve">man and </w:t>
      </w:r>
      <w:r w:rsidR="00B24E04" w:rsidRPr="0028108F">
        <w:rPr>
          <w:rFonts w:ascii="Arial" w:hAnsi="Arial" w:cs="Arial"/>
          <w:szCs w:val="24"/>
          <w:lang w:val="en-GB"/>
        </w:rPr>
        <w:t xml:space="preserve">a </w:t>
      </w:r>
      <w:r w:rsidR="00E773F6" w:rsidRPr="0028108F">
        <w:rPr>
          <w:rFonts w:ascii="Arial" w:hAnsi="Arial" w:cs="Arial"/>
          <w:szCs w:val="24"/>
          <w:lang w:val="en-GB"/>
        </w:rPr>
        <w:t xml:space="preserve">woman who give birth to and take care of children, and the status of children is clearly distinguished </w:t>
      </w:r>
      <w:r w:rsidR="00B24E04" w:rsidRPr="0028108F">
        <w:rPr>
          <w:rFonts w:ascii="Arial" w:hAnsi="Arial" w:cs="Arial"/>
          <w:szCs w:val="24"/>
          <w:lang w:val="en-GB"/>
        </w:rPr>
        <w:t xml:space="preserve">in Japan </w:t>
      </w:r>
      <w:r w:rsidR="00E773F6" w:rsidRPr="0028108F">
        <w:rPr>
          <w:rFonts w:ascii="Arial" w:hAnsi="Arial" w:cs="Arial"/>
          <w:szCs w:val="24"/>
          <w:lang w:val="en-GB"/>
        </w:rPr>
        <w:t>according to whether they are born in or out of wedlock.</w:t>
      </w:r>
      <w:r w:rsidR="00E773F6" w:rsidRPr="0028108F">
        <w:rPr>
          <w:rStyle w:val="FootnoteReference"/>
          <w:rFonts w:ascii="Arial" w:hAnsi="Arial" w:cs="Arial"/>
          <w:lang w:val="en-GB"/>
        </w:rPr>
        <w:footnoteReference w:id="750"/>
      </w:r>
    </w:p>
    <w:p w:rsidR="00E773F6" w:rsidRPr="0028108F" w:rsidRDefault="00E773F6" w:rsidP="00E773F6">
      <w:pPr>
        <w:pStyle w:val="ListParagraph"/>
        <w:tabs>
          <w:tab w:val="left" w:pos="851"/>
        </w:tabs>
        <w:adjustRightInd w:val="0"/>
        <w:snapToGrid w:val="0"/>
        <w:ind w:leftChars="0" w:left="1985"/>
        <w:jc w:val="both"/>
        <w:rPr>
          <w:rFonts w:ascii="Arial" w:hAnsi="Arial" w:cs="Arial"/>
          <w:color w:val="000000" w:themeColor="text1"/>
          <w:szCs w:val="24"/>
          <w:lang w:val="en-GB"/>
        </w:rPr>
      </w:pPr>
    </w:p>
    <w:p w:rsidR="00E773F6" w:rsidRPr="0028108F" w:rsidRDefault="00E773F6" w:rsidP="00796D16">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Under the UK GRA, </w:t>
      </w:r>
      <w:r w:rsidR="00B24E04" w:rsidRPr="0028108F">
        <w:rPr>
          <w:rFonts w:ascii="Arial" w:hAnsi="Arial" w:cs="Arial"/>
          <w:szCs w:val="24"/>
          <w:lang w:val="en-GB"/>
        </w:rPr>
        <w:t xml:space="preserve">an </w:t>
      </w:r>
      <w:r w:rsidRPr="0028108F">
        <w:rPr>
          <w:rFonts w:ascii="Arial" w:hAnsi="Arial" w:cs="Arial"/>
          <w:szCs w:val="24"/>
          <w:lang w:val="en-GB"/>
        </w:rPr>
        <w:t xml:space="preserve">applicant who </w:t>
      </w:r>
      <w:r w:rsidR="00B24E04" w:rsidRPr="0028108F">
        <w:rPr>
          <w:rFonts w:ascii="Arial" w:hAnsi="Arial" w:cs="Arial"/>
          <w:szCs w:val="24"/>
          <w:lang w:val="en-GB"/>
        </w:rPr>
        <w:t>is</w:t>
      </w:r>
      <w:r w:rsidRPr="0028108F">
        <w:rPr>
          <w:rFonts w:ascii="Arial" w:hAnsi="Arial" w:cs="Arial"/>
          <w:szCs w:val="24"/>
          <w:lang w:val="en-GB"/>
        </w:rPr>
        <w:t xml:space="preserve"> married to his/her opposite-sex partner </w:t>
      </w:r>
      <w:r w:rsidR="00B24E04" w:rsidRPr="0028108F">
        <w:rPr>
          <w:rFonts w:ascii="Arial" w:hAnsi="Arial" w:cs="Arial"/>
          <w:szCs w:val="24"/>
          <w:lang w:val="en-GB"/>
        </w:rPr>
        <w:t>is</w:t>
      </w:r>
      <w:r w:rsidRPr="0028108F">
        <w:rPr>
          <w:rFonts w:ascii="Arial" w:hAnsi="Arial" w:cs="Arial"/>
          <w:szCs w:val="24"/>
          <w:lang w:val="en-GB"/>
        </w:rPr>
        <w:t xml:space="preserve"> no longer required to divorce since the passage of the Marriage Equality Act 2013 (see Chapter </w:t>
      </w:r>
      <w:r w:rsidRPr="008813DE">
        <w:rPr>
          <w:rFonts w:ascii="Arial" w:hAnsi="Arial" w:cs="Arial"/>
          <w:szCs w:val="24"/>
          <w:lang w:val="en-GB"/>
        </w:rPr>
        <w:t>3</w:t>
      </w:r>
      <w:r w:rsidRPr="0028108F">
        <w:rPr>
          <w:rFonts w:ascii="Arial" w:hAnsi="Arial" w:cs="Arial"/>
          <w:szCs w:val="24"/>
          <w:lang w:val="en-GB"/>
        </w:rPr>
        <w:t xml:space="preserve">, at paragraph </w:t>
      </w:r>
      <w:r w:rsidR="006F76B8">
        <w:rPr>
          <w:rFonts w:ascii="Arial" w:hAnsi="Arial" w:cs="Arial"/>
          <w:szCs w:val="24"/>
          <w:lang w:val="en-GB"/>
        </w:rPr>
        <w:t>3.45</w:t>
      </w:r>
      <w:r w:rsidRPr="0028108F">
        <w:rPr>
          <w:rFonts w:ascii="Arial" w:hAnsi="Arial" w:cs="Arial"/>
          <w:szCs w:val="24"/>
          <w:lang w:val="en-GB"/>
        </w:rPr>
        <w:t xml:space="preserve"> for more information).  </w:t>
      </w:r>
      <w:r w:rsidR="001F4D27" w:rsidRPr="0028108F">
        <w:rPr>
          <w:rFonts w:ascii="Arial" w:hAnsi="Arial" w:cs="Arial"/>
          <w:szCs w:val="24"/>
          <w:lang w:val="en-GB"/>
        </w:rPr>
        <w:t>Arguably, t</w:t>
      </w:r>
      <w:r w:rsidRPr="0028108F">
        <w:rPr>
          <w:rFonts w:ascii="Arial" w:hAnsi="Arial" w:cs="Arial"/>
          <w:szCs w:val="24"/>
          <w:lang w:val="en-GB"/>
        </w:rPr>
        <w:t xml:space="preserve">he introduction of same-gender marriage </w:t>
      </w:r>
      <w:r w:rsidR="00B24E04" w:rsidRPr="0028108F">
        <w:rPr>
          <w:rFonts w:ascii="Arial" w:hAnsi="Arial" w:cs="Arial"/>
          <w:szCs w:val="24"/>
          <w:lang w:val="en-GB"/>
        </w:rPr>
        <w:t xml:space="preserve">there </w:t>
      </w:r>
      <w:r w:rsidRPr="0028108F">
        <w:rPr>
          <w:rFonts w:ascii="Arial" w:hAnsi="Arial" w:cs="Arial"/>
          <w:szCs w:val="24"/>
          <w:lang w:val="en-GB"/>
        </w:rPr>
        <w:t xml:space="preserve">has significantly reduced concerns regarding the relationship status of transgender individuals.  Schedule 5 to the English and Welsh Marriage (Same-Sex Couples) Act 2013 permits applicants for </w:t>
      </w:r>
      <w:r w:rsidR="001F4D27" w:rsidRPr="0028108F">
        <w:rPr>
          <w:rFonts w:ascii="Arial" w:hAnsi="Arial" w:cs="Arial"/>
          <w:szCs w:val="24"/>
          <w:lang w:val="en-GB"/>
        </w:rPr>
        <w:t xml:space="preserve">gender </w:t>
      </w:r>
      <w:r w:rsidRPr="0028108F">
        <w:rPr>
          <w:rFonts w:ascii="Arial" w:hAnsi="Arial" w:cs="Arial"/>
          <w:szCs w:val="24"/>
          <w:lang w:val="en-GB"/>
        </w:rPr>
        <w:t xml:space="preserve">recognition to remain in </w:t>
      </w:r>
      <w:r w:rsidR="001F4D27" w:rsidRPr="0028108F">
        <w:rPr>
          <w:rFonts w:ascii="Arial" w:hAnsi="Arial" w:cs="Arial"/>
          <w:szCs w:val="24"/>
          <w:lang w:val="en-GB"/>
        </w:rPr>
        <w:t>their</w:t>
      </w:r>
      <w:r w:rsidRPr="0028108F">
        <w:rPr>
          <w:rFonts w:ascii="Arial" w:hAnsi="Arial" w:cs="Arial"/>
          <w:szCs w:val="24"/>
          <w:lang w:val="en-GB"/>
        </w:rPr>
        <w:t xml:space="preserve"> existing marriage where the non-transitioning spouse consents to conversion from a heterosexual union into a same</w:t>
      </w:r>
      <w:r w:rsidR="001F4D27" w:rsidRPr="0028108F">
        <w:rPr>
          <w:rFonts w:ascii="Arial" w:hAnsi="Arial" w:cs="Arial"/>
          <w:szCs w:val="24"/>
          <w:lang w:val="en-GB"/>
        </w:rPr>
        <w:t>-</w:t>
      </w:r>
      <w:r w:rsidRPr="0028108F">
        <w:rPr>
          <w:rFonts w:ascii="Arial" w:hAnsi="Arial" w:cs="Arial"/>
          <w:szCs w:val="24"/>
          <w:lang w:val="en-GB"/>
        </w:rPr>
        <w:t>gender marriage.  However, similar provisions are not at this moment applicable to Hong Kong as there is no law that recognises civil partnership or same-sex marriage in Hong Kong.</w:t>
      </w:r>
    </w:p>
    <w:p w:rsidR="00E773F6" w:rsidRPr="0028108F" w:rsidRDefault="00E773F6" w:rsidP="00961014">
      <w:pPr>
        <w:pStyle w:val="ListParagraph"/>
        <w:tabs>
          <w:tab w:val="left" w:pos="851"/>
        </w:tabs>
        <w:adjustRightInd w:val="0"/>
        <w:snapToGrid w:val="0"/>
        <w:ind w:leftChars="0" w:left="1985"/>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The official justification for the divorce requirement in the UK GRA was the then existing prohibition on equal marriage rights.</w:t>
      </w:r>
      <w:r w:rsidRPr="0028108F">
        <w:rPr>
          <w:rStyle w:val="FootnoteReference"/>
          <w:rFonts w:ascii="Arial" w:hAnsi="Arial" w:cs="Arial"/>
          <w:color w:val="000000" w:themeColor="text1"/>
          <w:lang w:val="en-GB"/>
        </w:rPr>
        <w:footnoteReference w:id="751"/>
      </w:r>
      <w:r w:rsidRPr="0028108F">
        <w:rPr>
          <w:rFonts w:ascii="Arial" w:hAnsi="Arial" w:cs="Arial"/>
          <w:szCs w:val="24"/>
          <w:lang w:val="en-GB"/>
        </w:rPr>
        <w:t xml:space="preserve">  During the period between 2004 (when the UK GRA was passed) and 2013 (when the Marriage Equality Act 2013 was passed), there was a perception that allowing spouses to remain married after they had legally transitioned would create a loophole in the UK’s marriage laws and undermine the state’s commitment to traditional marriage.</w:t>
      </w:r>
      <w:r w:rsidRPr="0028108F">
        <w:rPr>
          <w:rStyle w:val="FootnoteReference"/>
          <w:rFonts w:ascii="Arial" w:hAnsi="Arial" w:cs="Arial"/>
          <w:lang w:val="en-GB"/>
        </w:rPr>
        <w:footnoteReference w:id="752"/>
      </w:r>
      <w:r w:rsidRPr="0028108F">
        <w:rPr>
          <w:rFonts w:ascii="Arial" w:hAnsi="Arial" w:cs="Arial"/>
          <w:szCs w:val="24"/>
          <w:lang w:val="en-GB"/>
        </w:rPr>
        <w:t xml:space="preserve">  It </w:t>
      </w:r>
      <w:r w:rsidR="00B24E04" w:rsidRPr="0028108F">
        <w:rPr>
          <w:rFonts w:ascii="Arial" w:hAnsi="Arial" w:cs="Arial"/>
          <w:szCs w:val="24"/>
          <w:lang w:val="en-GB"/>
        </w:rPr>
        <w:t xml:space="preserve">would </w:t>
      </w:r>
      <w:r w:rsidR="00540443">
        <w:rPr>
          <w:rFonts w:ascii="Arial" w:hAnsi="Arial" w:cs="Arial" w:hint="eastAsia"/>
          <w:szCs w:val="24"/>
          <w:lang w:val="en-GB"/>
        </w:rPr>
        <w:t>appear</w:t>
      </w:r>
      <w:r w:rsidRPr="0028108F">
        <w:rPr>
          <w:rFonts w:ascii="Arial" w:hAnsi="Arial" w:cs="Arial"/>
          <w:szCs w:val="24"/>
          <w:lang w:val="en-GB"/>
        </w:rPr>
        <w:t xml:space="preserve"> that in Hong Kong, similar concerns regarding the relationship status of transgender individuals and the divorce requirement for gender recognition would be raised by some </w:t>
      </w:r>
      <w:r w:rsidR="001F4D27" w:rsidRPr="0028108F">
        <w:rPr>
          <w:rFonts w:ascii="Arial" w:hAnsi="Arial" w:cs="Arial"/>
          <w:szCs w:val="24"/>
          <w:lang w:val="en-GB"/>
        </w:rPr>
        <w:t xml:space="preserve">groups of </w:t>
      </w:r>
      <w:r w:rsidRPr="0028108F">
        <w:rPr>
          <w:rFonts w:ascii="Arial" w:hAnsi="Arial" w:cs="Arial"/>
          <w:szCs w:val="24"/>
          <w:lang w:val="en-GB"/>
        </w:rPr>
        <w:t xml:space="preserve">advocates.  </w:t>
      </w:r>
      <w:r w:rsidR="001F4D27" w:rsidRPr="0028108F">
        <w:rPr>
          <w:rFonts w:ascii="Arial" w:hAnsi="Arial" w:cs="Arial"/>
          <w:szCs w:val="24"/>
          <w:lang w:val="en-GB"/>
        </w:rPr>
        <w:t>It is noted that e</w:t>
      </w:r>
      <w:r w:rsidRPr="0028108F">
        <w:rPr>
          <w:rFonts w:ascii="Arial" w:hAnsi="Arial" w:cs="Arial"/>
          <w:szCs w:val="24"/>
          <w:lang w:val="en-GB"/>
        </w:rPr>
        <w:t xml:space="preserve">ven </w:t>
      </w:r>
      <w:r w:rsidR="001F4D27" w:rsidRPr="0028108F">
        <w:rPr>
          <w:rFonts w:ascii="Arial" w:hAnsi="Arial" w:cs="Arial"/>
          <w:szCs w:val="24"/>
          <w:lang w:val="en-GB"/>
        </w:rPr>
        <w:t>some</w:t>
      </w:r>
      <w:r w:rsidRPr="0028108F">
        <w:rPr>
          <w:rFonts w:ascii="Arial" w:hAnsi="Arial" w:cs="Arial"/>
          <w:szCs w:val="24"/>
          <w:lang w:val="en-GB"/>
        </w:rPr>
        <w:t xml:space="preserve"> transgender advocates recognise the difficulties of not adopting the divorce requirement in a gender recognition scheme for policy reasons</w:t>
      </w:r>
      <w:r w:rsidR="00B24E04" w:rsidRPr="0028108F">
        <w:rPr>
          <w:rFonts w:ascii="Arial" w:hAnsi="Arial" w:cs="Arial"/>
          <w:szCs w:val="24"/>
          <w:lang w:val="en-GB"/>
        </w:rPr>
        <w:t>,</w:t>
      </w:r>
      <w:r w:rsidRPr="0028108F">
        <w:rPr>
          <w:rFonts w:ascii="Arial" w:hAnsi="Arial" w:cs="Arial"/>
          <w:szCs w:val="24"/>
          <w:lang w:val="en-GB"/>
        </w:rPr>
        <w:t xml:space="preserve"> and in view of the fact that most jurisdictions enacting gender recognition reforms without an obligation to divorce have already permitted same gender couples to marry</w:t>
      </w:r>
      <w:r w:rsidR="00CE1648">
        <w:rPr>
          <w:rFonts w:ascii="Arial" w:hAnsi="Arial" w:cs="Arial" w:hint="eastAsia"/>
          <w:szCs w:val="24"/>
          <w:lang w:val="en-GB"/>
        </w:rPr>
        <w:t xml:space="preserve"> whereas the situation in Hong Kong is not the same</w:t>
      </w:r>
      <w:r w:rsidRPr="0028108F">
        <w:rPr>
          <w:rFonts w:ascii="Arial" w:hAnsi="Arial" w:cs="Arial"/>
          <w:szCs w:val="24"/>
          <w:lang w:val="en-GB"/>
        </w:rPr>
        <w:t>.  As Peter Dunne observed:</w:t>
      </w:r>
      <w:r w:rsidRPr="0028108F">
        <w:rPr>
          <w:rStyle w:val="FootnoteReference"/>
          <w:rFonts w:ascii="Arial" w:hAnsi="Arial" w:cs="Arial"/>
          <w:lang w:val="en-GB"/>
        </w:rPr>
        <w:footnoteReference w:id="753"/>
      </w:r>
    </w:p>
    <w:p w:rsidR="00E773F6" w:rsidRPr="0028108F" w:rsidRDefault="00E773F6" w:rsidP="00961014">
      <w:pPr>
        <w:pStyle w:val="ListParagraph"/>
        <w:tabs>
          <w:tab w:val="left" w:pos="851"/>
        </w:tabs>
        <w:adjustRightInd w:val="0"/>
        <w:snapToGrid w:val="0"/>
        <w:ind w:leftChars="0" w:left="840"/>
        <w:jc w:val="both"/>
        <w:rPr>
          <w:rFonts w:ascii="Arial" w:hAnsi="Arial" w:cs="Arial"/>
          <w:szCs w:val="24"/>
          <w:lang w:val="en-GB"/>
        </w:rPr>
      </w:pPr>
    </w:p>
    <w:p w:rsidR="00E773F6" w:rsidRPr="0028108F" w:rsidRDefault="00E773F6" w:rsidP="00961014">
      <w:pPr>
        <w:snapToGrid w:val="0"/>
        <w:ind w:leftChars="354" w:left="851" w:rightChars="212" w:right="509" w:hanging="1"/>
        <w:jc w:val="both"/>
        <w:rPr>
          <w:rFonts w:ascii="Arial" w:hAnsi="Arial" w:cs="Arial"/>
          <w:i/>
          <w:szCs w:val="24"/>
          <w:lang w:val="en-GB"/>
        </w:rPr>
      </w:pPr>
      <w:r w:rsidRPr="0028108F">
        <w:rPr>
          <w:rFonts w:ascii="Arial" w:hAnsi="Arial" w:cs="Arial"/>
          <w:szCs w:val="24"/>
          <w:lang w:val="en-GB"/>
        </w:rPr>
        <w:t>“</w:t>
      </w:r>
      <w:r w:rsidRPr="0028108F">
        <w:rPr>
          <w:rFonts w:ascii="Arial" w:hAnsi="Arial" w:cs="Arial"/>
          <w:i/>
          <w:szCs w:val="24"/>
          <w:lang w:val="en-GB"/>
        </w:rPr>
        <w:t xml:space="preserve">Over the past 10 years, no clear international and European consensus has emerged regarding the Divorce Requirement. Soft law actors, such as the UN Committee on Human Rights and the </w:t>
      </w:r>
      <w:r w:rsidRPr="0028108F">
        <w:rPr>
          <w:rFonts w:ascii="Arial" w:hAnsi="Arial" w:cs="Arial"/>
          <w:i/>
          <w:kern w:val="0"/>
          <w:szCs w:val="24"/>
          <w:lang w:val="en-GB"/>
        </w:rPr>
        <w:t>Commissioner</w:t>
      </w:r>
      <w:r w:rsidRPr="0028108F">
        <w:rPr>
          <w:rFonts w:ascii="Arial" w:hAnsi="Arial" w:cs="Arial"/>
          <w:i/>
          <w:szCs w:val="24"/>
          <w:lang w:val="en-GB"/>
        </w:rPr>
        <w:t xml:space="preserve"> for Human Rights of the Council of Europe, have recommended that states </w:t>
      </w:r>
      <w:r w:rsidR="009A1C31" w:rsidRPr="0028108F">
        <w:rPr>
          <w:rFonts w:ascii="Arial" w:hAnsi="Arial" w:cs="Arial"/>
          <w:i/>
          <w:szCs w:val="24"/>
          <w:lang w:val="en-GB"/>
        </w:rPr>
        <w:t>‘</w:t>
      </w:r>
      <w:r w:rsidRPr="0028108F">
        <w:rPr>
          <w:rFonts w:ascii="Arial" w:hAnsi="Arial" w:cs="Arial"/>
          <w:i/>
          <w:szCs w:val="24"/>
          <w:lang w:val="en-GB"/>
        </w:rPr>
        <w:t>remove any restrictions on the right of transgender persons to remain in an existing marriage</w:t>
      </w:r>
      <w:r w:rsidR="009A1C31" w:rsidRPr="0028108F">
        <w:rPr>
          <w:rFonts w:ascii="Arial" w:hAnsi="Arial" w:cs="Arial"/>
          <w:i/>
          <w:szCs w:val="24"/>
          <w:lang w:val="en-GB"/>
        </w:rPr>
        <w:t>’</w:t>
      </w:r>
      <w:r w:rsidRPr="0028108F">
        <w:rPr>
          <w:rFonts w:ascii="Arial" w:hAnsi="Arial" w:cs="Arial"/>
          <w:i/>
          <w:szCs w:val="24"/>
          <w:lang w:val="en-GB"/>
        </w:rPr>
        <w:t xml:space="preserve">.  Since 2004, Spain, Portugal, the Netherlands, Sweden and Denmark have all enacted gender recognition reforms without an obligation to divorce.  Yet, each of these jurisdictions—at the time they introduced their new rules—already permitted same gender couples to marry. </w:t>
      </w:r>
      <w:r w:rsidR="009A1C31" w:rsidRPr="0028108F">
        <w:rPr>
          <w:rFonts w:ascii="Arial" w:hAnsi="Arial" w:cs="Arial"/>
          <w:i/>
          <w:szCs w:val="24"/>
          <w:lang w:val="en-GB"/>
        </w:rPr>
        <w:t xml:space="preserve"> </w:t>
      </w:r>
      <w:r w:rsidRPr="0028108F">
        <w:rPr>
          <w:rFonts w:ascii="Arial" w:hAnsi="Arial" w:cs="Arial"/>
          <w:i/>
          <w:szCs w:val="24"/>
          <w:lang w:val="en-GB"/>
        </w:rPr>
        <w:t xml:space="preserve">It is questionable therefore whether these countries can properly be understood as representing an emerging trend away from Divorce Requirements.  The example of Malta, which is a jurisdiction without marriage equality but which nonetheless allows transitioning individuals to remain married, is noticeably rare and does not reflect wider practice in this area. Indeed, even in Germany and Italy, where the Constitutional Courts have ruled that married applicants for gender recognition cannot be stripped of all their existing marital rights, the judges have affirmed that the specific nomenclature of </w:t>
      </w:r>
      <w:r w:rsidR="002739B5" w:rsidRPr="0028108F">
        <w:rPr>
          <w:rFonts w:ascii="Arial" w:hAnsi="Arial" w:cs="Arial"/>
          <w:i/>
          <w:szCs w:val="24"/>
          <w:lang w:val="en-GB"/>
        </w:rPr>
        <w:t>‘</w:t>
      </w:r>
      <w:r w:rsidRPr="0028108F">
        <w:rPr>
          <w:rFonts w:ascii="Arial" w:hAnsi="Arial" w:cs="Arial"/>
          <w:i/>
          <w:szCs w:val="24"/>
          <w:lang w:val="en-GB"/>
        </w:rPr>
        <w:t>marriage</w:t>
      </w:r>
      <w:r w:rsidR="002739B5" w:rsidRPr="0028108F">
        <w:rPr>
          <w:rFonts w:ascii="Arial" w:hAnsi="Arial" w:cs="Arial"/>
          <w:i/>
          <w:szCs w:val="24"/>
          <w:lang w:val="en-GB"/>
        </w:rPr>
        <w:t>’</w:t>
      </w:r>
      <w:r w:rsidRPr="0028108F">
        <w:rPr>
          <w:rFonts w:ascii="Arial" w:hAnsi="Arial" w:cs="Arial"/>
          <w:i/>
          <w:szCs w:val="24"/>
          <w:lang w:val="en-GB"/>
        </w:rPr>
        <w:t xml:space="preserve"> can be reserved for opposite gender couples.</w:t>
      </w:r>
    </w:p>
    <w:p w:rsidR="00E773F6" w:rsidRPr="0028108F" w:rsidRDefault="00E773F6" w:rsidP="00961014">
      <w:pPr>
        <w:pStyle w:val="ListParagraph"/>
        <w:tabs>
          <w:tab w:val="left" w:pos="851"/>
        </w:tabs>
        <w:adjustRightInd w:val="0"/>
        <w:snapToGrid w:val="0"/>
        <w:ind w:leftChars="0" w:left="1418"/>
        <w:jc w:val="both"/>
        <w:rPr>
          <w:rFonts w:ascii="Arial" w:hAnsi="Arial" w:cs="Arial"/>
          <w:i/>
          <w:szCs w:val="24"/>
          <w:lang w:val="en-GB"/>
        </w:rPr>
      </w:pPr>
    </w:p>
    <w:p w:rsidR="00E773F6" w:rsidRPr="0028108F" w:rsidRDefault="00E773F6" w:rsidP="00961014">
      <w:pPr>
        <w:snapToGrid w:val="0"/>
        <w:ind w:leftChars="354" w:left="851" w:rightChars="212" w:right="509" w:hanging="1"/>
        <w:jc w:val="both"/>
        <w:rPr>
          <w:rFonts w:ascii="Arial" w:hAnsi="Arial" w:cs="Arial"/>
          <w:szCs w:val="24"/>
          <w:lang w:val="en-GB"/>
        </w:rPr>
      </w:pPr>
      <w:r w:rsidRPr="00E93191">
        <w:rPr>
          <w:rFonts w:ascii="Arial" w:hAnsi="Arial" w:cs="Arial"/>
          <w:i/>
          <w:szCs w:val="24"/>
          <w:lang w:val="en-GB"/>
        </w:rPr>
        <w:t>It appears, therefore, that, by retaining the Di</w:t>
      </w:r>
      <w:r w:rsidRPr="0028108F">
        <w:rPr>
          <w:rFonts w:ascii="Arial" w:hAnsi="Arial" w:cs="Arial"/>
          <w:i/>
          <w:szCs w:val="24"/>
          <w:lang w:val="en-GB"/>
        </w:rPr>
        <w:t xml:space="preserve">vorce Requirement since 2005, the UK has not violated any established obligation under international human rights law.  Without doubt, there are compelling policy reasons why Parliament should never have adopted the requirement, not least the hardship which an inability to access gender recognition has created for married transgender persons.  In addition, </w:t>
      </w:r>
      <w:r w:rsidR="002739B5" w:rsidRPr="00181CF2">
        <w:rPr>
          <w:rFonts w:ascii="Arial" w:hAnsi="Arial" w:cs="Arial"/>
          <w:i/>
          <w:szCs w:val="24"/>
          <w:lang w:val="en-GB"/>
        </w:rPr>
        <w:t>…</w:t>
      </w:r>
      <w:r w:rsidRPr="00C57CE1">
        <w:rPr>
          <w:rFonts w:ascii="Arial" w:hAnsi="Arial" w:cs="Arial"/>
          <w:i/>
          <w:szCs w:val="24"/>
          <w:lang w:val="en-GB"/>
        </w:rPr>
        <w:t xml:space="preserve"> the status and validity of a marriage under English common law is usually assessed at the point of entry s</w:t>
      </w:r>
      <w:r w:rsidRPr="0028108F">
        <w:rPr>
          <w:rFonts w:ascii="Arial" w:hAnsi="Arial" w:cs="Arial"/>
          <w:i/>
          <w:szCs w:val="24"/>
          <w:lang w:val="en-GB"/>
        </w:rPr>
        <w:t>o that it is questionable whether, as a matter of law, one spouse’s transition could have converted a validly contracted heterosexual marriage into a same gender union.  However, by requiring divorce as a pre-condition for gender recognition, the UK has, at worst, chosen a course which other European jurisdictions have not followed and, at best, aligned its national laws with the prevailing European consensus.</w:t>
      </w:r>
      <w:r w:rsidRPr="0028108F">
        <w:rPr>
          <w:rFonts w:ascii="Arial" w:hAnsi="Arial" w:cs="Arial"/>
          <w:szCs w:val="24"/>
          <w:lang w:val="en-GB"/>
        </w:rPr>
        <w:t>”</w:t>
      </w:r>
    </w:p>
    <w:p w:rsidR="00E773F6" w:rsidRPr="0028108F" w:rsidRDefault="00E773F6" w:rsidP="00961014">
      <w:pPr>
        <w:tabs>
          <w:tab w:val="left" w:pos="851"/>
        </w:tabs>
        <w:adjustRightInd w:val="0"/>
        <w:snapToGrid w:val="0"/>
        <w:ind w:left="84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Although there </w:t>
      </w:r>
      <w:r w:rsidR="005001F8" w:rsidRPr="0028108F">
        <w:rPr>
          <w:rFonts w:ascii="Arial" w:hAnsi="Arial" w:cs="Arial"/>
          <w:szCs w:val="24"/>
          <w:lang w:val="en-GB"/>
        </w:rPr>
        <w:t xml:space="preserve">have been </w:t>
      </w:r>
      <w:r w:rsidRPr="0028108F">
        <w:rPr>
          <w:rFonts w:ascii="Arial" w:hAnsi="Arial" w:cs="Arial"/>
          <w:szCs w:val="24"/>
          <w:lang w:val="en-GB"/>
        </w:rPr>
        <w:t xml:space="preserve">movements away from the </w:t>
      </w:r>
      <w:r w:rsidR="005001F8" w:rsidRPr="0028108F">
        <w:rPr>
          <w:rFonts w:ascii="Arial" w:hAnsi="Arial" w:cs="Arial"/>
          <w:szCs w:val="24"/>
          <w:lang w:val="en-GB"/>
        </w:rPr>
        <w:t>“</w:t>
      </w:r>
      <w:r w:rsidRPr="0028108F">
        <w:rPr>
          <w:rFonts w:ascii="Arial" w:hAnsi="Arial" w:cs="Arial"/>
          <w:szCs w:val="24"/>
          <w:lang w:val="en-GB"/>
        </w:rPr>
        <w:t>forced divorce</w:t>
      </w:r>
      <w:r w:rsidR="005001F8" w:rsidRPr="0028108F">
        <w:rPr>
          <w:rFonts w:ascii="Arial" w:hAnsi="Arial" w:cs="Arial"/>
          <w:szCs w:val="24"/>
          <w:lang w:val="en-GB"/>
        </w:rPr>
        <w:t>”</w:t>
      </w:r>
      <w:r w:rsidRPr="0028108F">
        <w:rPr>
          <w:rFonts w:ascii="Arial" w:hAnsi="Arial" w:cs="Arial"/>
          <w:szCs w:val="24"/>
          <w:lang w:val="en-GB"/>
        </w:rPr>
        <w:t xml:space="preserve"> requirement for gender recognition, particularly in Europe (as can be noted from the overview of overseas gender recognition schemes in </w:t>
      </w:r>
      <w:r w:rsidRPr="008813DE">
        <w:rPr>
          <w:rFonts w:ascii="Arial" w:hAnsi="Arial" w:cs="Arial"/>
          <w:szCs w:val="24"/>
          <w:lang w:val="en-GB"/>
        </w:rPr>
        <w:t>Chapter 4 and Annex</w:t>
      </w:r>
      <w:r w:rsidR="006F76B8">
        <w:rPr>
          <w:rFonts w:ascii="Arial" w:hAnsi="Arial" w:cs="Arial"/>
          <w:szCs w:val="24"/>
          <w:lang w:val="en-GB"/>
        </w:rPr>
        <w:t xml:space="preserve"> B</w:t>
      </w:r>
      <w:r w:rsidRPr="0028108F">
        <w:rPr>
          <w:rFonts w:ascii="Arial" w:hAnsi="Arial" w:cs="Arial"/>
          <w:szCs w:val="24"/>
          <w:lang w:val="en-GB"/>
        </w:rPr>
        <w:t xml:space="preserve"> of this Consultation Paper), this trend was somewhat </w:t>
      </w:r>
      <w:r w:rsidR="00C30F33" w:rsidRPr="0028108F">
        <w:rPr>
          <w:rFonts w:ascii="Arial" w:hAnsi="Arial" w:cs="Arial"/>
          <w:szCs w:val="24"/>
          <w:lang w:val="en-GB"/>
        </w:rPr>
        <w:t>halted</w:t>
      </w:r>
      <w:r w:rsidRPr="0028108F">
        <w:rPr>
          <w:rFonts w:ascii="Arial" w:hAnsi="Arial" w:cs="Arial"/>
          <w:szCs w:val="24"/>
          <w:lang w:val="en-GB"/>
        </w:rPr>
        <w:t xml:space="preserve"> by the recent judgment of the ECtHR in </w:t>
      </w:r>
      <w:r w:rsidRPr="0028108F">
        <w:rPr>
          <w:rFonts w:ascii="Arial" w:hAnsi="Arial" w:cs="Arial"/>
          <w:bCs/>
          <w:i/>
          <w:szCs w:val="24"/>
          <w:lang w:val="en-GB"/>
        </w:rPr>
        <w:t>Hämäläinen v Finland</w:t>
      </w:r>
      <w:r w:rsidRPr="0028108F">
        <w:rPr>
          <w:rFonts w:ascii="Arial" w:hAnsi="Arial" w:cs="Arial"/>
          <w:bCs/>
          <w:szCs w:val="24"/>
          <w:lang w:val="en-GB"/>
        </w:rPr>
        <w:t xml:space="preserve"> (2014),</w:t>
      </w:r>
      <w:r w:rsidRPr="0028108F">
        <w:rPr>
          <w:rFonts w:ascii="Arial" w:hAnsi="Arial" w:cs="Arial"/>
          <w:bCs/>
          <w:vertAlign w:val="superscript"/>
          <w:lang w:val="en-GB"/>
        </w:rPr>
        <w:footnoteReference w:id="754"/>
      </w:r>
      <w:r w:rsidRPr="0028108F">
        <w:rPr>
          <w:rFonts w:ascii="Arial" w:hAnsi="Arial" w:cs="Arial"/>
          <w:bCs/>
          <w:szCs w:val="24"/>
          <w:lang w:val="en-GB"/>
        </w:rPr>
        <w:t xml:space="preserve"> which </w:t>
      </w:r>
      <w:r w:rsidRPr="0028108F">
        <w:rPr>
          <w:rFonts w:ascii="Arial" w:hAnsi="Arial" w:cs="Arial"/>
          <w:szCs w:val="24"/>
          <w:lang w:val="en-GB"/>
        </w:rPr>
        <w:t>concerned a complaint made by a post-operative male-to-female transsexual about the requirement that she had to transform her marriage to her female spouse into a civil partnership in order to gain full legal gender recognition in Finland</w:t>
      </w:r>
      <w:r w:rsidR="00C30F33" w:rsidRPr="0028108F">
        <w:rPr>
          <w:rFonts w:ascii="Arial" w:hAnsi="Arial" w:cs="Arial"/>
          <w:szCs w:val="24"/>
          <w:lang w:val="en-GB"/>
        </w:rPr>
        <w:t>.</w:t>
      </w:r>
      <w:r w:rsidRPr="0028108F">
        <w:rPr>
          <w:rStyle w:val="FootnoteReference"/>
          <w:rFonts w:ascii="Arial" w:hAnsi="Arial" w:cs="Arial"/>
          <w:lang w:val="en-GB"/>
        </w:rPr>
        <w:footnoteReference w:id="755"/>
      </w:r>
      <w:r w:rsidRPr="0028108F">
        <w:rPr>
          <w:rFonts w:ascii="Arial" w:hAnsi="Arial" w:cs="Arial"/>
          <w:szCs w:val="24"/>
          <w:lang w:val="en-GB"/>
        </w:rPr>
        <w:t xml:space="preserve">  The ECtHR held that Contracting States might require the dissolution of an existing marriage before extending the right to legal gender recognition.  It stressed that the ECHR </w:t>
      </w:r>
      <w:r w:rsidR="00BC323C" w:rsidRPr="0028108F">
        <w:rPr>
          <w:rFonts w:ascii="Arial" w:hAnsi="Arial" w:cs="Arial"/>
          <w:szCs w:val="24"/>
          <w:lang w:val="en-GB"/>
        </w:rPr>
        <w:t xml:space="preserve">does </w:t>
      </w:r>
      <w:r w:rsidRPr="0028108F">
        <w:rPr>
          <w:rFonts w:ascii="Arial" w:hAnsi="Arial" w:cs="Arial"/>
          <w:szCs w:val="24"/>
          <w:lang w:val="en-GB"/>
        </w:rPr>
        <w:t>not impose an obligation on the Contracting States to allow same-sex marriage.  The regulation of the effects of a change of gender in the context of marriage fell to a large extent, though not entirely, within the margin of appreciation of the Contracting States.  The ECtHR therefore found that there was no disproportionate interference with the applicant’s Convention rights</w:t>
      </w:r>
      <w:r w:rsidR="00C30F33" w:rsidRPr="0028108F">
        <w:rPr>
          <w:rFonts w:ascii="Arial" w:hAnsi="Arial" w:cs="Arial"/>
          <w:szCs w:val="24"/>
          <w:lang w:val="en-GB"/>
        </w:rPr>
        <w:t>,</w:t>
      </w:r>
      <w:r w:rsidRPr="0028108F">
        <w:rPr>
          <w:rFonts w:ascii="Arial" w:hAnsi="Arial" w:cs="Arial"/>
          <w:szCs w:val="24"/>
          <w:lang w:val="en-GB"/>
        </w:rPr>
        <w:t xml:space="preserve"> as the vast majority of rights enjoyed by married couples were also afforded to registered partners in Finland.</w:t>
      </w:r>
    </w:p>
    <w:p w:rsidR="00E773F6" w:rsidRPr="0028108F" w:rsidRDefault="00E773F6" w:rsidP="00E773F6">
      <w:pPr>
        <w:pStyle w:val="ListParagraph"/>
        <w:tabs>
          <w:tab w:val="left" w:pos="851"/>
        </w:tabs>
        <w:adjustRightInd w:val="0"/>
        <w:snapToGrid w:val="0"/>
        <w:ind w:leftChars="0" w:left="1985"/>
        <w:jc w:val="both"/>
        <w:rPr>
          <w:rFonts w:ascii="Arial" w:hAnsi="Arial" w:cs="Arial"/>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color w:val="000000" w:themeColor="text1"/>
          <w:szCs w:val="24"/>
          <w:lang w:val="en-GB"/>
        </w:rPr>
        <w:t xml:space="preserve">Arguments against </w:t>
      </w:r>
      <w:r w:rsidR="00E773F6" w:rsidRPr="00C57CE1">
        <w:rPr>
          <w:rFonts w:ascii="Arial" w:hAnsi="Arial" w:cs="Arial"/>
          <w:b/>
          <w:i/>
          <w:color w:val="000000" w:themeColor="text1"/>
          <w:szCs w:val="24"/>
          <w:lang w:val="en-GB"/>
        </w:rPr>
        <w:t xml:space="preserve">having </w:t>
      </w:r>
      <w:r w:rsidR="00C30F33" w:rsidRPr="0028108F">
        <w:rPr>
          <w:rFonts w:ascii="Arial" w:hAnsi="Arial" w:cs="Arial"/>
          <w:b/>
          <w:i/>
          <w:color w:val="000000" w:themeColor="text1"/>
          <w:szCs w:val="24"/>
          <w:lang w:val="en-GB"/>
        </w:rPr>
        <w:t xml:space="preserve">a </w:t>
      </w:r>
      <w:r w:rsidR="00E773F6" w:rsidRPr="0028108F">
        <w:rPr>
          <w:rFonts w:ascii="Arial" w:hAnsi="Arial" w:cs="Arial"/>
          <w:b/>
          <w:i/>
          <w:color w:val="000000" w:themeColor="text1"/>
          <w:szCs w:val="24"/>
          <w:lang w:val="en-GB"/>
        </w:rPr>
        <w:t>requirement that an applicant should be unmarried or divorced</w:t>
      </w:r>
    </w:p>
    <w:p w:rsidR="00E773F6" w:rsidRPr="0028108F" w:rsidRDefault="00E773F6" w:rsidP="00E773F6">
      <w:pPr>
        <w:tabs>
          <w:tab w:val="left" w:pos="851"/>
        </w:tabs>
        <w:adjustRightInd w:val="0"/>
        <w:snapToGrid w:val="0"/>
        <w:jc w:val="both"/>
        <w:rPr>
          <w:rFonts w:ascii="Arial" w:hAnsi="Arial" w:cs="Arial"/>
          <w:color w:val="0000FF"/>
          <w:szCs w:val="24"/>
          <w:lang w:val="en-GB"/>
        </w:rPr>
      </w:pP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Argument (1): SRS is now available to married persons in Hong Kong</w:t>
      </w:r>
    </w:p>
    <w:p w:rsidR="00E773F6" w:rsidRPr="0028108F" w:rsidRDefault="00E773F6" w:rsidP="00E773F6">
      <w:pPr>
        <w:tabs>
          <w:tab w:val="left" w:pos="851"/>
        </w:tabs>
        <w:adjustRightInd w:val="0"/>
        <w:snapToGrid w:val="0"/>
        <w:jc w:val="both"/>
        <w:rPr>
          <w:rFonts w:ascii="Arial" w:hAnsi="Arial" w:cs="Arial"/>
          <w:color w:val="0000FF"/>
          <w:szCs w:val="24"/>
          <w:lang w:val="en-GB"/>
        </w:rPr>
      </w:pPr>
    </w:p>
    <w:p w:rsidR="00E773F6" w:rsidRPr="0028108F" w:rsidRDefault="00C30F33"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Formerly i</w:t>
      </w:r>
      <w:r w:rsidR="00E773F6" w:rsidRPr="0028108F">
        <w:rPr>
          <w:rFonts w:ascii="Arial" w:hAnsi="Arial" w:cs="Arial"/>
          <w:color w:val="000000" w:themeColor="text1"/>
          <w:szCs w:val="24"/>
          <w:lang w:val="en-GB"/>
        </w:rPr>
        <w:t xml:space="preserve">n Hong Kong, SRS was not available to </w:t>
      </w:r>
      <w:r w:rsidR="00B710CD" w:rsidRPr="0028108F">
        <w:rPr>
          <w:rFonts w:ascii="Arial" w:hAnsi="Arial" w:cs="Arial"/>
          <w:color w:val="000000" w:themeColor="text1"/>
          <w:szCs w:val="24"/>
          <w:lang w:val="en-GB"/>
        </w:rPr>
        <w:t xml:space="preserve">married </w:t>
      </w:r>
      <w:r w:rsidR="00E773F6" w:rsidRPr="0028108F">
        <w:rPr>
          <w:rFonts w:ascii="Arial" w:hAnsi="Arial" w:cs="Arial"/>
          <w:color w:val="000000" w:themeColor="text1"/>
          <w:szCs w:val="24"/>
          <w:lang w:val="en-GB"/>
        </w:rPr>
        <w:t>person</w:t>
      </w:r>
      <w:r w:rsidR="00B710CD" w:rsidRPr="0028108F">
        <w:rPr>
          <w:rFonts w:ascii="Arial" w:hAnsi="Arial" w:cs="Arial"/>
          <w:color w:val="000000" w:themeColor="text1"/>
          <w:szCs w:val="24"/>
          <w:lang w:val="en-GB"/>
        </w:rPr>
        <w:t>s</w:t>
      </w:r>
      <w:r w:rsidR="00E773F6" w:rsidRPr="0028108F">
        <w:rPr>
          <w:rFonts w:ascii="Arial" w:hAnsi="Arial" w:cs="Arial"/>
          <w:color w:val="000000" w:themeColor="text1"/>
          <w:szCs w:val="24"/>
          <w:lang w:val="en-GB"/>
        </w:rPr>
        <w:t xml:space="preserve"> owing to legal complications which could ensue, but this is no longer the case since late 1990s.</w:t>
      </w:r>
      <w:r w:rsidR="00E773F6" w:rsidRPr="0028108F">
        <w:rPr>
          <w:rStyle w:val="FootnoteReference"/>
          <w:rFonts w:ascii="Arial" w:hAnsi="Arial" w:cs="Arial"/>
          <w:color w:val="000000" w:themeColor="text1"/>
          <w:szCs w:val="24"/>
          <w:lang w:val="en-GB"/>
        </w:rPr>
        <w:footnoteReference w:id="756"/>
      </w:r>
      <w:r w:rsidR="00E773F6"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Therefore</w:t>
      </w:r>
      <w:r w:rsidR="00E773F6" w:rsidRPr="0028108F">
        <w:rPr>
          <w:rFonts w:ascii="Arial" w:hAnsi="Arial" w:cs="Arial"/>
          <w:color w:val="000000" w:themeColor="text1"/>
          <w:szCs w:val="24"/>
          <w:lang w:val="en-GB"/>
        </w:rPr>
        <w:t>, some may argue that it would be illogical that</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on </w:t>
      </w:r>
      <w:r w:rsidRPr="0028108F">
        <w:rPr>
          <w:rFonts w:ascii="Arial" w:hAnsi="Arial" w:cs="Arial"/>
          <w:color w:val="000000" w:themeColor="text1"/>
          <w:szCs w:val="24"/>
          <w:lang w:val="en-GB"/>
        </w:rPr>
        <w:t xml:space="preserve">the </w:t>
      </w:r>
      <w:r w:rsidR="00E773F6" w:rsidRPr="0028108F">
        <w:rPr>
          <w:rFonts w:ascii="Arial" w:hAnsi="Arial" w:cs="Arial"/>
          <w:color w:val="000000" w:themeColor="text1"/>
          <w:szCs w:val="24"/>
          <w:lang w:val="en-GB"/>
        </w:rPr>
        <w:t>one hand, married persons can undergo SRS whilst they are still married, but on the other hand, they have to divorce in order to obtain legal recognition.</w:t>
      </w:r>
    </w:p>
    <w:p w:rsidR="00E773F6" w:rsidRPr="0028108F" w:rsidRDefault="00E773F6" w:rsidP="00E773F6">
      <w:pPr>
        <w:tabs>
          <w:tab w:val="left" w:pos="851"/>
        </w:tabs>
        <w:adjustRightInd w:val="0"/>
        <w:snapToGrid w:val="0"/>
        <w:jc w:val="both"/>
        <w:rPr>
          <w:rFonts w:ascii="Arial" w:hAnsi="Arial" w:cs="Arial"/>
          <w:color w:val="0000FF"/>
          <w:szCs w:val="24"/>
          <w:lang w:val="en-GB"/>
        </w:rPr>
      </w:pPr>
    </w:p>
    <w:p w:rsidR="00E773F6" w:rsidRPr="0028108F" w:rsidRDefault="00E773F6" w:rsidP="00E773F6">
      <w:pPr>
        <w:tabs>
          <w:tab w:val="left" w:pos="851"/>
        </w:tabs>
        <w:adjustRightInd w:val="0"/>
        <w:snapToGrid w:val="0"/>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Argument (2): Marital status requirement might constitute an infringement of </w:t>
      </w:r>
      <w:r w:rsidR="00B710CD" w:rsidRPr="0028108F">
        <w:rPr>
          <w:rFonts w:ascii="Arial" w:hAnsi="Arial" w:cs="Arial"/>
          <w:i/>
          <w:color w:val="000000" w:themeColor="text1"/>
          <w:szCs w:val="24"/>
          <w:lang w:val="en-GB"/>
        </w:rPr>
        <w:t xml:space="preserve">an </w:t>
      </w:r>
      <w:r w:rsidRPr="0028108F">
        <w:rPr>
          <w:rFonts w:ascii="Arial" w:hAnsi="Arial" w:cs="Arial"/>
          <w:i/>
          <w:color w:val="000000" w:themeColor="text1"/>
          <w:szCs w:val="24"/>
          <w:lang w:val="en-GB"/>
        </w:rPr>
        <w:t>applicant’s right to marry</w:t>
      </w:r>
    </w:p>
    <w:p w:rsidR="00E773F6" w:rsidRPr="0028108F" w:rsidRDefault="00E773F6" w:rsidP="00E773F6">
      <w:pPr>
        <w:tabs>
          <w:tab w:val="left" w:pos="851"/>
        </w:tabs>
        <w:adjustRightInd w:val="0"/>
        <w:snapToGrid w:val="0"/>
        <w:jc w:val="both"/>
        <w:rPr>
          <w:rFonts w:ascii="Arial" w:hAnsi="Arial" w:cs="Arial"/>
          <w:color w:val="000000" w:themeColor="text1"/>
          <w:szCs w:val="24"/>
          <w:u w:val="single"/>
          <w:lang w:val="en-GB"/>
        </w:rPr>
      </w:pPr>
    </w:p>
    <w:p w:rsidR="00E773F6" w:rsidRPr="0028108F" w:rsidRDefault="00B73144"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color w:val="000000" w:themeColor="text1"/>
          <w:szCs w:val="24"/>
          <w:lang w:val="en-GB"/>
        </w:rPr>
        <w:t>Dr</w:t>
      </w:r>
      <w:r w:rsidR="000C2B10" w:rsidRPr="0028108F">
        <w:rPr>
          <w:rFonts w:ascii="Arial" w:hAnsi="Arial" w:cs="Arial"/>
          <w:color w:val="000000" w:themeColor="text1"/>
          <w:szCs w:val="24"/>
          <w:lang w:val="en-GB"/>
        </w:rPr>
        <w:t xml:space="preserve"> </w:t>
      </w:r>
      <w:r w:rsidR="00E773F6" w:rsidRPr="0028108F">
        <w:rPr>
          <w:rFonts w:ascii="Arial" w:hAnsi="Arial" w:cs="Arial"/>
          <w:color w:val="000000" w:themeColor="text1"/>
          <w:szCs w:val="24"/>
          <w:lang w:val="en-GB"/>
        </w:rPr>
        <w:t>Sam Winter noted in his article regarding Asian transgender experiences that</w:t>
      </w:r>
      <w:r w:rsidR="00B31EFB" w:rsidRPr="0028108F">
        <w:rPr>
          <w:rFonts w:ascii="Arial" w:hAnsi="Arial" w:cs="Arial"/>
          <w:color w:val="000000" w:themeColor="text1"/>
          <w:szCs w:val="24"/>
          <w:lang w:val="en-GB"/>
        </w:rPr>
        <w:t xml:space="preserve"> transgender persons’ right to marry is crucial for their daily lives.  He said</w:t>
      </w:r>
      <w:r w:rsidR="00E773F6" w:rsidRPr="0028108F">
        <w:rPr>
          <w:rFonts w:ascii="Arial" w:hAnsi="Arial" w:cs="Arial"/>
          <w:color w:val="000000" w:themeColor="text1"/>
          <w:szCs w:val="24"/>
          <w:lang w:val="en-GB"/>
        </w:rPr>
        <w:t xml:space="preserve">: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szCs w:val="24"/>
          <w:lang w:val="en-GB"/>
        </w:rPr>
      </w:pPr>
      <w:r w:rsidRPr="0028108F">
        <w:rPr>
          <w:rFonts w:ascii="Arial" w:hAnsi="Arial" w:cs="Arial"/>
          <w:i/>
          <w:szCs w:val="24"/>
          <w:lang w:val="en-GB"/>
        </w:rPr>
        <w:t>“[A] common condition, in the absence of provisions allowing for same-sex marriage, is that the person concerned should not already be married.  Notwithstanding the conditions imposed, the impact of the opportunity to change legal status can be substantial for individual transpeople: it means that they will be able to enter mixed-gender marriages (i.e., heterosexually; a transwoman to a man, and a transman to a woman).  The numbers of transpeople potentially affected are substantial.  Research across the region confirms that most transpeople are heterosexual.  Legal status as spouse, inter alia, enables mutual inheritance and insurance rights and, where one partner is hospitalised and unable to consent to medical procedures, the right to do so on his or her behalf.  Where agencies regulating child adoption require the adopting couple to fit the hetero-normative mould, marriage makes it possible for a gender identity variant partner to be an adopting parent (and legally recognised as such).</w:t>
      </w:r>
      <w:r w:rsidRPr="0028108F">
        <w:rPr>
          <w:rFonts w:ascii="Arial" w:hAnsi="Arial" w:cs="Arial"/>
          <w:szCs w:val="24"/>
          <w:lang w:val="en-GB"/>
        </w:rPr>
        <w:t>”</w:t>
      </w:r>
      <w:r w:rsidRPr="0028108F">
        <w:rPr>
          <w:rStyle w:val="FootnoteReference"/>
          <w:rFonts w:ascii="Arial" w:hAnsi="Arial" w:cs="Arial"/>
          <w:color w:val="000000" w:themeColor="text1"/>
          <w:szCs w:val="24"/>
          <w:lang w:val="en-GB"/>
        </w:rPr>
        <w:footnoteReference w:id="757"/>
      </w:r>
    </w:p>
    <w:p w:rsidR="00E773F6" w:rsidRPr="0028108F" w:rsidRDefault="00E773F6" w:rsidP="00E773F6">
      <w:pPr>
        <w:pStyle w:val="ListParagraph"/>
        <w:tabs>
          <w:tab w:val="left" w:pos="851"/>
        </w:tabs>
        <w:adjustRightInd w:val="0"/>
        <w:snapToGrid w:val="0"/>
        <w:ind w:leftChars="0" w:left="1985"/>
        <w:jc w:val="both"/>
        <w:rPr>
          <w:rFonts w:ascii="Arial" w:hAnsi="Arial" w:cs="Arial"/>
          <w:szCs w:val="24"/>
          <w:lang w:val="en-GB"/>
        </w:rPr>
      </w:pPr>
    </w:p>
    <w:p w:rsidR="00B31EFB" w:rsidRPr="0028108F" w:rsidRDefault="00B31EFB" w:rsidP="00B31EFB">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It is then argued that the requirement on marital status for gender recognition would discriminate against transgender persons who are married and wish to remain so, as such a requirement would force them to choose between their rights to marry and to found a family </w:t>
      </w:r>
      <w:r w:rsidR="00C30F33" w:rsidRPr="0028108F">
        <w:rPr>
          <w:rFonts w:ascii="Arial" w:hAnsi="Arial" w:cs="Arial"/>
          <w:szCs w:val="24"/>
          <w:lang w:val="en-GB"/>
        </w:rPr>
        <w:t xml:space="preserve">as well as to </w:t>
      </w:r>
      <w:r w:rsidRPr="0028108F">
        <w:rPr>
          <w:rFonts w:ascii="Arial" w:hAnsi="Arial" w:cs="Arial"/>
          <w:szCs w:val="24"/>
          <w:lang w:val="en-GB"/>
        </w:rPr>
        <w:t>respect for private and family life, and their right to recognition before the law.</w:t>
      </w:r>
      <w:r w:rsidRPr="0028108F">
        <w:rPr>
          <w:rFonts w:ascii="Arial" w:hAnsi="Arial" w:cs="Arial"/>
          <w:vertAlign w:val="superscript"/>
          <w:lang w:val="en-GB"/>
        </w:rPr>
        <w:footnoteReference w:id="758"/>
      </w:r>
    </w:p>
    <w:p w:rsidR="00B31EFB" w:rsidRPr="0028108F" w:rsidRDefault="00B31EFB"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181CF2">
        <w:rPr>
          <w:rFonts w:ascii="Arial" w:hAnsi="Arial" w:cs="Arial"/>
          <w:color w:val="000000" w:themeColor="text1"/>
          <w:szCs w:val="24"/>
          <w:lang w:val="en-GB"/>
        </w:rPr>
        <w:t xml:space="preserve">Further, </w:t>
      </w:r>
      <w:r w:rsidR="00E73C00" w:rsidRPr="0028108F">
        <w:rPr>
          <w:rFonts w:ascii="Arial" w:hAnsi="Arial" w:cs="Arial"/>
          <w:color w:val="000000" w:themeColor="text1"/>
          <w:szCs w:val="24"/>
          <w:lang w:val="en-GB"/>
        </w:rPr>
        <w:t xml:space="preserve">Dr </w:t>
      </w:r>
      <w:r w:rsidRPr="0028108F">
        <w:rPr>
          <w:rFonts w:ascii="Arial" w:hAnsi="Arial" w:cs="Arial"/>
          <w:color w:val="000000" w:themeColor="text1"/>
          <w:szCs w:val="24"/>
          <w:lang w:val="en-GB"/>
        </w:rPr>
        <w:t>Scherpe noted that:</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kern w:val="0"/>
          <w:szCs w:val="24"/>
          <w:lang w:val="en-GB"/>
        </w:rPr>
      </w:pPr>
      <w:r w:rsidRPr="0028108F">
        <w:rPr>
          <w:rFonts w:ascii="Arial" w:hAnsi="Arial" w:cs="Arial"/>
          <w:i/>
          <w:color w:val="000000"/>
          <w:kern w:val="0"/>
          <w:szCs w:val="24"/>
          <w:lang w:val="en-GB"/>
        </w:rPr>
        <w:t>“</w:t>
      </w:r>
      <w:r w:rsidRPr="0028108F">
        <w:rPr>
          <w:rFonts w:ascii="Arial" w:hAnsi="Arial" w:cs="Arial"/>
          <w:i/>
          <w:szCs w:val="24"/>
          <w:lang w:val="en-GB"/>
        </w:rPr>
        <w:t xml:space="preserve">In jurisdictions where [civil partnership or civil union] is not possible because there are no </w:t>
      </w:r>
      <w:r w:rsidRPr="0028108F">
        <w:rPr>
          <w:rFonts w:ascii="Arial" w:hAnsi="Arial" w:cs="Arial"/>
          <w:i/>
          <w:color w:val="000000" w:themeColor="text1"/>
          <w:szCs w:val="24"/>
          <w:lang w:val="en-GB"/>
        </w:rPr>
        <w:t>equivalent</w:t>
      </w:r>
      <w:r w:rsidRPr="0028108F">
        <w:rPr>
          <w:rFonts w:ascii="Arial" w:hAnsi="Arial" w:cs="Arial"/>
          <w:i/>
          <w:szCs w:val="24"/>
          <w:lang w:val="en-GB"/>
        </w:rPr>
        <w:t xml:space="preserve"> legal regimes available (such as in Hong Kong) the requirement of dissolution appears to be the inevitable consequence.  However, a decision by the German Constitutional Court was particularly instructive.  In Germany, where marriage is restricted to two persons of the opposite sex/gender, the institution of marriage is protected under the German Basic Law.  So is the right to being recognised in one’s gender identity.  The German Constitutional Court held that a requirement to dissolve a valid, constitutionally protected marriage in order to be allowed to change one’s legal sex/gender – also a constitutionally guaranteed right – amounted to a violation of the German Basic Law.</w:t>
      </w:r>
      <w:r w:rsidRPr="0028108F">
        <w:rPr>
          <w:rStyle w:val="FootnoteReference"/>
          <w:rFonts w:ascii="Arial" w:hAnsi="Arial" w:cs="Arial"/>
          <w:szCs w:val="24"/>
          <w:lang w:val="en-GB"/>
        </w:rPr>
        <w:footnoteReference w:id="759"/>
      </w:r>
      <w:r w:rsidRPr="0028108F">
        <w:rPr>
          <w:rFonts w:ascii="Arial" w:hAnsi="Arial" w:cs="Arial"/>
          <w:i/>
          <w:szCs w:val="24"/>
          <w:lang w:val="en-GB"/>
        </w:rPr>
        <w:t xml:space="preserve">  Such a requirement would force the applicant to give up one constitutionally protected right for another for which there was no justification.”</w:t>
      </w:r>
      <w:r w:rsidRPr="0028108F">
        <w:rPr>
          <w:rStyle w:val="FootnoteReference"/>
          <w:rFonts w:ascii="Arial" w:hAnsi="Arial" w:cs="Arial"/>
          <w:color w:val="000000" w:themeColor="text1"/>
          <w:szCs w:val="24"/>
          <w:lang w:val="en-GB"/>
        </w:rPr>
        <w:footnoteReference w:id="760"/>
      </w:r>
    </w:p>
    <w:p w:rsidR="00E773F6" w:rsidRPr="0028108F" w:rsidRDefault="00E773F6" w:rsidP="00E773F6">
      <w:pPr>
        <w:tabs>
          <w:tab w:val="left" w:pos="851"/>
        </w:tabs>
        <w:adjustRightInd w:val="0"/>
        <w:snapToGrid w:val="0"/>
        <w:ind w:left="1335"/>
        <w:jc w:val="both"/>
        <w:rPr>
          <w:rFonts w:ascii="Arial" w:hAnsi="Arial" w:cs="Arial"/>
          <w:color w:val="0000FF"/>
          <w:szCs w:val="24"/>
          <w:lang w:val="en-GB"/>
        </w:rPr>
      </w:pPr>
    </w:p>
    <w:p w:rsidR="00E773F6" w:rsidRPr="00181CF2"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Style w:val="HeaderChar"/>
          <w:rFonts w:ascii="Arial" w:hAnsi="Arial" w:cs="Arial"/>
          <w:szCs w:val="24"/>
          <w:lang w:val="en-GB"/>
        </w:rPr>
      </w:pPr>
      <w:r w:rsidRPr="0028108F">
        <w:rPr>
          <w:rFonts w:ascii="Arial" w:hAnsi="Arial" w:cs="Arial"/>
          <w:color w:val="000000" w:themeColor="text1"/>
          <w:szCs w:val="24"/>
          <w:lang w:val="en-GB"/>
        </w:rPr>
        <w:t xml:space="preserve">In Japan, </w:t>
      </w:r>
      <w:r w:rsidR="00511472" w:rsidRPr="0028108F">
        <w:rPr>
          <w:rFonts w:ascii="Arial" w:hAnsi="Arial" w:cs="Arial"/>
          <w:color w:val="000000" w:themeColor="text1"/>
          <w:szCs w:val="24"/>
          <w:lang w:val="en-GB"/>
        </w:rPr>
        <w:t xml:space="preserve">as noted earlier, </w:t>
      </w:r>
      <w:r w:rsidRPr="0028108F">
        <w:rPr>
          <w:rFonts w:ascii="Arial" w:hAnsi="Arial" w:cs="Arial"/>
          <w:color w:val="000000" w:themeColor="text1"/>
          <w:szCs w:val="24"/>
          <w:lang w:val="en-GB"/>
        </w:rPr>
        <w:t xml:space="preserve">the gender recognition law requires an applicant to be unmarried (see the discussion in Chapter </w:t>
      </w:r>
      <w:r w:rsidRPr="008813DE">
        <w:rPr>
          <w:rFonts w:ascii="Arial" w:hAnsi="Arial" w:cs="Arial"/>
          <w:color w:val="000000" w:themeColor="text1"/>
          <w:szCs w:val="24"/>
          <w:lang w:val="en-GB"/>
        </w:rPr>
        <w:t>4</w:t>
      </w:r>
      <w:r w:rsidRPr="0028108F">
        <w:rPr>
          <w:rFonts w:ascii="Arial" w:hAnsi="Arial" w:cs="Arial"/>
          <w:color w:val="000000" w:themeColor="text1"/>
          <w:szCs w:val="24"/>
          <w:lang w:val="en-GB"/>
        </w:rPr>
        <w:t xml:space="preserve"> at paragraph </w:t>
      </w:r>
      <w:r w:rsidR="006F76B8">
        <w:rPr>
          <w:rFonts w:ascii="Arial" w:hAnsi="Arial" w:cs="Arial"/>
          <w:color w:val="000000" w:themeColor="text1"/>
          <w:szCs w:val="24"/>
          <w:lang w:val="en-GB"/>
        </w:rPr>
        <w:t>4.23</w:t>
      </w:r>
      <w:r w:rsidRPr="0028108F">
        <w:rPr>
          <w:rFonts w:ascii="Arial" w:hAnsi="Arial" w:cs="Arial"/>
          <w:color w:val="000000" w:themeColor="text1"/>
          <w:szCs w:val="24"/>
          <w:lang w:val="en-GB"/>
        </w:rPr>
        <w:t>).  This criterion for gender recognition has been critici</w:t>
      </w:r>
      <w:r w:rsidR="00B710CD"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ed by some </w:t>
      </w:r>
      <w:r w:rsidR="00B710CD" w:rsidRPr="0028108F">
        <w:rPr>
          <w:rFonts w:ascii="Arial" w:hAnsi="Arial" w:cs="Arial"/>
          <w:color w:val="000000" w:themeColor="text1"/>
          <w:szCs w:val="24"/>
          <w:lang w:val="en-GB"/>
        </w:rPr>
        <w:t>protestors</w:t>
      </w:r>
      <w:r w:rsidRPr="0028108F">
        <w:rPr>
          <w:rFonts w:ascii="Arial" w:hAnsi="Arial" w:cs="Arial"/>
          <w:color w:val="000000" w:themeColor="text1"/>
          <w:szCs w:val="24"/>
          <w:lang w:val="en-GB"/>
        </w:rPr>
        <w:t xml:space="preserve">.  </w:t>
      </w:r>
      <w:r w:rsidR="00B710CD" w:rsidRPr="0028108F">
        <w:rPr>
          <w:rFonts w:ascii="Arial" w:hAnsi="Arial" w:cs="Arial"/>
          <w:color w:val="000000" w:themeColor="text1"/>
          <w:szCs w:val="24"/>
          <w:lang w:val="en-GB"/>
        </w:rPr>
        <w:t xml:space="preserve">For example, </w:t>
      </w:r>
      <w:r w:rsidR="00456A34" w:rsidRPr="0028108F">
        <w:rPr>
          <w:rFonts w:ascii="Arial" w:hAnsi="Arial" w:cs="Arial"/>
          <w:color w:val="000000" w:themeColor="text1"/>
          <w:szCs w:val="24"/>
          <w:lang w:val="en-GB"/>
        </w:rPr>
        <w:t xml:space="preserve">Dr </w:t>
      </w:r>
      <w:r w:rsidRPr="0028108F">
        <w:rPr>
          <w:rFonts w:ascii="Arial" w:hAnsi="Arial" w:cs="Arial"/>
          <w:color w:val="0D0D0D" w:themeColor="text1" w:themeTint="F2"/>
          <w:szCs w:val="24"/>
          <w:lang w:val="en-GB"/>
        </w:rPr>
        <w:t>Hiroyuki Taniguchi made the following comments:</w:t>
      </w:r>
      <w:r w:rsidRPr="00181CF2">
        <w:rPr>
          <w:rStyle w:val="FootnoteReference"/>
          <w:rFonts w:ascii="Arial" w:hAnsi="Arial" w:cs="Arial"/>
          <w:szCs w:val="24"/>
          <w:lang w:val="en-GB"/>
        </w:rPr>
        <w:footnoteReference w:id="761"/>
      </w:r>
    </w:p>
    <w:p w:rsidR="00E773F6" w:rsidRPr="00C57CE1" w:rsidRDefault="00E773F6" w:rsidP="00E773F6">
      <w:pPr>
        <w:tabs>
          <w:tab w:val="left" w:pos="851"/>
        </w:tabs>
        <w:adjustRightInd w:val="0"/>
        <w:snapToGrid w:val="0"/>
        <w:ind w:left="1335"/>
        <w:jc w:val="both"/>
        <w:rPr>
          <w:rFonts w:ascii="Arial" w:hAnsi="Arial" w:cs="Arial"/>
          <w:color w:val="0000FF"/>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w:t>
      </w:r>
      <w:r w:rsidRPr="0028108F">
        <w:rPr>
          <w:rFonts w:ascii="Arial" w:hAnsi="Arial" w:cs="Arial"/>
          <w:i/>
          <w:szCs w:val="24"/>
          <w:lang w:val="en-GB"/>
        </w:rPr>
        <w:t>Requiring</w:t>
      </w:r>
      <w:r w:rsidRPr="00181CF2">
        <w:rPr>
          <w:rFonts w:ascii="Arial" w:hAnsi="Arial" w:cs="Arial"/>
          <w:i/>
          <w:color w:val="000000" w:themeColor="text1"/>
          <w:szCs w:val="24"/>
          <w:lang w:val="en-GB"/>
        </w:rPr>
        <w:t xml:space="preserve"> an applicant for gender recognition to be unmarried] c</w:t>
      </w:r>
      <w:r w:rsidRPr="00C57CE1">
        <w:rPr>
          <w:rFonts w:ascii="Arial" w:hAnsi="Arial" w:cs="Arial"/>
          <w:i/>
          <w:color w:val="000000" w:themeColor="text1"/>
          <w:szCs w:val="24"/>
          <w:lang w:val="en-GB"/>
        </w:rPr>
        <w:t xml:space="preserve">ould force couples to divorce when they want to stay married by forcing them to choose between preserving their marriage or fulfilling the needs of one spouse to legally change his or her gender.  This fails to demonstrate respect for the dignity of the </w:t>
      </w:r>
      <w:r w:rsidRPr="0028108F">
        <w:rPr>
          <w:rFonts w:ascii="Arial" w:hAnsi="Arial" w:cs="Arial"/>
          <w:i/>
          <w:color w:val="000000" w:themeColor="text1"/>
          <w:szCs w:val="24"/>
          <w:lang w:val="en-GB"/>
        </w:rPr>
        <w:t xml:space="preserve">couple or for the individual spouse.  In addition, this puts individuals with </w:t>
      </w:r>
      <w:r w:rsidR="0056379B" w:rsidRPr="0028108F">
        <w:rPr>
          <w:rFonts w:ascii="Arial" w:hAnsi="Arial" w:cs="Arial"/>
          <w:i/>
          <w:color w:val="000000" w:themeColor="text1"/>
          <w:szCs w:val="24"/>
          <w:lang w:val="en-GB"/>
        </w:rPr>
        <w:t>GID</w:t>
      </w:r>
      <w:r w:rsidRPr="0028108F">
        <w:rPr>
          <w:rFonts w:ascii="Arial" w:hAnsi="Arial" w:cs="Arial"/>
          <w:i/>
          <w:color w:val="000000" w:themeColor="text1"/>
          <w:szCs w:val="24"/>
          <w:lang w:val="en-GB"/>
        </w:rPr>
        <w:t xml:space="preserve"> in the position of having to choose to either file a false (in their minds) notification for wanting a divorce and then divorce, or to give up his or her wish for social recognition through legally changing to his or her new gender.  This requirement also limits an individual’s right to marry after they have changed their legal gender because that individual can only marry another individual of the opposite legal gender.  Finally when a person with </w:t>
      </w:r>
      <w:r w:rsidR="0056379B" w:rsidRPr="0028108F">
        <w:rPr>
          <w:rFonts w:ascii="Arial" w:hAnsi="Arial" w:cs="Arial"/>
          <w:i/>
          <w:color w:val="000000" w:themeColor="text1"/>
          <w:szCs w:val="24"/>
          <w:lang w:val="en-GB"/>
        </w:rPr>
        <w:t>GID</w:t>
      </w:r>
      <w:r w:rsidRPr="0028108F">
        <w:rPr>
          <w:rFonts w:ascii="Arial" w:hAnsi="Arial" w:cs="Arial"/>
          <w:i/>
          <w:color w:val="000000" w:themeColor="text1"/>
          <w:szCs w:val="24"/>
          <w:lang w:val="en-GB"/>
        </w:rPr>
        <w:t xml:space="preserve"> wishes to have a legally recognized relationship with a person of different gender (ex: a man who presents as a woman and wants to be legally married to a man), the individual comes under pressure to </w:t>
      </w:r>
      <w:r w:rsidR="002739B5" w:rsidRPr="0028108F">
        <w:rPr>
          <w:rFonts w:ascii="Arial" w:hAnsi="Arial" w:cs="Arial"/>
          <w:i/>
          <w:color w:val="000000" w:themeColor="text1"/>
          <w:szCs w:val="24"/>
          <w:lang w:val="en-GB"/>
        </w:rPr>
        <w:t>‘</w:t>
      </w:r>
      <w:r w:rsidRPr="0028108F">
        <w:rPr>
          <w:rFonts w:ascii="Arial" w:hAnsi="Arial" w:cs="Arial"/>
          <w:i/>
          <w:color w:val="000000" w:themeColor="text1"/>
          <w:szCs w:val="24"/>
          <w:lang w:val="en-GB"/>
        </w:rPr>
        <w:t>choose</w:t>
      </w:r>
      <w:r w:rsidR="002739B5" w:rsidRPr="0028108F">
        <w:rPr>
          <w:rFonts w:ascii="Arial" w:hAnsi="Arial" w:cs="Arial"/>
          <w:i/>
          <w:color w:val="000000" w:themeColor="text1"/>
          <w:szCs w:val="24"/>
          <w:lang w:val="en-GB"/>
        </w:rPr>
        <w:t>’</w:t>
      </w:r>
      <w:r w:rsidRPr="0028108F">
        <w:rPr>
          <w:rFonts w:ascii="Arial" w:hAnsi="Arial" w:cs="Arial"/>
          <w:i/>
          <w:color w:val="000000" w:themeColor="text1"/>
          <w:szCs w:val="24"/>
          <w:lang w:val="en-GB"/>
        </w:rPr>
        <w:t xml:space="preserve"> surgical intervention even if the operation is medically unnecessary and/or the individual does not wish to undergo it.  </w:t>
      </w:r>
    </w:p>
    <w:p w:rsidR="00E773F6" w:rsidRPr="0028108F" w:rsidRDefault="00E773F6" w:rsidP="00E773F6">
      <w:pPr>
        <w:pStyle w:val="ListParagraph"/>
        <w:tabs>
          <w:tab w:val="left" w:pos="851"/>
        </w:tabs>
        <w:adjustRightInd w:val="0"/>
        <w:snapToGrid w:val="0"/>
        <w:ind w:leftChars="0" w:left="1985"/>
        <w:jc w:val="both"/>
        <w:rPr>
          <w:rFonts w:ascii="Arial" w:hAnsi="Arial" w:cs="Arial"/>
          <w:i/>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The requirement prohibiting individuals from being married at the time they seek to legally change their gender preserves </w:t>
      </w:r>
      <w:r w:rsidRPr="0028108F">
        <w:rPr>
          <w:rFonts w:ascii="Arial" w:hAnsi="Arial" w:cs="Arial"/>
          <w:i/>
          <w:szCs w:val="24"/>
          <w:lang w:val="en-GB"/>
        </w:rPr>
        <w:t>heterosexual</w:t>
      </w:r>
      <w:r w:rsidRPr="00181CF2">
        <w:rPr>
          <w:rFonts w:ascii="Arial" w:hAnsi="Arial" w:cs="Arial"/>
          <w:i/>
          <w:color w:val="000000" w:themeColor="text1"/>
          <w:szCs w:val="24"/>
          <w:lang w:val="en-GB"/>
        </w:rPr>
        <w:t xml:space="preserve"> assumptions </w:t>
      </w:r>
      <w:r w:rsidRPr="00C57CE1">
        <w:rPr>
          <w:rFonts w:ascii="Arial" w:hAnsi="Arial" w:cs="Arial"/>
          <w:i/>
          <w:color w:val="000000" w:themeColor="text1"/>
          <w:szCs w:val="24"/>
          <w:lang w:val="en-GB"/>
        </w:rPr>
        <w:t>that marriage is between a man and a woman, regardless of the physical appearance of the couple and regardless of whether the couple wishes to divorce.  The Act fails to make space for diversity in terms of composition of possible relationships and of th</w:t>
      </w:r>
      <w:r w:rsidRPr="0028108F">
        <w:rPr>
          <w:rFonts w:ascii="Arial" w:hAnsi="Arial" w:cs="Arial"/>
          <w:i/>
          <w:color w:val="000000" w:themeColor="text1"/>
          <w:szCs w:val="24"/>
          <w:lang w:val="en-GB"/>
        </w:rPr>
        <w:t>e needs of the individuals concerned.  Ultimately, this Act uses an outdated model of both gender and marriage that is not applicable in today’s diverse Japan.”</w:t>
      </w:r>
    </w:p>
    <w:p w:rsidR="00E773F6" w:rsidRPr="0028108F" w:rsidRDefault="00E773F6" w:rsidP="00E773F6">
      <w:pPr>
        <w:pStyle w:val="ListParagraph"/>
        <w:tabs>
          <w:tab w:val="left" w:pos="851"/>
        </w:tabs>
        <w:adjustRightInd w:val="0"/>
        <w:snapToGrid w:val="0"/>
        <w:ind w:leftChars="0" w:left="1985"/>
        <w:jc w:val="both"/>
        <w:rPr>
          <w:rFonts w:ascii="Arial" w:hAnsi="Arial" w:cs="Arial"/>
          <w:i/>
          <w:color w:val="000000" w:themeColor="text1"/>
          <w:szCs w:val="24"/>
          <w:lang w:val="en-GB"/>
        </w:rPr>
      </w:pPr>
    </w:p>
    <w:p w:rsidR="00E773F6" w:rsidRPr="00181CF2"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At the time of </w:t>
      </w:r>
      <w:r w:rsidR="00B710CD" w:rsidRPr="0028108F">
        <w:rPr>
          <w:rFonts w:ascii="Arial" w:hAnsi="Arial" w:cs="Arial"/>
          <w:color w:val="000000" w:themeColor="text1"/>
          <w:szCs w:val="24"/>
          <w:lang w:val="en-GB"/>
        </w:rPr>
        <w:t xml:space="preserve">deliberation </w:t>
      </w:r>
      <w:r w:rsidR="00511472" w:rsidRPr="0028108F">
        <w:rPr>
          <w:rFonts w:ascii="Arial" w:hAnsi="Arial" w:cs="Arial"/>
          <w:color w:val="000000" w:themeColor="text1"/>
          <w:szCs w:val="24"/>
          <w:lang w:val="en-GB"/>
        </w:rPr>
        <w:t>on</w:t>
      </w:r>
      <w:r w:rsidR="00B710CD"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the UK Gender Recognition Bill, Lord Goodhart expressed concern about the effect of a gender recognition certificate on an existing marriage:</w:t>
      </w:r>
      <w:r w:rsidRPr="00181CF2">
        <w:rPr>
          <w:rStyle w:val="FootnoteReference"/>
          <w:rFonts w:ascii="Arial" w:hAnsi="Arial" w:cs="Arial"/>
          <w:color w:val="000000" w:themeColor="text1"/>
          <w:szCs w:val="24"/>
          <w:lang w:val="en-GB"/>
        </w:rPr>
        <w:footnoteReference w:id="762"/>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“The Government say that the law must not recognise a marriage between a couple who are seen in law as being of the same sex.  It may well be justifiable to say that marriage can be entered into only between a couple of the opposite sex, but it does not follow logically that a marriage validly entered into must be annulled before the gender change can be recognised by law.  If the couple </w:t>
      </w:r>
      <w:r w:rsidRPr="0028108F">
        <w:rPr>
          <w:rFonts w:ascii="Arial" w:hAnsi="Arial" w:cs="Arial"/>
          <w:szCs w:val="24"/>
          <w:lang w:val="en-GB"/>
        </w:rPr>
        <w:t>were</w:t>
      </w:r>
      <w:r w:rsidRPr="0028108F">
        <w:rPr>
          <w:rFonts w:ascii="Arial" w:hAnsi="Arial" w:cs="Arial"/>
          <w:i/>
          <w:color w:val="000000" w:themeColor="text1"/>
          <w:szCs w:val="24"/>
          <w:lang w:val="en-GB"/>
        </w:rPr>
        <w:t xml:space="preserve"> legally married originally and wished to continue their marriage, I believe that it would be wrong to present them with the dilemma either of having to terminate the marriage, which both wish to keep, or of depriving one of them of the right to legal recognition of gender change.”</w:t>
      </w:r>
    </w:p>
    <w:p w:rsidR="00E773F6" w:rsidRPr="0028108F" w:rsidRDefault="00E773F6" w:rsidP="00E773F6">
      <w:pPr>
        <w:pStyle w:val="ListParagraph"/>
        <w:tabs>
          <w:tab w:val="left" w:pos="851"/>
        </w:tabs>
        <w:adjustRightInd w:val="0"/>
        <w:snapToGrid w:val="0"/>
        <w:ind w:leftChars="0" w:left="1985"/>
        <w:jc w:val="both"/>
        <w:rPr>
          <w:rFonts w:ascii="Arial" w:hAnsi="Arial" w:cs="Arial"/>
          <w:i/>
          <w:color w:val="000000" w:themeColor="text1"/>
          <w:szCs w:val="24"/>
          <w:lang w:val="en-GB"/>
        </w:rPr>
      </w:pPr>
    </w:p>
    <w:p w:rsidR="00E773F6" w:rsidRPr="00852612" w:rsidRDefault="00E773F6" w:rsidP="00A87230">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After the UK GRA was enacted</w:t>
      </w:r>
      <w:r w:rsidR="00B710CD" w:rsidRPr="0028108F">
        <w:rPr>
          <w:rFonts w:ascii="Arial" w:hAnsi="Arial" w:cs="Arial"/>
          <w:color w:val="000000" w:themeColor="text1"/>
          <w:szCs w:val="24"/>
          <w:lang w:val="en-GB"/>
        </w:rPr>
        <w:t xml:space="preserve"> in 2004</w:t>
      </w:r>
      <w:r w:rsidRPr="0028108F">
        <w:rPr>
          <w:rFonts w:ascii="Arial" w:hAnsi="Arial" w:cs="Arial"/>
          <w:color w:val="000000" w:themeColor="text1"/>
          <w:szCs w:val="24"/>
          <w:lang w:val="en-GB"/>
        </w:rPr>
        <w:t xml:space="preserve">, the divorce requirements </w:t>
      </w:r>
      <w:r w:rsidR="00511472" w:rsidRPr="0028108F">
        <w:rPr>
          <w:rFonts w:ascii="Arial" w:hAnsi="Arial" w:cs="Arial"/>
          <w:color w:val="000000" w:themeColor="text1"/>
          <w:szCs w:val="24"/>
          <w:lang w:val="en-GB"/>
        </w:rPr>
        <w:t>were</w:t>
      </w:r>
      <w:r w:rsidRPr="0028108F">
        <w:rPr>
          <w:rFonts w:ascii="Arial" w:hAnsi="Arial" w:cs="Arial"/>
          <w:color w:val="000000" w:themeColor="text1"/>
          <w:szCs w:val="24"/>
          <w:lang w:val="en-GB"/>
        </w:rPr>
        <w:t xml:space="preserve"> subject to significant criticism</w:t>
      </w:r>
      <w:r w:rsidR="00C9791A" w:rsidRPr="0028108F">
        <w:rPr>
          <w:rFonts w:ascii="Arial" w:hAnsi="Arial" w:cs="Arial"/>
          <w:color w:val="000000" w:themeColor="text1"/>
          <w:szCs w:val="24"/>
          <w:lang w:val="en-GB"/>
        </w:rPr>
        <w:t>s</w:t>
      </w:r>
      <w:r w:rsidRPr="0028108F">
        <w:rPr>
          <w:rFonts w:ascii="Arial" w:hAnsi="Arial" w:cs="Arial"/>
          <w:color w:val="000000" w:themeColor="text1"/>
          <w:szCs w:val="24"/>
          <w:lang w:val="en-GB"/>
        </w:rPr>
        <w:t>.</w:t>
      </w:r>
      <w:r w:rsidRPr="00181CF2">
        <w:rPr>
          <w:rStyle w:val="FootnoteReference"/>
          <w:rFonts w:ascii="Arial" w:hAnsi="Arial" w:cs="Arial"/>
          <w:color w:val="000000" w:themeColor="text1"/>
          <w:lang w:val="en-GB"/>
        </w:rPr>
        <w:footnoteReference w:id="763"/>
      </w:r>
      <w:r w:rsidRPr="00181CF2">
        <w:rPr>
          <w:rFonts w:ascii="Arial" w:hAnsi="Arial" w:cs="Arial"/>
          <w:color w:val="000000" w:themeColor="text1"/>
          <w:szCs w:val="24"/>
          <w:lang w:val="en-GB"/>
        </w:rPr>
        <w:t xml:space="preserve">  For a number of transgender persons, who, because of faith or principle, </w:t>
      </w:r>
      <w:r w:rsidR="00511472" w:rsidRPr="0028108F">
        <w:rPr>
          <w:rFonts w:ascii="Arial" w:hAnsi="Arial" w:cs="Arial"/>
          <w:color w:val="000000" w:themeColor="text1"/>
          <w:szCs w:val="24"/>
          <w:lang w:val="en-GB"/>
        </w:rPr>
        <w:t xml:space="preserve">were </w:t>
      </w:r>
      <w:r w:rsidRPr="0028108F">
        <w:rPr>
          <w:rFonts w:ascii="Arial" w:hAnsi="Arial" w:cs="Arial"/>
          <w:color w:val="000000" w:themeColor="text1"/>
          <w:szCs w:val="24"/>
          <w:lang w:val="en-GB"/>
        </w:rPr>
        <w:t xml:space="preserve">unwilling to dissolve their marriage, </w:t>
      </w:r>
      <w:r w:rsidR="00B710CD" w:rsidRPr="0028108F">
        <w:rPr>
          <w:rFonts w:ascii="Arial" w:hAnsi="Arial" w:cs="Arial"/>
          <w:color w:val="000000" w:themeColor="text1"/>
          <w:szCs w:val="24"/>
          <w:lang w:val="en-GB"/>
        </w:rPr>
        <w:t>they contend</w:t>
      </w:r>
      <w:r w:rsidR="00511472" w:rsidRPr="0028108F">
        <w:rPr>
          <w:rFonts w:ascii="Arial" w:hAnsi="Arial" w:cs="Arial"/>
          <w:color w:val="000000" w:themeColor="text1"/>
          <w:szCs w:val="24"/>
          <w:lang w:val="en-GB"/>
        </w:rPr>
        <w:t>ed</w:t>
      </w:r>
      <w:r w:rsidR="00B710CD" w:rsidRPr="0028108F">
        <w:rPr>
          <w:rFonts w:ascii="Arial" w:hAnsi="Arial" w:cs="Arial"/>
          <w:color w:val="000000" w:themeColor="text1"/>
          <w:szCs w:val="24"/>
          <w:lang w:val="en-GB"/>
        </w:rPr>
        <w:t xml:space="preserve"> that </w:t>
      </w:r>
      <w:r w:rsidRPr="0028108F">
        <w:rPr>
          <w:rFonts w:ascii="Arial" w:hAnsi="Arial" w:cs="Arial"/>
          <w:color w:val="000000" w:themeColor="text1"/>
          <w:szCs w:val="24"/>
          <w:lang w:val="en-GB"/>
        </w:rPr>
        <w:t xml:space="preserve">the divorce requirement </w:t>
      </w:r>
      <w:r w:rsidR="001F1A82" w:rsidRPr="0028108F">
        <w:rPr>
          <w:rFonts w:ascii="Arial" w:hAnsi="Arial" w:cs="Arial"/>
          <w:color w:val="000000" w:themeColor="text1"/>
          <w:szCs w:val="24"/>
          <w:lang w:val="en-GB"/>
        </w:rPr>
        <w:t>ha</w:t>
      </w:r>
      <w:r w:rsidR="001F1A82">
        <w:rPr>
          <w:rFonts w:ascii="Arial" w:hAnsi="Arial" w:cs="Arial" w:hint="eastAsia"/>
          <w:color w:val="000000" w:themeColor="text1"/>
          <w:szCs w:val="24"/>
          <w:lang w:val="en-GB"/>
        </w:rPr>
        <w:t>d</w:t>
      </w:r>
      <w:r w:rsidR="001F1A82"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prevented effective </w:t>
      </w:r>
      <w:r w:rsidRPr="00852612">
        <w:rPr>
          <w:rFonts w:ascii="Arial" w:hAnsi="Arial" w:cs="Arial"/>
          <w:szCs w:val="24"/>
          <w:lang w:val="en-GB"/>
        </w:rPr>
        <w:t>enjoyment of the</w:t>
      </w:r>
      <w:r w:rsidR="00B710CD" w:rsidRPr="00852612">
        <w:rPr>
          <w:rFonts w:ascii="Arial" w:hAnsi="Arial" w:cs="Arial"/>
          <w:szCs w:val="24"/>
          <w:lang w:val="en-GB"/>
        </w:rPr>
        <w:t>ir</w:t>
      </w:r>
      <w:r w:rsidRPr="00852612">
        <w:rPr>
          <w:rFonts w:ascii="Arial" w:hAnsi="Arial" w:cs="Arial"/>
          <w:szCs w:val="24"/>
          <w:lang w:val="en-GB"/>
        </w:rPr>
        <w:t xml:space="preserve"> right to gender recognition.  In </w:t>
      </w:r>
      <w:r w:rsidRPr="00852612">
        <w:rPr>
          <w:rFonts w:ascii="Arial" w:hAnsi="Arial" w:cs="Arial"/>
          <w:i/>
          <w:szCs w:val="24"/>
          <w:lang w:val="en-GB"/>
        </w:rPr>
        <w:t>MB v Secretary of State for Work and Pensions</w:t>
      </w:r>
      <w:r w:rsidR="00BE17C3" w:rsidRPr="00852612">
        <w:rPr>
          <w:rFonts w:ascii="Arial" w:hAnsi="Arial" w:cs="Arial"/>
          <w:szCs w:val="24"/>
          <w:lang w:val="en-GB"/>
        </w:rPr>
        <w:t xml:space="preserve"> (2016)</w:t>
      </w:r>
      <w:r w:rsidR="00511472" w:rsidRPr="00852612">
        <w:rPr>
          <w:rFonts w:ascii="Arial" w:hAnsi="Arial" w:cs="Arial"/>
          <w:szCs w:val="24"/>
          <w:lang w:val="en-GB"/>
        </w:rPr>
        <w:t>,</w:t>
      </w:r>
      <w:r w:rsidRPr="00852612">
        <w:rPr>
          <w:rStyle w:val="FootnoteReference"/>
          <w:rFonts w:ascii="Arial" w:hAnsi="Arial" w:cs="Arial"/>
          <w:i/>
          <w:lang w:val="en-GB"/>
        </w:rPr>
        <w:footnoteReference w:id="764"/>
      </w:r>
      <w:r w:rsidRPr="00852612">
        <w:rPr>
          <w:rFonts w:ascii="Arial" w:hAnsi="Arial" w:cs="Arial"/>
          <w:szCs w:val="24"/>
          <w:lang w:val="en-GB"/>
        </w:rPr>
        <w:t xml:space="preserve"> a 60-year-old post-operative transgender woman, who remained married, was unable to access a gender-appropriate state pension</w:t>
      </w:r>
      <w:r w:rsidR="00301DE9" w:rsidRPr="00852612">
        <w:rPr>
          <w:rFonts w:ascii="Arial" w:hAnsi="Arial" w:cs="Arial"/>
          <w:szCs w:val="24"/>
          <w:lang w:val="en-GB"/>
        </w:rPr>
        <w:t xml:space="preserve"> under the national law in force at the time</w:t>
      </w:r>
      <w:r w:rsidRPr="00852612">
        <w:rPr>
          <w:rFonts w:ascii="Arial" w:hAnsi="Arial" w:cs="Arial"/>
          <w:szCs w:val="24"/>
          <w:lang w:val="en-GB"/>
        </w:rPr>
        <w:t>.</w:t>
      </w:r>
      <w:r w:rsidR="00AC1665" w:rsidRPr="00852612">
        <w:rPr>
          <w:rStyle w:val="FootnoteReference"/>
          <w:rFonts w:ascii="Arial" w:hAnsi="Arial" w:cs="Arial"/>
          <w:szCs w:val="24"/>
          <w:lang w:val="en-GB"/>
        </w:rPr>
        <w:footnoteReference w:id="765"/>
      </w:r>
      <w:r w:rsidR="004A707B" w:rsidRPr="00852612">
        <w:rPr>
          <w:rFonts w:ascii="Arial" w:hAnsi="Arial" w:cs="Arial"/>
          <w:szCs w:val="24"/>
          <w:lang w:val="en-GB"/>
        </w:rPr>
        <w:t xml:space="preserve">  She challenged, amongst other</w:t>
      </w:r>
      <w:r w:rsidR="00511472" w:rsidRPr="00852612">
        <w:rPr>
          <w:rFonts w:ascii="Arial" w:hAnsi="Arial" w:cs="Arial"/>
          <w:szCs w:val="24"/>
          <w:lang w:val="en-GB"/>
        </w:rPr>
        <w:t xml:space="preserve"> matters</w:t>
      </w:r>
      <w:r w:rsidR="004A707B" w:rsidRPr="00852612">
        <w:rPr>
          <w:rFonts w:ascii="Arial" w:hAnsi="Arial" w:cs="Arial"/>
          <w:szCs w:val="24"/>
          <w:lang w:val="en-GB"/>
        </w:rPr>
        <w:t xml:space="preserve">, that the </w:t>
      </w:r>
      <w:r w:rsidR="00AC1665" w:rsidRPr="00852612">
        <w:rPr>
          <w:rFonts w:ascii="Arial" w:hAnsi="Arial" w:cs="Arial"/>
          <w:szCs w:val="24"/>
          <w:lang w:val="en-GB"/>
        </w:rPr>
        <w:t xml:space="preserve">law at the time </w:t>
      </w:r>
      <w:r w:rsidR="004A707B" w:rsidRPr="00852612">
        <w:rPr>
          <w:rFonts w:ascii="Arial" w:hAnsi="Arial" w:cs="Arial"/>
          <w:szCs w:val="24"/>
          <w:lang w:val="en-GB"/>
        </w:rPr>
        <w:t>directly discriminate</w:t>
      </w:r>
      <w:r w:rsidR="00511472" w:rsidRPr="00852612">
        <w:rPr>
          <w:rFonts w:ascii="Arial" w:hAnsi="Arial" w:cs="Arial"/>
          <w:szCs w:val="24"/>
          <w:lang w:val="en-GB"/>
        </w:rPr>
        <w:t>d</w:t>
      </w:r>
      <w:r w:rsidR="004A707B" w:rsidRPr="00852612">
        <w:rPr>
          <w:rFonts w:ascii="Arial" w:hAnsi="Arial" w:cs="Arial"/>
          <w:szCs w:val="24"/>
          <w:lang w:val="en-GB"/>
        </w:rPr>
        <w:t xml:space="preserve"> against her on grounds of sex.</w:t>
      </w:r>
      <w:r w:rsidR="002739B5" w:rsidRPr="00852612">
        <w:rPr>
          <w:rFonts w:ascii="Arial" w:hAnsi="Arial" w:cs="Arial"/>
          <w:szCs w:val="24"/>
          <w:lang w:val="en-GB"/>
        </w:rPr>
        <w:t xml:space="preserve">  The </w:t>
      </w:r>
      <w:r w:rsidR="004660FF" w:rsidRPr="00852612">
        <w:rPr>
          <w:rFonts w:ascii="Arial" w:hAnsi="Arial" w:cs="Arial"/>
          <w:szCs w:val="24"/>
          <w:lang w:val="en-GB"/>
        </w:rPr>
        <w:t xml:space="preserve">case has been referred to the European Court of Justice for </w:t>
      </w:r>
      <w:r w:rsidR="00FD41CA" w:rsidRPr="00852612">
        <w:rPr>
          <w:rFonts w:ascii="Arial" w:hAnsi="Arial" w:cs="Arial"/>
          <w:szCs w:val="24"/>
          <w:lang w:val="en-GB"/>
        </w:rPr>
        <w:t>a preliminary ruling</w:t>
      </w:r>
      <w:r w:rsidR="002739B5" w:rsidRPr="00852612">
        <w:rPr>
          <w:rFonts w:ascii="Arial" w:hAnsi="Arial" w:cs="Arial"/>
          <w:szCs w:val="24"/>
          <w:lang w:val="en-GB"/>
        </w:rPr>
        <w:t>.</w:t>
      </w:r>
    </w:p>
    <w:p w:rsidR="00E773F6" w:rsidRPr="00852612" w:rsidRDefault="00E773F6" w:rsidP="00961014">
      <w:pPr>
        <w:pStyle w:val="ListParagraph"/>
        <w:tabs>
          <w:tab w:val="left" w:pos="1418"/>
          <w:tab w:val="left" w:pos="2552"/>
        </w:tabs>
        <w:autoSpaceDE w:val="0"/>
        <w:autoSpaceDN w:val="0"/>
        <w:adjustRightInd w:val="0"/>
        <w:snapToGrid w:val="0"/>
        <w:ind w:leftChars="0" w:left="840"/>
        <w:jc w:val="both"/>
        <w:rPr>
          <w:rFonts w:ascii="Arial" w:eastAsiaTheme="minorEastAsia" w:hAnsi="Arial" w:cs="Arial"/>
          <w:kern w:val="0"/>
          <w:szCs w:val="24"/>
          <w:lang w:val="en-GB"/>
        </w:rPr>
      </w:pPr>
    </w:p>
    <w:p w:rsidR="00E773F6" w:rsidRPr="00852612" w:rsidRDefault="00E773F6" w:rsidP="00A87230">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eastAsiaTheme="minorEastAsia" w:hAnsi="Arial" w:cs="Arial"/>
          <w:kern w:val="0"/>
          <w:szCs w:val="24"/>
          <w:lang w:val="en-GB"/>
        </w:rPr>
      </w:pPr>
      <w:r w:rsidRPr="00852612">
        <w:rPr>
          <w:rFonts w:ascii="Arial" w:hAnsi="Arial" w:cs="Arial"/>
          <w:szCs w:val="24"/>
          <w:lang w:val="en-GB"/>
        </w:rPr>
        <w:t>The Lord Bishop of Winchester also considered that:</w:t>
      </w:r>
      <w:r w:rsidRPr="00852612">
        <w:rPr>
          <w:rStyle w:val="FootnoteReference"/>
          <w:rFonts w:ascii="Arial" w:hAnsi="Arial" w:cs="Arial"/>
          <w:szCs w:val="24"/>
          <w:lang w:val="en-GB"/>
        </w:rPr>
        <w:footnoteReference w:id="766"/>
      </w:r>
    </w:p>
    <w:p w:rsidR="00E773F6" w:rsidRPr="00852612" w:rsidRDefault="00E773F6" w:rsidP="00E773F6">
      <w:pPr>
        <w:pStyle w:val="ListParagraph"/>
        <w:tabs>
          <w:tab w:val="left" w:pos="1418"/>
          <w:tab w:val="left" w:pos="2552"/>
        </w:tabs>
        <w:autoSpaceDE w:val="0"/>
        <w:autoSpaceDN w:val="0"/>
        <w:adjustRightInd w:val="0"/>
        <w:snapToGrid w:val="0"/>
        <w:ind w:leftChars="0" w:left="0"/>
        <w:jc w:val="both"/>
        <w:rPr>
          <w:rFonts w:ascii="Arial" w:eastAsiaTheme="minorEastAsia" w:hAnsi="Arial" w:cs="Arial"/>
          <w:kern w:val="0"/>
          <w:szCs w:val="24"/>
          <w:lang w:val="en-GB"/>
        </w:rPr>
      </w:pPr>
    </w:p>
    <w:p w:rsidR="00E773F6" w:rsidRPr="00852612" w:rsidRDefault="00E773F6" w:rsidP="00961014">
      <w:pPr>
        <w:snapToGrid w:val="0"/>
        <w:ind w:leftChars="354" w:left="851" w:rightChars="212" w:right="509" w:hanging="1"/>
        <w:jc w:val="both"/>
        <w:rPr>
          <w:rFonts w:ascii="Arial" w:hAnsi="Arial" w:cs="Arial"/>
          <w:i/>
          <w:szCs w:val="24"/>
          <w:lang w:val="en-GB"/>
        </w:rPr>
      </w:pPr>
      <w:r w:rsidRPr="00852612">
        <w:rPr>
          <w:rFonts w:ascii="Arial" w:hAnsi="Arial" w:cs="Arial"/>
          <w:i/>
          <w:szCs w:val="24"/>
          <w:lang w:val="en-GB"/>
        </w:rPr>
        <w:t>“If people have committed themselves to a marriage, whether or not out of a religious understanding, of any faith, it is part of the Government's responsibility to sustain that marriage if they wish to sustain it; ... To force them to be broken apart and then to suggest that they be placed in some other legal relationship which—quite apart from the fact that it does not yet exist—if it were to exist, they do not want, is not a sustainable way of behaving on the part of the Government.”</w:t>
      </w:r>
    </w:p>
    <w:p w:rsidR="00E773F6" w:rsidRPr="00852612" w:rsidRDefault="00E773F6" w:rsidP="00E773F6">
      <w:pPr>
        <w:tabs>
          <w:tab w:val="left" w:pos="851"/>
        </w:tabs>
        <w:adjustRightInd w:val="0"/>
        <w:snapToGrid w:val="0"/>
        <w:jc w:val="both"/>
        <w:rPr>
          <w:rFonts w:ascii="Arial" w:hAnsi="Arial" w:cs="Arial"/>
          <w:szCs w:val="24"/>
          <w:lang w:val="en-GB"/>
        </w:rPr>
      </w:pPr>
    </w:p>
    <w:p w:rsidR="00E773F6" w:rsidRPr="00852612" w:rsidRDefault="002739B5"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852612">
        <w:rPr>
          <w:rFonts w:ascii="Arial" w:hAnsi="Arial" w:cs="Arial"/>
          <w:szCs w:val="24"/>
          <w:lang w:val="en-GB"/>
        </w:rPr>
        <w:t>It appears that t</w:t>
      </w:r>
      <w:r w:rsidR="00E773F6" w:rsidRPr="00852612">
        <w:rPr>
          <w:rFonts w:ascii="Arial" w:hAnsi="Arial" w:cs="Arial"/>
          <w:szCs w:val="24"/>
          <w:lang w:val="en-GB"/>
        </w:rPr>
        <w:t xml:space="preserve">he advent of same-sex marriage in many jurisdictions in the international sphere has meant that requirements to dissolve marriages </w:t>
      </w:r>
      <w:r w:rsidR="00511472" w:rsidRPr="00852612">
        <w:rPr>
          <w:rFonts w:ascii="Arial" w:hAnsi="Arial" w:cs="Arial"/>
          <w:szCs w:val="24"/>
          <w:lang w:val="en-GB"/>
        </w:rPr>
        <w:t>for the p</w:t>
      </w:r>
      <w:r w:rsidR="00066B32" w:rsidRPr="00852612">
        <w:rPr>
          <w:rFonts w:ascii="Arial" w:hAnsi="Arial" w:cs="Arial"/>
          <w:szCs w:val="24"/>
          <w:lang w:val="en-GB"/>
        </w:rPr>
        <w:t>ur</w:t>
      </w:r>
      <w:r w:rsidR="00511472" w:rsidRPr="00852612">
        <w:rPr>
          <w:rFonts w:ascii="Arial" w:hAnsi="Arial" w:cs="Arial"/>
          <w:szCs w:val="24"/>
          <w:lang w:val="en-GB"/>
        </w:rPr>
        <w:t xml:space="preserve">poses of gender recognition </w:t>
      </w:r>
      <w:r w:rsidR="00E773F6" w:rsidRPr="00852612">
        <w:rPr>
          <w:rFonts w:ascii="Arial" w:hAnsi="Arial" w:cs="Arial"/>
          <w:szCs w:val="24"/>
          <w:lang w:val="en-GB"/>
        </w:rPr>
        <w:t>have become obsolete</w:t>
      </w:r>
      <w:r w:rsidR="00511472" w:rsidRPr="00852612">
        <w:rPr>
          <w:rFonts w:ascii="Arial" w:hAnsi="Arial" w:cs="Arial"/>
          <w:szCs w:val="24"/>
          <w:lang w:val="en-GB"/>
        </w:rPr>
        <w:t xml:space="preserve"> in those jurisdictions</w:t>
      </w:r>
      <w:r w:rsidR="00E773F6" w:rsidRPr="00852612">
        <w:rPr>
          <w:rFonts w:ascii="Arial" w:hAnsi="Arial" w:cs="Arial"/>
          <w:szCs w:val="24"/>
          <w:lang w:val="en-GB"/>
        </w:rPr>
        <w:t>.</w:t>
      </w:r>
      <w:r w:rsidR="00E773F6" w:rsidRPr="00852612">
        <w:rPr>
          <w:rStyle w:val="FootnoteReference"/>
          <w:rFonts w:ascii="Arial" w:hAnsi="Arial" w:cs="Arial"/>
          <w:lang w:val="en-GB"/>
        </w:rPr>
        <w:footnoteReference w:id="767"/>
      </w:r>
      <w:r w:rsidR="00E773F6" w:rsidRPr="00852612">
        <w:rPr>
          <w:rFonts w:ascii="Arial" w:hAnsi="Arial" w:cs="Arial"/>
          <w:szCs w:val="24"/>
          <w:lang w:val="en-GB"/>
        </w:rPr>
        <w:t xml:space="preserve">  Where legislation concerning gender recognition was introduced after </w:t>
      </w:r>
      <w:r w:rsidR="001F1A82" w:rsidRPr="00852612">
        <w:rPr>
          <w:rFonts w:ascii="Arial" w:hAnsi="Arial" w:cs="Arial" w:hint="eastAsia"/>
          <w:szCs w:val="24"/>
          <w:lang w:val="en-GB"/>
        </w:rPr>
        <w:t xml:space="preserve">the </w:t>
      </w:r>
      <w:r w:rsidR="00E773F6" w:rsidRPr="00852612">
        <w:rPr>
          <w:rFonts w:ascii="Arial" w:hAnsi="Arial" w:cs="Arial"/>
          <w:szCs w:val="24"/>
          <w:lang w:val="en-GB"/>
        </w:rPr>
        <w:t>passage of marriage equality laws (eg</w:t>
      </w:r>
      <w:r w:rsidR="00940215" w:rsidRPr="00852612">
        <w:rPr>
          <w:rFonts w:ascii="Arial" w:hAnsi="Arial" w:cs="Arial"/>
          <w:szCs w:val="24"/>
          <w:lang w:val="en-GB"/>
        </w:rPr>
        <w:t>,</w:t>
      </w:r>
      <w:r w:rsidR="00E773F6" w:rsidRPr="00852612">
        <w:rPr>
          <w:rFonts w:ascii="Arial" w:hAnsi="Arial" w:cs="Arial"/>
          <w:szCs w:val="24"/>
          <w:lang w:val="en-GB"/>
        </w:rPr>
        <w:t xml:space="preserve"> </w:t>
      </w:r>
      <w:r w:rsidR="00066B32" w:rsidRPr="00852612">
        <w:rPr>
          <w:rFonts w:ascii="Arial" w:hAnsi="Arial" w:cs="Arial"/>
          <w:szCs w:val="24"/>
          <w:lang w:val="en-GB"/>
        </w:rPr>
        <w:t xml:space="preserve">in </w:t>
      </w:r>
      <w:r w:rsidR="00E773F6" w:rsidRPr="00852612">
        <w:rPr>
          <w:rFonts w:ascii="Arial" w:hAnsi="Arial" w:cs="Arial"/>
          <w:szCs w:val="24"/>
          <w:lang w:val="en-GB"/>
        </w:rPr>
        <w:t xml:space="preserve">Argentina), dissolution requirements </w:t>
      </w:r>
      <w:r w:rsidR="008553C9" w:rsidRPr="00852612">
        <w:rPr>
          <w:rFonts w:ascii="Arial" w:hAnsi="Arial" w:cs="Arial" w:hint="eastAsia"/>
          <w:szCs w:val="24"/>
          <w:lang w:val="en-GB"/>
        </w:rPr>
        <w:t>do not</w:t>
      </w:r>
      <w:r w:rsidR="008553C9" w:rsidRPr="00852612">
        <w:rPr>
          <w:rFonts w:ascii="Arial" w:hAnsi="Arial" w:cs="Arial"/>
          <w:szCs w:val="24"/>
          <w:lang w:val="en-GB"/>
        </w:rPr>
        <w:t xml:space="preserve"> </w:t>
      </w:r>
      <w:r w:rsidR="00E773F6" w:rsidRPr="00852612">
        <w:rPr>
          <w:rFonts w:ascii="Arial" w:hAnsi="Arial" w:cs="Arial"/>
          <w:szCs w:val="24"/>
          <w:lang w:val="en-GB"/>
        </w:rPr>
        <w:t>form part of the law.  Further, the marital status requirement as a prerequisite to obtaining legal gender recognition was abolished in Austria, Germany and Italy after their constitutional courts ruled against it.  In 2006, the Austrian Constitutional Court granted a transsexual woman the right to change her sex to female even though she remained married to her wife.  The German Constitutional Court also ruled in 2008 that legislation could not force divorce on a person who, but for his or her marriage, fulfilled all the other criteria for recognition.  These two rulings call on the State to accept that protecting all individuals without exception from state-forced divorce has to be considered of higher importance than the very few instances in which this leads to same-sex marriages.</w:t>
      </w:r>
      <w:r w:rsidR="00E773F6" w:rsidRPr="00852612">
        <w:rPr>
          <w:rFonts w:ascii="Arial" w:hAnsi="Arial" w:cs="Arial"/>
          <w:vertAlign w:val="superscript"/>
          <w:lang w:val="en-GB"/>
        </w:rPr>
        <w:footnoteReference w:id="768"/>
      </w:r>
      <w:r w:rsidR="00E773F6" w:rsidRPr="00852612">
        <w:rPr>
          <w:rFonts w:ascii="Arial" w:hAnsi="Arial" w:cs="Arial"/>
          <w:szCs w:val="24"/>
          <w:lang w:val="en-GB"/>
        </w:rPr>
        <w:t xml:space="preserve">  In a similar vein, the Italian Constitutional Court held in 2014 that a married couple would be denied their “</w:t>
      </w:r>
      <w:r w:rsidR="00E773F6" w:rsidRPr="00852612">
        <w:rPr>
          <w:rFonts w:ascii="Arial" w:hAnsi="Arial" w:cs="Arial"/>
          <w:i/>
          <w:szCs w:val="24"/>
          <w:lang w:val="en-GB"/>
        </w:rPr>
        <w:t>inviolable rights of man</w:t>
      </w:r>
      <w:r w:rsidR="00E773F6" w:rsidRPr="00852612">
        <w:rPr>
          <w:rFonts w:ascii="Arial" w:hAnsi="Arial" w:cs="Arial"/>
          <w:szCs w:val="24"/>
          <w:lang w:val="en-GB"/>
        </w:rPr>
        <w:t>” as set out in Article 2 of the Italian Constitution if the couple was stripped of all their legal rights because one spouse obtained legal gender recognition.</w:t>
      </w:r>
      <w:r w:rsidR="00E773F6" w:rsidRPr="00852612">
        <w:rPr>
          <w:rFonts w:ascii="Arial" w:hAnsi="Arial" w:cs="Arial"/>
          <w:vertAlign w:val="superscript"/>
          <w:lang w:val="en-GB"/>
        </w:rPr>
        <w:footnoteReference w:id="769"/>
      </w:r>
    </w:p>
    <w:p w:rsidR="00E773F6" w:rsidRPr="00852612" w:rsidRDefault="00E773F6" w:rsidP="00961014">
      <w:pPr>
        <w:pStyle w:val="ListParagraph"/>
        <w:tabs>
          <w:tab w:val="left" w:pos="1418"/>
          <w:tab w:val="left" w:pos="2552"/>
        </w:tabs>
        <w:autoSpaceDE w:val="0"/>
        <w:autoSpaceDN w:val="0"/>
        <w:adjustRightInd w:val="0"/>
        <w:snapToGrid w:val="0"/>
        <w:ind w:leftChars="0" w:left="840"/>
        <w:jc w:val="both"/>
        <w:rPr>
          <w:rFonts w:ascii="Arial" w:hAnsi="Arial" w:cs="Arial"/>
          <w:szCs w:val="24"/>
          <w:lang w:val="en-GB"/>
        </w:rPr>
      </w:pPr>
    </w:p>
    <w:p w:rsidR="00E773F6" w:rsidRPr="00C57CE1"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852612">
        <w:rPr>
          <w:rFonts w:ascii="Arial" w:hAnsi="Arial" w:cs="Arial"/>
          <w:szCs w:val="24"/>
          <w:lang w:val="en-GB"/>
        </w:rPr>
        <w:t xml:space="preserve">With regard to the ECtHR’s ruling in </w:t>
      </w:r>
      <w:r w:rsidRPr="00852612">
        <w:rPr>
          <w:rFonts w:ascii="Arial" w:hAnsi="Arial" w:cs="Arial"/>
          <w:bCs/>
          <w:i/>
          <w:szCs w:val="24"/>
          <w:lang w:val="en-GB"/>
        </w:rPr>
        <w:t>Hämäläinen v Finland</w:t>
      </w:r>
      <w:r w:rsidRPr="00852612">
        <w:rPr>
          <w:rFonts w:ascii="Arial" w:hAnsi="Arial" w:cs="Arial"/>
          <w:bCs/>
          <w:szCs w:val="24"/>
          <w:lang w:val="en-GB"/>
        </w:rPr>
        <w:t xml:space="preserve"> (2014) </w:t>
      </w:r>
      <w:r w:rsidRPr="0028108F">
        <w:rPr>
          <w:rFonts w:ascii="Arial" w:hAnsi="Arial" w:cs="Arial"/>
          <w:bCs/>
          <w:szCs w:val="24"/>
          <w:lang w:val="en-GB"/>
        </w:rPr>
        <w:t xml:space="preserve">(see paragraph </w:t>
      </w:r>
      <w:r w:rsidRPr="008813DE">
        <w:rPr>
          <w:rFonts w:ascii="Arial" w:hAnsi="Arial" w:cs="Arial"/>
          <w:bCs/>
          <w:szCs w:val="24"/>
          <w:lang w:val="en-GB"/>
        </w:rPr>
        <w:t>7.</w:t>
      </w:r>
      <w:r w:rsidR="006F76B8" w:rsidRPr="006F76B8">
        <w:rPr>
          <w:rFonts w:ascii="Arial" w:hAnsi="Arial" w:cs="Arial"/>
          <w:bCs/>
          <w:szCs w:val="24"/>
          <w:lang w:val="en-GB"/>
        </w:rPr>
        <w:t>50</w:t>
      </w:r>
      <w:r w:rsidRPr="0028108F">
        <w:rPr>
          <w:rFonts w:ascii="Arial" w:hAnsi="Arial" w:cs="Arial"/>
          <w:bCs/>
          <w:szCs w:val="24"/>
          <w:lang w:val="en-GB"/>
        </w:rPr>
        <w:t xml:space="preserve"> above) that </w:t>
      </w:r>
      <w:r w:rsidRPr="0028108F">
        <w:rPr>
          <w:rFonts w:ascii="Arial" w:hAnsi="Arial" w:cs="Arial"/>
          <w:szCs w:val="24"/>
          <w:lang w:val="en-GB"/>
        </w:rPr>
        <w:t>Finland might require the dissolution of an existing marriage before extending the right to legal gender recognition</w:t>
      </w:r>
      <w:r w:rsidRPr="0028108F">
        <w:rPr>
          <w:rFonts w:ascii="Arial" w:hAnsi="Arial" w:cs="Arial"/>
          <w:bCs/>
          <w:szCs w:val="24"/>
          <w:lang w:val="en-GB"/>
        </w:rPr>
        <w:t xml:space="preserve">, </w:t>
      </w:r>
      <w:r w:rsidR="009467A9" w:rsidRPr="0028108F">
        <w:rPr>
          <w:rFonts w:ascii="Arial" w:hAnsi="Arial" w:cs="Arial"/>
          <w:bCs/>
          <w:szCs w:val="24"/>
          <w:lang w:val="en-GB"/>
        </w:rPr>
        <w:t xml:space="preserve">Dr </w:t>
      </w:r>
      <w:r w:rsidRPr="0028108F">
        <w:rPr>
          <w:rFonts w:ascii="Arial" w:hAnsi="Arial" w:cs="Arial"/>
          <w:bCs/>
          <w:szCs w:val="24"/>
          <w:lang w:val="en-GB"/>
        </w:rPr>
        <w:t>Scherpe argued that:</w:t>
      </w:r>
      <w:r w:rsidRPr="00181CF2">
        <w:rPr>
          <w:rStyle w:val="FootnoteReference"/>
          <w:rFonts w:ascii="Arial" w:hAnsi="Arial" w:cs="Arial"/>
          <w:lang w:val="en-GB"/>
        </w:rPr>
        <w:footnoteReference w:id="770"/>
      </w:r>
      <w:r w:rsidRPr="00181CF2">
        <w:rPr>
          <w:rFonts w:ascii="Arial" w:hAnsi="Arial" w:cs="Arial"/>
          <w:bCs/>
          <w:szCs w:val="24"/>
          <w:lang w:val="en-GB"/>
        </w:rPr>
        <w:t xml:space="preserve"> </w:t>
      </w:r>
    </w:p>
    <w:p w:rsidR="00E773F6" w:rsidRPr="0028108F" w:rsidRDefault="00E773F6" w:rsidP="00961014">
      <w:pPr>
        <w:pStyle w:val="ListParagraph"/>
        <w:tabs>
          <w:tab w:val="left" w:pos="851"/>
        </w:tabs>
        <w:adjustRightInd w:val="0"/>
        <w:snapToGrid w:val="0"/>
        <w:ind w:leftChars="0" w:left="840"/>
        <w:jc w:val="both"/>
        <w:rPr>
          <w:rFonts w:ascii="Arial" w:hAnsi="Arial" w:cs="Arial"/>
          <w:i/>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“Hämäläinen v Finland…merely says that currently the Finnish law is within the margin of appreciation afforded to Contracting States.  But as the development leading up the Goodwin decision has shown, this may change over time.  In addition, in Finland there are (almost) equivalent rights available for registered partners, so the decision may well have been different had that not been the case.”</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August 2014, the </w:t>
      </w:r>
      <w:r w:rsidR="00046A5D" w:rsidRPr="0028108F">
        <w:rPr>
          <w:rFonts w:ascii="Arial" w:hAnsi="Arial" w:cs="Arial"/>
          <w:szCs w:val="24"/>
          <w:lang w:val="en-GB"/>
        </w:rPr>
        <w:t>United Nations</w:t>
      </w:r>
      <w:r w:rsidRPr="0028108F">
        <w:rPr>
          <w:rFonts w:ascii="Arial" w:hAnsi="Arial" w:cs="Arial"/>
          <w:szCs w:val="24"/>
          <w:lang w:val="en-GB"/>
        </w:rPr>
        <w:t xml:space="preserve"> Human Rights Committee expressed concern about the new Gender Recognition Bill of Ireland approved by the Cabinet in June 2014</w:t>
      </w:r>
      <w:r w:rsidR="00411EF1" w:rsidRPr="0028108F">
        <w:rPr>
          <w:rFonts w:ascii="Arial" w:hAnsi="Arial" w:cs="Arial"/>
          <w:szCs w:val="24"/>
          <w:lang w:val="en-GB"/>
        </w:rPr>
        <w:t>,</w:t>
      </w:r>
      <w:r w:rsidRPr="0028108F">
        <w:rPr>
          <w:rFonts w:ascii="Arial" w:hAnsi="Arial" w:cs="Arial"/>
          <w:szCs w:val="24"/>
          <w:lang w:val="en-GB"/>
        </w:rPr>
        <w:t xml:space="preserve"> which retained the requirement for married transgender persons to dissolve the existing marriage or civil partnership </w:t>
      </w:r>
      <w:r w:rsidR="00411EF1" w:rsidRPr="0028108F">
        <w:rPr>
          <w:rFonts w:ascii="Arial" w:hAnsi="Arial" w:cs="Arial"/>
          <w:szCs w:val="24"/>
          <w:lang w:val="en-GB"/>
        </w:rPr>
        <w:t xml:space="preserve">in order </w:t>
      </w:r>
      <w:r w:rsidRPr="0028108F">
        <w:rPr>
          <w:rFonts w:ascii="Arial" w:hAnsi="Arial" w:cs="Arial"/>
          <w:szCs w:val="24"/>
          <w:lang w:val="en-GB"/>
        </w:rPr>
        <w:t>to have their preferred gender formally recognised.  The Committee recommended that Ireland should ensure that “</w:t>
      </w:r>
      <w:r w:rsidRPr="0028108F">
        <w:rPr>
          <w:rFonts w:ascii="Arial" w:hAnsi="Arial" w:cs="Arial"/>
          <w:i/>
          <w:szCs w:val="24"/>
          <w:lang w:val="en-GB"/>
        </w:rPr>
        <w:t>transgender persons and representatives of transgender organizations are effectively consulted in the finalization of the Gender Recognition Bill so as to ensure that their rights are fully guaranteed, including the right to legal recognition of gender without the requirement of dissolution of marriage or civil partnership.</w:t>
      </w:r>
      <w:r w:rsidRPr="0028108F">
        <w:rPr>
          <w:rFonts w:ascii="Arial" w:hAnsi="Arial" w:cs="Arial"/>
          <w:szCs w:val="24"/>
          <w:lang w:val="en-GB"/>
        </w:rPr>
        <w:t>”</w:t>
      </w:r>
      <w:r w:rsidRPr="00181CF2">
        <w:rPr>
          <w:rFonts w:ascii="Arial" w:hAnsi="Arial" w:cs="Arial"/>
          <w:vertAlign w:val="superscript"/>
          <w:lang w:val="en-GB"/>
        </w:rPr>
        <w:footnoteReference w:id="771"/>
      </w:r>
      <w:r w:rsidRPr="00181CF2">
        <w:rPr>
          <w:rFonts w:ascii="Arial" w:hAnsi="Arial" w:cs="Arial"/>
          <w:szCs w:val="24"/>
          <w:lang w:val="en-GB"/>
        </w:rPr>
        <w:t xml:space="preserve">  </w:t>
      </w:r>
      <w:r w:rsidR="008553C9">
        <w:rPr>
          <w:rFonts w:ascii="Arial" w:hAnsi="Arial" w:cs="Arial" w:hint="eastAsia"/>
          <w:szCs w:val="24"/>
          <w:lang w:val="en-GB"/>
        </w:rPr>
        <w:t>The said dissolution requirement was then abolished after the passage of the Marriage Act 2015.</w:t>
      </w:r>
    </w:p>
    <w:p w:rsidR="00E773F6" w:rsidRPr="00C57CE1"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181CF2"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w:t>
      </w:r>
      <w:r w:rsidR="008553C9">
        <w:rPr>
          <w:rFonts w:ascii="Arial" w:hAnsi="Arial" w:cs="Arial" w:hint="eastAsia"/>
          <w:szCs w:val="24"/>
          <w:lang w:val="en-GB"/>
        </w:rPr>
        <w:t xml:space="preserve">above </w:t>
      </w:r>
      <w:r w:rsidR="00463412" w:rsidRPr="0028108F">
        <w:rPr>
          <w:rFonts w:ascii="Arial" w:hAnsi="Arial" w:cs="Arial"/>
          <w:szCs w:val="24"/>
          <w:lang w:val="en-GB"/>
        </w:rPr>
        <w:t xml:space="preserve">view of the </w:t>
      </w:r>
      <w:r w:rsidRPr="0028108F">
        <w:rPr>
          <w:rFonts w:ascii="Arial" w:hAnsi="Arial" w:cs="Arial"/>
          <w:szCs w:val="24"/>
          <w:lang w:val="en-GB"/>
        </w:rPr>
        <w:t xml:space="preserve">Human Rights Committee is in line with that of the Council of Europe Commissioner for Human Rights.  The Commissioner noted that since same-sex marriage is not </w:t>
      </w:r>
      <w:r w:rsidR="00024F6C" w:rsidRPr="0028108F">
        <w:rPr>
          <w:rFonts w:ascii="Arial" w:hAnsi="Arial" w:cs="Arial"/>
          <w:szCs w:val="24"/>
          <w:lang w:val="en-GB"/>
        </w:rPr>
        <w:t xml:space="preserve">legalised </w:t>
      </w:r>
      <w:r w:rsidRPr="0028108F">
        <w:rPr>
          <w:rFonts w:ascii="Arial" w:hAnsi="Arial" w:cs="Arial"/>
          <w:szCs w:val="24"/>
          <w:lang w:val="en-GB"/>
        </w:rPr>
        <w:t>in many member States of the Council of Europe, married transgender persons may find themselves forced to divorce prior to their new gender being officially recognised.  In numerous cases, it is argued that forced divorce is against the explicit will of the married couple, who wish to remain a legally recognised family unit, especially if they have children in their care.  The Commissioner also observed that forced divorce can lead to hardship as in the case where both spouses wished to remain married so that the non-transsexual male partner would not loose custody of the child and could continue to receive state benefits in addition to his part-time work, in order to support his disabled, and now transsexual, spouse in providing care for the joint child.</w:t>
      </w:r>
      <w:r w:rsidRPr="00181CF2">
        <w:rPr>
          <w:rFonts w:ascii="Arial" w:hAnsi="Arial" w:cs="Arial"/>
          <w:vertAlign w:val="superscript"/>
          <w:lang w:val="en-GB"/>
        </w:rPr>
        <w:footnoteReference w:id="772"/>
      </w:r>
      <w:r w:rsidRPr="00181CF2">
        <w:rPr>
          <w:rFonts w:ascii="Arial" w:hAnsi="Arial" w:cs="Arial"/>
          <w:szCs w:val="24"/>
          <w:lang w:val="en-GB"/>
        </w:rPr>
        <w:t xml:space="preserve">  In the Com</w:t>
      </w:r>
      <w:r w:rsidRPr="00C57CE1">
        <w:rPr>
          <w:rFonts w:ascii="Arial" w:hAnsi="Arial" w:cs="Arial"/>
          <w:szCs w:val="24"/>
          <w:lang w:val="en-GB"/>
        </w:rPr>
        <w:t>missioner’s view, divorce should not be a necessary condition for gender recognition as it can have a disproportionate effect on the right to family life.</w:t>
      </w:r>
      <w:r w:rsidRPr="00181CF2">
        <w:rPr>
          <w:rFonts w:ascii="Arial" w:hAnsi="Arial" w:cs="Arial"/>
          <w:vertAlign w:val="superscript"/>
          <w:lang w:val="en-GB"/>
        </w:rPr>
        <w:footnoteReference w:id="773"/>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C57CE1" w:rsidRDefault="002842E8"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With regard to the argument that a married individual’s gender recognition would result in same-sex marriage, </w:t>
      </w:r>
      <w:r w:rsidR="00241841">
        <w:rPr>
          <w:rFonts w:ascii="Arial" w:hAnsi="Arial" w:cs="Arial"/>
          <w:szCs w:val="24"/>
          <w:lang w:val="en-GB"/>
        </w:rPr>
        <w:t xml:space="preserve">Dr </w:t>
      </w:r>
      <w:r w:rsidR="00E773F6" w:rsidRPr="0028108F">
        <w:rPr>
          <w:rFonts w:ascii="Arial" w:hAnsi="Arial" w:cs="Arial"/>
          <w:szCs w:val="24"/>
          <w:lang w:val="en-GB"/>
        </w:rPr>
        <w:t xml:space="preserve">Athena Liu </w:t>
      </w:r>
      <w:r w:rsidRPr="0028108F">
        <w:rPr>
          <w:rFonts w:ascii="Arial" w:hAnsi="Arial" w:cs="Arial"/>
          <w:szCs w:val="24"/>
          <w:lang w:val="en-GB"/>
        </w:rPr>
        <w:t>commented</w:t>
      </w:r>
      <w:r w:rsidR="00E773F6" w:rsidRPr="0028108F">
        <w:rPr>
          <w:rFonts w:ascii="Arial" w:hAnsi="Arial" w:cs="Arial"/>
          <w:szCs w:val="24"/>
          <w:lang w:val="en-GB"/>
        </w:rPr>
        <w:t>:</w:t>
      </w:r>
      <w:r w:rsidR="00E773F6" w:rsidRPr="00181CF2">
        <w:rPr>
          <w:rFonts w:ascii="Arial" w:hAnsi="Arial" w:cs="Arial"/>
          <w:vertAlign w:val="superscript"/>
          <w:lang w:val="en-GB"/>
        </w:rPr>
        <w:footnoteReference w:id="774"/>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E773F6">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“Although a married individual’s gender recognition results in the parties (in a marital relationship) being the same gender, arguably this is different from permitting same-sex marriage.  This is so because the debate concerning same-sex marriage has always been about whether persons of the same-sex at the time of marriage should be permitted to enter into marriage.  Further, there may not be a strong enough case for refusing gender recognition to those who are married when such a refusal may be challenged on the basis that it creates a conflict between a person’s right to family life and the right to establish one’s sexual identity. …</w:t>
      </w:r>
    </w:p>
    <w:p w:rsidR="00E773F6" w:rsidRPr="0028108F" w:rsidRDefault="00E773F6" w:rsidP="00E773F6">
      <w:pPr>
        <w:pStyle w:val="ListParagraph"/>
        <w:tabs>
          <w:tab w:val="left" w:pos="851"/>
        </w:tabs>
        <w:adjustRightInd w:val="0"/>
        <w:snapToGrid w:val="0"/>
        <w:ind w:leftChars="0" w:left="1418"/>
        <w:jc w:val="both"/>
        <w:rPr>
          <w:rFonts w:ascii="Arial" w:hAnsi="Arial" w:cs="Arial"/>
          <w:i/>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Hong Kong currently relies on the law in the </w:t>
      </w:r>
      <w:r w:rsidR="00241841">
        <w:rPr>
          <w:rFonts w:ascii="Arial" w:hAnsi="Arial" w:cs="Arial"/>
          <w:i/>
          <w:color w:val="000000" w:themeColor="text1"/>
          <w:szCs w:val="24"/>
          <w:lang w:val="en-GB"/>
        </w:rPr>
        <w:t>[Registration of Persons Ordinance]</w:t>
      </w:r>
      <w:r w:rsidRPr="0028108F">
        <w:rPr>
          <w:rFonts w:ascii="Arial" w:hAnsi="Arial" w:cs="Arial"/>
          <w:i/>
          <w:color w:val="000000" w:themeColor="text1"/>
          <w:szCs w:val="24"/>
          <w:lang w:val="en-GB"/>
        </w:rPr>
        <w:t xml:space="preserve"> to recognise a person’s acquired gender.  There is no reason why it should not continue to do so.  It is unnecessary to impose ‘being unmarried’ as a precondition to obtaining a replacement identity card.  A de facto same-sex marriage (small in number as they are) need not be a serious concern to law reform towards gender recognition.”  </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040EFE" w:rsidRPr="0028108F" w:rsidRDefault="00040EFE"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2842E8" w:rsidRPr="0028108F" w:rsidRDefault="002842E8" w:rsidP="0028108F">
      <w:pPr>
        <w:jc w:val="both"/>
        <w:rPr>
          <w:rFonts w:ascii="Arial" w:hAnsi="Arial" w:cs="Arial"/>
          <w:b/>
          <w:sz w:val="28"/>
          <w:szCs w:val="28"/>
          <w:lang w:val="en-GB"/>
        </w:rPr>
      </w:pPr>
      <w:r w:rsidRPr="0028108F">
        <w:rPr>
          <w:rFonts w:ascii="Arial" w:hAnsi="Arial" w:cs="Arial"/>
          <w:b/>
          <w:sz w:val="28"/>
          <w:szCs w:val="28"/>
          <w:lang w:val="en-GB"/>
        </w:rPr>
        <w:t>Issue for consultation</w:t>
      </w:r>
      <w:r w:rsidR="00040EFE" w:rsidRPr="00181CF2">
        <w:rPr>
          <w:rFonts w:ascii="Arial" w:hAnsi="Arial" w:cs="Arial"/>
          <w:b/>
          <w:sz w:val="28"/>
          <w:szCs w:val="28"/>
          <w:lang w:val="en-GB"/>
        </w:rPr>
        <w:t xml:space="preserve"> related to marital status</w:t>
      </w:r>
    </w:p>
    <w:p w:rsidR="002842E8" w:rsidRPr="0028108F" w:rsidRDefault="002842E8" w:rsidP="002842E8">
      <w:pPr>
        <w:pStyle w:val="ListParagraph"/>
        <w:tabs>
          <w:tab w:val="left" w:pos="1418"/>
          <w:tab w:val="left" w:pos="2552"/>
        </w:tabs>
        <w:adjustRightInd w:val="0"/>
        <w:snapToGrid w:val="0"/>
        <w:ind w:leftChars="0" w:left="0"/>
        <w:jc w:val="both"/>
        <w:rPr>
          <w:rFonts w:ascii="Arial" w:hAnsi="Arial" w:cs="Arial"/>
          <w:szCs w:val="24"/>
          <w:lang w:val="en-GB"/>
        </w:rPr>
      </w:pPr>
    </w:p>
    <w:p w:rsidR="002842E8" w:rsidRPr="0028108F" w:rsidRDefault="002842E8" w:rsidP="002842E8">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040EFE"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040EFE" w:rsidRPr="0028108F">
        <w:rPr>
          <w:rFonts w:ascii="Arial" w:hAnsi="Arial" w:cs="Arial"/>
          <w:b/>
          <w:color w:val="000000" w:themeColor="text1"/>
          <w:szCs w:val="24"/>
          <w:u w:val="single"/>
          <w:lang w:val="en-GB"/>
        </w:rPr>
        <w:t xml:space="preserve"> </w:t>
      </w:r>
      <w:r w:rsidR="00040EFE" w:rsidRPr="008813DE">
        <w:rPr>
          <w:rFonts w:ascii="Arial" w:hAnsi="Arial" w:cs="Arial"/>
          <w:b/>
          <w:color w:val="000000" w:themeColor="text1"/>
          <w:szCs w:val="24"/>
          <w:u w:val="single"/>
          <w:lang w:val="en-GB"/>
        </w:rPr>
        <w:t>9</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040EFE" w:rsidRPr="0028108F">
        <w:rPr>
          <w:rFonts w:ascii="Arial" w:hAnsi="Arial" w:cs="Arial"/>
          <w:b/>
          <w:color w:val="000000" w:themeColor="text1"/>
          <w:szCs w:val="24"/>
          <w:lang w:val="en-GB"/>
        </w:rPr>
        <w:t xml:space="preserve"> the following matters.</w:t>
      </w:r>
    </w:p>
    <w:p w:rsidR="002842E8" w:rsidRPr="0028108F" w:rsidRDefault="002842E8" w:rsidP="002842E8">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842E8" w:rsidRPr="0028108F" w:rsidRDefault="002842E8" w:rsidP="00E7508D">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040EFE"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n the event that a gender recognition scheme is </w:t>
      </w:r>
      <w:r w:rsidR="005E6528">
        <w:rPr>
          <w:rFonts w:ascii="Arial" w:hAnsi="Arial" w:cs="Arial" w:hint="eastAsia"/>
          <w:b/>
          <w:color w:val="000000" w:themeColor="text1"/>
          <w:szCs w:val="24"/>
          <w:lang w:val="en-GB"/>
        </w:rPr>
        <w:t xml:space="preserve">to be </w:t>
      </w:r>
      <w:r w:rsidRPr="0028108F">
        <w:rPr>
          <w:rFonts w:ascii="Arial" w:hAnsi="Arial" w:cs="Arial"/>
          <w:b/>
          <w:color w:val="000000" w:themeColor="text1"/>
          <w:szCs w:val="24"/>
          <w:lang w:val="en-GB"/>
        </w:rPr>
        <w:t xml:space="preserve">introduced in Hong Kong, whether there should be requirements relating to marital status of the applicant, and why.  </w:t>
      </w:r>
    </w:p>
    <w:p w:rsidR="002842E8" w:rsidRPr="0028108F" w:rsidRDefault="002842E8" w:rsidP="002842E8">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842E8" w:rsidRPr="0028108F" w:rsidRDefault="002842E8" w:rsidP="002842E8">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040EFE"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(1) is “yes”,</w:t>
      </w:r>
    </w:p>
    <w:p w:rsidR="002842E8" w:rsidRPr="0028108F" w:rsidRDefault="002842E8" w:rsidP="002842E8">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842E8" w:rsidRPr="0028108F"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2842E8" w:rsidRPr="00181CF2">
        <w:rPr>
          <w:rFonts w:ascii="Arial" w:hAnsi="Arial" w:cs="Arial"/>
          <w:b/>
          <w:color w:val="000000" w:themeColor="text1"/>
          <w:szCs w:val="24"/>
          <w:lang w:val="en-GB"/>
        </w:rPr>
        <w:t>(a)</w:t>
      </w:r>
      <w:r w:rsidRPr="0028108F">
        <w:rPr>
          <w:rFonts w:ascii="Arial" w:hAnsi="Arial" w:cs="Arial"/>
          <w:b/>
          <w:color w:val="000000" w:themeColor="text1"/>
          <w:szCs w:val="24"/>
          <w:lang w:val="en-GB"/>
        </w:rPr>
        <w:tab/>
      </w:r>
      <w:r w:rsidR="002842E8" w:rsidRPr="00181CF2">
        <w:rPr>
          <w:rFonts w:ascii="Arial" w:hAnsi="Arial" w:cs="Arial"/>
          <w:b/>
          <w:color w:val="000000" w:themeColor="text1"/>
          <w:szCs w:val="24"/>
          <w:lang w:val="en-GB"/>
        </w:rPr>
        <w:t>whether an applicant for gender recognition</w:t>
      </w:r>
      <w:r w:rsidR="006D68E2" w:rsidRPr="0028108F">
        <w:rPr>
          <w:rFonts w:ascii="Arial" w:hAnsi="Arial" w:cs="Arial"/>
          <w:b/>
          <w:color w:val="000000" w:themeColor="text1"/>
          <w:szCs w:val="24"/>
          <w:lang w:val="en-GB"/>
        </w:rPr>
        <w:t xml:space="preserve"> </w:t>
      </w:r>
      <w:r w:rsidR="002842E8" w:rsidRPr="00181CF2">
        <w:rPr>
          <w:rFonts w:ascii="Arial" w:hAnsi="Arial" w:cs="Arial"/>
          <w:b/>
          <w:color w:val="000000" w:themeColor="text1"/>
          <w:szCs w:val="24"/>
          <w:lang w:val="en-GB"/>
        </w:rPr>
        <w:t>should be unmarried or divorced before making an application, and why</w:t>
      </w:r>
      <w:r w:rsidR="00D01A1B" w:rsidRPr="0028108F">
        <w:rPr>
          <w:rFonts w:ascii="Arial" w:hAnsi="Arial" w:cs="Arial"/>
          <w:b/>
          <w:color w:val="000000" w:themeColor="text1"/>
          <w:szCs w:val="24"/>
          <w:lang w:val="en-GB"/>
        </w:rPr>
        <w:t>;</w:t>
      </w:r>
      <w:r w:rsidR="002842E8" w:rsidRPr="0028108F">
        <w:rPr>
          <w:rFonts w:ascii="Arial" w:hAnsi="Arial" w:cs="Arial"/>
          <w:b/>
          <w:color w:val="000000" w:themeColor="text1"/>
          <w:szCs w:val="24"/>
          <w:lang w:val="en-GB"/>
        </w:rPr>
        <w:t xml:space="preserve"> </w:t>
      </w:r>
    </w:p>
    <w:p w:rsidR="002842E8" w:rsidRPr="0028108F" w:rsidRDefault="002842E8" w:rsidP="002842E8">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2842E8" w:rsidRPr="0028108F"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2842E8" w:rsidRPr="00181CF2">
        <w:rPr>
          <w:rFonts w:ascii="Arial" w:hAnsi="Arial" w:cs="Arial"/>
          <w:b/>
          <w:color w:val="000000" w:themeColor="text1"/>
          <w:szCs w:val="24"/>
          <w:lang w:val="en-GB"/>
        </w:rPr>
        <w:t>(b)</w:t>
      </w:r>
      <w:r w:rsidR="002842E8" w:rsidRPr="00181CF2">
        <w:rPr>
          <w:rFonts w:ascii="Arial" w:hAnsi="Arial" w:cs="Arial"/>
          <w:b/>
          <w:color w:val="000000" w:themeColor="text1"/>
          <w:szCs w:val="24"/>
          <w:lang w:val="en-GB"/>
        </w:rPr>
        <w:tab/>
        <w:t>if the answer to sub-paragraph</w:t>
      </w:r>
      <w:r w:rsidR="002842E8" w:rsidRPr="00C57CE1">
        <w:rPr>
          <w:rFonts w:ascii="Arial" w:hAnsi="Arial" w:cs="Arial"/>
          <w:b/>
          <w:color w:val="000000" w:themeColor="text1"/>
          <w:szCs w:val="24"/>
          <w:lang w:val="en-GB"/>
        </w:rPr>
        <w:t xml:space="preserve"> (a) is “no”,</w:t>
      </w:r>
      <w:r w:rsidR="006D68E2" w:rsidRPr="0028108F">
        <w:rPr>
          <w:rFonts w:ascii="Arial" w:hAnsi="Arial" w:cs="Arial"/>
          <w:b/>
          <w:color w:val="000000" w:themeColor="text1"/>
          <w:szCs w:val="24"/>
          <w:lang w:val="en-GB"/>
        </w:rPr>
        <w:t xml:space="preserve"> </w:t>
      </w:r>
      <w:r w:rsidR="002842E8" w:rsidRPr="00181CF2">
        <w:rPr>
          <w:rFonts w:ascii="Arial" w:hAnsi="Arial" w:cs="Arial"/>
          <w:b/>
          <w:color w:val="000000" w:themeColor="text1"/>
          <w:szCs w:val="24"/>
          <w:lang w:val="en-GB"/>
        </w:rPr>
        <w:t>whether a married applicant should be granted only an interim gender recognition status, which may be a new basis for dissolution of marriage in Hong Kong, and why</w:t>
      </w:r>
      <w:r w:rsidR="00D01A1B" w:rsidRPr="0028108F">
        <w:rPr>
          <w:rFonts w:ascii="Arial" w:hAnsi="Arial" w:cs="Arial"/>
          <w:b/>
          <w:color w:val="000000" w:themeColor="text1"/>
          <w:szCs w:val="24"/>
          <w:lang w:val="en-GB"/>
        </w:rPr>
        <w:t>;</w:t>
      </w:r>
      <w:r w:rsidR="002842E8" w:rsidRPr="0028108F">
        <w:rPr>
          <w:rFonts w:ascii="Arial" w:hAnsi="Arial" w:cs="Arial"/>
          <w:b/>
          <w:color w:val="000000" w:themeColor="text1"/>
          <w:szCs w:val="24"/>
          <w:lang w:val="en-GB"/>
        </w:rPr>
        <w:t xml:space="preserve">  </w:t>
      </w:r>
    </w:p>
    <w:p w:rsidR="00040EFE" w:rsidRPr="0028108F" w:rsidRDefault="00E7508D" w:rsidP="0028108F">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2842E8" w:rsidRPr="00181CF2">
        <w:rPr>
          <w:rFonts w:ascii="Arial" w:hAnsi="Arial" w:cs="Arial"/>
          <w:b/>
          <w:color w:val="000000" w:themeColor="text1"/>
          <w:szCs w:val="24"/>
          <w:lang w:val="en-GB"/>
        </w:rPr>
        <w:t>(c)</w:t>
      </w:r>
      <w:r w:rsidR="002842E8" w:rsidRPr="00181CF2">
        <w:rPr>
          <w:rFonts w:ascii="Arial" w:hAnsi="Arial" w:cs="Arial"/>
          <w:b/>
          <w:color w:val="000000" w:themeColor="text1"/>
          <w:szCs w:val="24"/>
          <w:lang w:val="en-GB"/>
        </w:rPr>
        <w:tab/>
        <w:t>whether a full gender recognition status should be granted to a marr</w:t>
      </w:r>
      <w:r w:rsidR="002842E8" w:rsidRPr="00C57CE1">
        <w:rPr>
          <w:rFonts w:ascii="Arial" w:hAnsi="Arial" w:cs="Arial"/>
          <w:b/>
          <w:color w:val="000000" w:themeColor="text1"/>
          <w:szCs w:val="24"/>
          <w:lang w:val="en-GB"/>
        </w:rPr>
        <w:t>ied applicant only after his or her marriage has been dissolved or his or her spouse dies, and why.</w:t>
      </w:r>
    </w:p>
    <w:p w:rsidR="002842E8" w:rsidRPr="0028108F" w:rsidRDefault="002842E8"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lang w:val="en-GB"/>
        </w:rPr>
      </w:pPr>
    </w:p>
    <w:p w:rsidR="00E773F6" w:rsidRPr="0028108F" w:rsidRDefault="00E773F6" w:rsidP="00E773F6">
      <w:pPr>
        <w:adjustRightInd w:val="0"/>
        <w:snapToGrid w:val="0"/>
        <w:jc w:val="both"/>
        <w:rPr>
          <w:rFonts w:ascii="Arial" w:hAnsi="Arial" w:cs="Arial"/>
          <w:b/>
          <w:color w:val="000000" w:themeColor="text1"/>
          <w:sz w:val="28"/>
          <w:szCs w:val="28"/>
          <w:lang w:val="en-GB"/>
        </w:rPr>
      </w:pPr>
      <w:r w:rsidRPr="00181CF2">
        <w:rPr>
          <w:rFonts w:ascii="Arial" w:hAnsi="Arial" w:cs="Arial"/>
          <w:b/>
          <w:color w:val="000000" w:themeColor="text1"/>
          <w:sz w:val="28"/>
          <w:szCs w:val="28"/>
          <w:lang w:val="en-GB"/>
        </w:rPr>
        <w:t xml:space="preserve">Requirement </w:t>
      </w:r>
      <w:r w:rsidR="00E850FF" w:rsidRPr="0028108F">
        <w:rPr>
          <w:rFonts w:ascii="Arial" w:hAnsi="Arial" w:cs="Arial"/>
          <w:b/>
          <w:color w:val="000000" w:themeColor="text1"/>
          <w:sz w:val="28"/>
          <w:szCs w:val="28"/>
          <w:lang w:val="en-GB"/>
        </w:rPr>
        <w:t>related to</w:t>
      </w:r>
      <w:r w:rsidRPr="0028108F">
        <w:rPr>
          <w:rFonts w:ascii="Arial" w:hAnsi="Arial" w:cs="Arial"/>
          <w:b/>
          <w:color w:val="000000" w:themeColor="text1"/>
          <w:sz w:val="28"/>
          <w:szCs w:val="28"/>
          <w:lang w:val="en-GB"/>
        </w:rPr>
        <w:t xml:space="preserve"> parental status </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06282B" w:rsidP="00E773F6">
      <w:pPr>
        <w:adjustRightInd w:val="0"/>
        <w:snapToGrid w:val="0"/>
        <w:jc w:val="both"/>
        <w:rPr>
          <w:rFonts w:ascii="Arial" w:hAnsi="Arial" w:cs="Arial"/>
          <w:b/>
          <w:i/>
          <w:color w:val="000000" w:themeColor="text1"/>
          <w:szCs w:val="24"/>
          <w:lang w:val="en-GB"/>
        </w:rPr>
      </w:pPr>
      <w:r w:rsidRPr="0028108F">
        <w:rPr>
          <w:rFonts w:ascii="Arial" w:hAnsi="Arial" w:cs="Arial"/>
          <w:b/>
          <w:i/>
          <w:kern w:val="0"/>
          <w:szCs w:val="24"/>
          <w:lang w:val="en-GB"/>
        </w:rPr>
        <w:t xml:space="preserve">Arguments in support of and against </w:t>
      </w:r>
      <w:r w:rsidR="00E773F6" w:rsidRPr="0028108F">
        <w:rPr>
          <w:rFonts w:ascii="Arial" w:hAnsi="Arial" w:cs="Arial"/>
          <w:b/>
          <w:i/>
          <w:color w:val="000000" w:themeColor="text1"/>
          <w:szCs w:val="24"/>
          <w:lang w:val="en-GB"/>
        </w:rPr>
        <w:t>requiring an applicant to be childless</w:t>
      </w:r>
    </w:p>
    <w:p w:rsidR="00E773F6" w:rsidRPr="0028108F" w:rsidRDefault="00E773F6" w:rsidP="00E773F6">
      <w:pPr>
        <w:adjustRightInd w:val="0"/>
        <w:snapToGrid w:val="0"/>
        <w:jc w:val="both"/>
        <w:rPr>
          <w:rFonts w:ascii="Arial" w:hAnsi="Arial" w:cs="Arial"/>
          <w:b/>
          <w:color w:val="000000" w:themeColor="text1"/>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Style w:val="FootnoteReference"/>
          <w:rFonts w:ascii="Arial" w:hAnsi="Arial" w:cs="Arial"/>
          <w:szCs w:val="24"/>
          <w:vertAlign w:val="baseline"/>
          <w:lang w:val="en-GB"/>
        </w:rPr>
      </w:pPr>
      <w:r w:rsidRPr="0028108F">
        <w:rPr>
          <w:rFonts w:ascii="Arial" w:hAnsi="Arial" w:cs="Arial"/>
          <w:szCs w:val="24"/>
          <w:lang w:val="en-GB"/>
        </w:rPr>
        <w:t xml:space="preserve">A requirement of </w:t>
      </w:r>
      <w:r w:rsidR="00463412" w:rsidRPr="0028108F">
        <w:rPr>
          <w:rFonts w:ascii="Arial" w:hAnsi="Arial" w:cs="Arial"/>
          <w:szCs w:val="24"/>
          <w:lang w:val="en-GB"/>
        </w:rPr>
        <w:t xml:space="preserve">relating to </w:t>
      </w:r>
      <w:r w:rsidRPr="0028108F">
        <w:rPr>
          <w:rFonts w:ascii="Arial" w:hAnsi="Arial" w:cs="Arial"/>
          <w:szCs w:val="24"/>
          <w:lang w:val="en-GB"/>
        </w:rPr>
        <w:t>parental status</w:t>
      </w:r>
      <w:r w:rsidR="00622868" w:rsidRPr="0028108F">
        <w:rPr>
          <w:rFonts w:ascii="Arial" w:hAnsi="Arial" w:cs="Arial"/>
          <w:szCs w:val="24"/>
          <w:lang w:val="en-GB"/>
        </w:rPr>
        <w:t xml:space="preserve"> for gender recognition</w:t>
      </w:r>
      <w:r w:rsidRPr="0028108F">
        <w:rPr>
          <w:rFonts w:ascii="Arial" w:hAnsi="Arial" w:cs="Arial"/>
          <w:szCs w:val="24"/>
          <w:lang w:val="en-GB"/>
        </w:rPr>
        <w:t xml:space="preserve"> is not common </w:t>
      </w:r>
      <w:r w:rsidR="00463412" w:rsidRPr="0028108F">
        <w:rPr>
          <w:rFonts w:ascii="Arial" w:hAnsi="Arial" w:cs="Arial"/>
          <w:szCs w:val="24"/>
          <w:lang w:val="en-GB"/>
        </w:rPr>
        <w:t>around</w:t>
      </w:r>
      <w:r w:rsidRPr="0028108F">
        <w:rPr>
          <w:rFonts w:ascii="Arial" w:hAnsi="Arial" w:cs="Arial"/>
          <w:szCs w:val="24"/>
          <w:lang w:val="en-GB"/>
        </w:rPr>
        <w:t xml:space="preserve"> the globe, and a stricter requirement</w:t>
      </w:r>
      <w:r w:rsidR="00463412" w:rsidRPr="0028108F">
        <w:rPr>
          <w:rFonts w:ascii="Arial" w:hAnsi="Arial" w:cs="Arial"/>
          <w:szCs w:val="24"/>
          <w:lang w:val="en-GB"/>
        </w:rPr>
        <w:t>,</w:t>
      </w:r>
      <w:r w:rsidRPr="0028108F">
        <w:rPr>
          <w:rFonts w:ascii="Arial" w:hAnsi="Arial" w:cs="Arial"/>
          <w:szCs w:val="24"/>
          <w:lang w:val="en-GB"/>
        </w:rPr>
        <w:t xml:space="preserve"> that an applicant must be childless</w:t>
      </w:r>
      <w:r w:rsidR="00463412" w:rsidRPr="0028108F">
        <w:rPr>
          <w:rFonts w:ascii="Arial" w:hAnsi="Arial" w:cs="Arial"/>
          <w:szCs w:val="24"/>
          <w:lang w:val="en-GB"/>
        </w:rPr>
        <w:t>,</w:t>
      </w:r>
      <w:r w:rsidRPr="0028108F">
        <w:rPr>
          <w:rFonts w:ascii="Arial" w:hAnsi="Arial" w:cs="Arial"/>
          <w:szCs w:val="24"/>
          <w:lang w:val="en-GB"/>
        </w:rPr>
        <w:t xml:space="preserve"> is </w:t>
      </w:r>
      <w:r w:rsidRPr="000B4F6C">
        <w:rPr>
          <w:rFonts w:ascii="Arial" w:hAnsi="Arial" w:cs="Arial"/>
          <w:szCs w:val="24"/>
          <w:lang w:val="en-GB"/>
        </w:rPr>
        <w:t xml:space="preserve">rarer.  </w:t>
      </w:r>
      <w:r w:rsidRPr="008813DE">
        <w:rPr>
          <w:rFonts w:ascii="Arial" w:hAnsi="Arial" w:cs="Arial"/>
          <w:szCs w:val="24"/>
          <w:lang w:val="en-GB"/>
        </w:rPr>
        <w:t>Turkey and South Korea are known to be the only countries under our study that stipulate such a prerequisite for gender recognition.</w:t>
      </w:r>
      <w:r w:rsidRPr="000B4F6C">
        <w:rPr>
          <w:rFonts w:ascii="Arial" w:hAnsi="Arial" w:cs="Arial"/>
          <w:szCs w:val="24"/>
          <w:lang w:val="en-GB"/>
        </w:rPr>
        <w:t xml:space="preserve">  In Turkey, the r</w:t>
      </w:r>
      <w:r w:rsidRPr="00181CF2">
        <w:rPr>
          <w:rFonts w:ascii="Arial" w:hAnsi="Arial" w:cs="Arial"/>
          <w:szCs w:val="24"/>
          <w:lang w:val="en-GB"/>
        </w:rPr>
        <w:t>equirement of sterilisation before submitting to surgical intervention (as a prerequisite for gen</w:t>
      </w:r>
      <w:r w:rsidRPr="00C57CE1">
        <w:rPr>
          <w:rFonts w:ascii="Arial" w:hAnsi="Arial" w:cs="Arial"/>
          <w:szCs w:val="24"/>
          <w:lang w:val="en-GB"/>
        </w:rPr>
        <w:t>der recognition) has been increasingly criticised for having constituted an unnecessary physical and mental burden for the transgender community in Turkey.</w:t>
      </w:r>
      <w:r w:rsidRPr="0028108F">
        <w:rPr>
          <w:rStyle w:val="FootnoteReference"/>
          <w:rFonts w:ascii="Arial" w:hAnsi="Arial" w:cs="Arial"/>
          <w:color w:val="000000" w:themeColor="text1"/>
          <w:szCs w:val="24"/>
          <w:lang w:val="en-GB"/>
        </w:rPr>
        <w:footnoteReference w:id="775"/>
      </w:r>
    </w:p>
    <w:p w:rsidR="00E773F6" w:rsidRPr="0028108F" w:rsidRDefault="00E773F6" w:rsidP="00961014">
      <w:pPr>
        <w:pStyle w:val="ListParagraph"/>
        <w:tabs>
          <w:tab w:val="left" w:pos="1418"/>
          <w:tab w:val="left" w:pos="2552"/>
        </w:tabs>
        <w:autoSpaceDE w:val="0"/>
        <w:autoSpaceDN w:val="0"/>
        <w:adjustRightInd w:val="0"/>
        <w:snapToGrid w:val="0"/>
        <w:ind w:leftChars="0" w:left="84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 xml:space="preserve">Japan </w:t>
      </w:r>
      <w:r w:rsidR="0033209C" w:rsidRPr="0028108F">
        <w:rPr>
          <w:rFonts w:ascii="Arial" w:hAnsi="Arial" w:cs="Arial"/>
          <w:color w:val="000000" w:themeColor="text1"/>
          <w:szCs w:val="24"/>
          <w:lang w:val="en-GB"/>
        </w:rPr>
        <w:t>once</w:t>
      </w:r>
      <w:r w:rsidRPr="0028108F">
        <w:rPr>
          <w:rFonts w:ascii="Arial" w:hAnsi="Arial" w:cs="Arial"/>
          <w:color w:val="000000" w:themeColor="text1"/>
          <w:szCs w:val="24"/>
          <w:lang w:val="en-GB"/>
        </w:rPr>
        <w:t xml:space="preserve"> required applicants for gender recognition to be childless, </w:t>
      </w:r>
      <w:r w:rsidR="0033209C" w:rsidRPr="0028108F">
        <w:rPr>
          <w:rFonts w:ascii="Arial" w:hAnsi="Arial" w:cs="Arial"/>
          <w:color w:val="000000" w:themeColor="text1"/>
          <w:szCs w:val="24"/>
          <w:lang w:val="en-GB"/>
        </w:rPr>
        <w:t>and</w:t>
      </w:r>
      <w:r w:rsidRPr="0028108F">
        <w:rPr>
          <w:rFonts w:ascii="Arial" w:hAnsi="Arial" w:cs="Arial"/>
          <w:color w:val="000000" w:themeColor="text1"/>
          <w:szCs w:val="24"/>
          <w:lang w:val="en-GB"/>
        </w:rPr>
        <w:t xml:space="preserve"> this has been amended to </w:t>
      </w:r>
      <w:r w:rsidR="00C9791A" w:rsidRPr="0028108F">
        <w:rPr>
          <w:rFonts w:ascii="Arial" w:hAnsi="Arial" w:cs="Arial"/>
          <w:color w:val="000000" w:themeColor="text1"/>
          <w:szCs w:val="24"/>
          <w:lang w:val="en-GB"/>
        </w:rPr>
        <w:t>“</w:t>
      </w:r>
      <w:r w:rsidRPr="0028108F">
        <w:rPr>
          <w:rFonts w:ascii="Arial" w:hAnsi="Arial" w:cs="Arial"/>
          <w:i/>
          <w:color w:val="000000" w:themeColor="text1"/>
          <w:szCs w:val="24"/>
          <w:lang w:val="en-GB"/>
        </w:rPr>
        <w:t>absence of minor children</w:t>
      </w:r>
      <w:r w:rsidR="00C9791A" w:rsidRPr="00181CF2">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D01A1B"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In relation to the previous </w:t>
      </w:r>
      <w:r w:rsidR="0033209C" w:rsidRPr="0028108F">
        <w:rPr>
          <w:rFonts w:ascii="Arial" w:hAnsi="Arial" w:cs="Arial"/>
          <w:color w:val="000000" w:themeColor="text1"/>
          <w:szCs w:val="24"/>
          <w:lang w:val="en-GB"/>
        </w:rPr>
        <w:t>“</w:t>
      </w:r>
      <w:r w:rsidR="0033209C" w:rsidRPr="0028108F">
        <w:rPr>
          <w:rFonts w:ascii="Arial" w:hAnsi="Arial" w:cs="Arial"/>
          <w:i/>
          <w:color w:val="000000" w:themeColor="text1"/>
          <w:szCs w:val="24"/>
          <w:lang w:val="en-GB"/>
        </w:rPr>
        <w:t>childless</w:t>
      </w:r>
      <w:r w:rsidR="0033209C" w:rsidRPr="00181CF2">
        <w:rPr>
          <w:rFonts w:ascii="Arial" w:hAnsi="Arial" w:cs="Arial"/>
          <w:color w:val="000000" w:themeColor="text1"/>
          <w:szCs w:val="24"/>
          <w:lang w:val="en-GB"/>
        </w:rPr>
        <w:t xml:space="preserve">” </w:t>
      </w:r>
      <w:r w:rsidRPr="00C57CE1">
        <w:rPr>
          <w:rFonts w:ascii="Arial" w:hAnsi="Arial" w:cs="Arial"/>
          <w:color w:val="000000" w:themeColor="text1"/>
          <w:szCs w:val="24"/>
          <w:lang w:val="en-GB"/>
        </w:rPr>
        <w:t xml:space="preserve">requirement, the legislators </w:t>
      </w:r>
      <w:r w:rsidR="00D01A1B" w:rsidRPr="0028108F">
        <w:rPr>
          <w:rFonts w:ascii="Arial" w:hAnsi="Arial" w:cs="Arial"/>
          <w:color w:val="000000" w:themeColor="text1"/>
          <w:szCs w:val="24"/>
          <w:lang w:val="en-GB"/>
        </w:rPr>
        <w:t xml:space="preserve">had </w:t>
      </w:r>
      <w:r w:rsidRPr="0028108F">
        <w:rPr>
          <w:rFonts w:ascii="Arial" w:hAnsi="Arial" w:cs="Arial"/>
          <w:color w:val="000000" w:themeColor="text1"/>
          <w:szCs w:val="24"/>
          <w:lang w:val="en-GB"/>
        </w:rPr>
        <w:t xml:space="preserve">sought to avoid disturbing the family order and contravening the best interests of the child, </w:t>
      </w:r>
      <w:r w:rsidR="00D01A1B" w:rsidRPr="0028108F">
        <w:rPr>
          <w:rFonts w:ascii="Arial" w:hAnsi="Arial" w:cs="Arial"/>
          <w:color w:val="000000" w:themeColor="text1"/>
          <w:szCs w:val="24"/>
          <w:lang w:val="en-GB"/>
        </w:rPr>
        <w:t>because</w:t>
      </w:r>
      <w:r w:rsidRPr="0028108F">
        <w:rPr>
          <w:rFonts w:ascii="Arial" w:hAnsi="Arial" w:cs="Arial"/>
          <w:color w:val="000000" w:themeColor="text1"/>
          <w:szCs w:val="24"/>
          <w:lang w:val="en-GB"/>
        </w:rPr>
        <w:t xml:space="preserve"> </w:t>
      </w:r>
      <w:r w:rsidR="00D01A1B" w:rsidRPr="0028108F">
        <w:rPr>
          <w:rFonts w:ascii="Arial" w:hAnsi="Arial" w:cs="Arial"/>
          <w:color w:val="000000" w:themeColor="text1"/>
          <w:szCs w:val="24"/>
          <w:lang w:val="en-GB"/>
        </w:rPr>
        <w:t xml:space="preserve">it was considered that </w:t>
      </w:r>
      <w:r w:rsidRPr="0028108F">
        <w:rPr>
          <w:rFonts w:ascii="Arial" w:hAnsi="Arial" w:cs="Arial"/>
          <w:color w:val="000000" w:themeColor="text1"/>
          <w:szCs w:val="24"/>
          <w:lang w:val="en-GB"/>
        </w:rPr>
        <w:t xml:space="preserve">having a father or mother who has obtained recognition of </w:t>
      </w:r>
      <w:r w:rsidR="00D01A1B" w:rsidRPr="0028108F">
        <w:rPr>
          <w:rFonts w:ascii="Arial" w:hAnsi="Arial" w:cs="Arial"/>
          <w:color w:val="000000" w:themeColor="text1"/>
          <w:szCs w:val="24"/>
          <w:lang w:val="en-GB"/>
        </w:rPr>
        <w:t xml:space="preserve">their </w:t>
      </w:r>
      <w:r w:rsidRPr="0028108F">
        <w:rPr>
          <w:rFonts w:ascii="Arial" w:hAnsi="Arial" w:cs="Arial"/>
          <w:color w:val="000000" w:themeColor="text1"/>
          <w:szCs w:val="24"/>
          <w:lang w:val="en-GB"/>
        </w:rPr>
        <w:t xml:space="preserve">preferred gender may, arguably, </w:t>
      </w:r>
      <w:r w:rsidR="00D01A1B" w:rsidRPr="0028108F">
        <w:rPr>
          <w:rFonts w:ascii="Arial" w:hAnsi="Arial" w:cs="Arial"/>
          <w:color w:val="000000" w:themeColor="text1"/>
          <w:szCs w:val="24"/>
          <w:lang w:val="en-GB"/>
        </w:rPr>
        <w:t>cause</w:t>
      </w:r>
      <w:r w:rsidRPr="0028108F">
        <w:rPr>
          <w:rFonts w:ascii="Arial" w:hAnsi="Arial" w:cs="Arial"/>
          <w:color w:val="000000" w:themeColor="text1"/>
          <w:szCs w:val="24"/>
          <w:lang w:val="en-GB"/>
        </w:rPr>
        <w:t xml:space="preserve"> a psychological burden or anxiety for the child and could harm his or her relationship with the parents.</w:t>
      </w:r>
      <w:r w:rsidRPr="0028108F">
        <w:rPr>
          <w:rFonts w:ascii="Arial" w:hAnsi="Arial" w:cs="Arial"/>
          <w:vertAlign w:val="superscript"/>
          <w:lang w:val="en-GB"/>
        </w:rPr>
        <w:footnoteReference w:id="776"/>
      </w:r>
      <w:r w:rsidRPr="0028108F">
        <w:rPr>
          <w:rFonts w:ascii="Arial" w:hAnsi="Arial" w:cs="Arial"/>
          <w:color w:val="000000" w:themeColor="text1"/>
          <w:szCs w:val="24"/>
          <w:lang w:val="en-GB"/>
        </w:rPr>
        <w:t xml:space="preserve">  The legislators considered that Japan was a society with unique customs, traditions, family models and other specificities which could justify the imposition of childlessness in the national law.</w:t>
      </w:r>
      <w:r w:rsidRPr="0028108F">
        <w:rPr>
          <w:rStyle w:val="FootnoteReference"/>
          <w:rFonts w:ascii="Arial" w:hAnsi="Arial" w:cs="Arial"/>
          <w:color w:val="000000" w:themeColor="text1"/>
          <w:szCs w:val="24"/>
          <w:lang w:val="en-GB"/>
        </w:rPr>
        <w:footnoteReference w:id="777"/>
      </w:r>
      <w:r w:rsidR="00D01A1B" w:rsidRPr="0028108F">
        <w:rPr>
          <w:rFonts w:ascii="Arial" w:hAnsi="Arial" w:cs="Arial"/>
          <w:color w:val="000000" w:themeColor="text1"/>
          <w:szCs w:val="24"/>
          <w:lang w:val="en-GB"/>
        </w:rPr>
        <w:t>)</w:t>
      </w:r>
    </w:p>
    <w:p w:rsidR="00E773F6" w:rsidRPr="0028108F" w:rsidRDefault="00E773F6" w:rsidP="008813DE">
      <w:pPr>
        <w:pStyle w:val="ListParagraph"/>
        <w:tabs>
          <w:tab w:val="left" w:pos="1418"/>
          <w:tab w:val="left" w:pos="2552"/>
        </w:tabs>
        <w:autoSpaceDE w:val="0"/>
        <w:autoSpaceDN w:val="0"/>
        <w:adjustRightInd w:val="0"/>
        <w:snapToGrid w:val="0"/>
        <w:ind w:leftChars="0" w:left="840"/>
        <w:jc w:val="both"/>
        <w:rPr>
          <w:rFonts w:ascii="Arial" w:hAnsi="Arial" w:cs="Arial"/>
          <w:szCs w:val="24"/>
          <w:lang w:val="en-GB"/>
        </w:rPr>
      </w:pPr>
    </w:p>
    <w:p w:rsidR="00E773F6" w:rsidRPr="00181CF2" w:rsidRDefault="0033209C"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T</w:t>
      </w:r>
      <w:r w:rsidR="00E773F6" w:rsidRPr="0028108F">
        <w:rPr>
          <w:rFonts w:ascii="Arial" w:hAnsi="Arial" w:cs="Arial"/>
          <w:color w:val="000000" w:themeColor="text1"/>
          <w:szCs w:val="24"/>
          <w:lang w:val="en-GB"/>
        </w:rPr>
        <w:t>he “</w:t>
      </w:r>
      <w:r w:rsidRPr="00181CF2">
        <w:rPr>
          <w:rFonts w:ascii="Arial" w:hAnsi="Arial" w:cs="Arial"/>
          <w:i/>
          <w:color w:val="000000" w:themeColor="text1"/>
          <w:szCs w:val="24"/>
          <w:lang w:val="en-GB"/>
        </w:rPr>
        <w:t>childless</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requirement</w:t>
      </w:r>
      <w:r w:rsidR="00E773F6" w:rsidRPr="0028108F">
        <w:rPr>
          <w:rFonts w:ascii="Arial" w:hAnsi="Arial" w:cs="Arial"/>
          <w:i/>
          <w:color w:val="000000" w:themeColor="text1"/>
          <w:szCs w:val="24"/>
          <w:lang w:val="en-GB"/>
        </w:rPr>
        <w:t xml:space="preserve"> </w:t>
      </w:r>
      <w:r w:rsidR="00E773F6" w:rsidRPr="0028108F">
        <w:rPr>
          <w:rFonts w:ascii="Arial" w:hAnsi="Arial" w:cs="Arial"/>
          <w:color w:val="000000" w:themeColor="text1"/>
          <w:szCs w:val="24"/>
          <w:lang w:val="en-GB"/>
        </w:rPr>
        <w:t xml:space="preserve">had </w:t>
      </w:r>
      <w:r w:rsidR="00E773F6" w:rsidRPr="0028108F">
        <w:rPr>
          <w:rFonts w:ascii="Arial" w:hAnsi="Arial" w:cs="Arial"/>
          <w:szCs w:val="24"/>
          <w:lang w:val="en-GB"/>
        </w:rPr>
        <w:t>been</w:t>
      </w:r>
      <w:r w:rsidR="00E773F6" w:rsidRPr="0028108F">
        <w:rPr>
          <w:rFonts w:ascii="Arial" w:hAnsi="Arial" w:cs="Arial"/>
          <w:color w:val="000000" w:themeColor="text1"/>
          <w:szCs w:val="24"/>
          <w:lang w:val="en-GB"/>
        </w:rPr>
        <w:t xml:space="preserve"> subject to certain criticisms</w:t>
      </w:r>
      <w:r w:rsidR="00C9791A"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w:t>
      </w:r>
      <w:r w:rsidR="00C9791A" w:rsidRPr="0028108F">
        <w:rPr>
          <w:rFonts w:ascii="Arial" w:hAnsi="Arial" w:cs="Arial"/>
          <w:color w:val="000000" w:themeColor="text1"/>
          <w:szCs w:val="24"/>
          <w:lang w:val="en-GB"/>
        </w:rPr>
        <w:t xml:space="preserve"> As </w:t>
      </w:r>
      <w:r w:rsidR="00463412" w:rsidRPr="0028108F">
        <w:rPr>
          <w:rFonts w:ascii="Arial" w:hAnsi="Arial" w:cs="Arial"/>
          <w:color w:val="000000" w:themeColor="text1"/>
          <w:szCs w:val="24"/>
          <w:lang w:val="en-GB"/>
        </w:rPr>
        <w:t>stated</w:t>
      </w:r>
      <w:r w:rsidR="00C9791A" w:rsidRPr="0028108F">
        <w:rPr>
          <w:rFonts w:ascii="Arial" w:hAnsi="Arial" w:cs="Arial"/>
          <w:color w:val="000000" w:themeColor="text1"/>
          <w:szCs w:val="24"/>
          <w:lang w:val="en-GB"/>
        </w:rPr>
        <w:t xml:space="preserve"> by</w:t>
      </w:r>
      <w:r w:rsidR="00E773F6" w:rsidRPr="0028108F">
        <w:rPr>
          <w:rFonts w:ascii="Arial" w:hAnsi="Arial" w:cs="Arial"/>
          <w:color w:val="000000" w:themeColor="text1"/>
          <w:szCs w:val="24"/>
          <w:lang w:val="en-GB"/>
        </w:rPr>
        <w:t xml:space="preserve"> </w:t>
      </w:r>
      <w:r w:rsidR="00456A34" w:rsidRPr="0028108F">
        <w:rPr>
          <w:rFonts w:ascii="Arial" w:hAnsi="Arial" w:cs="Arial"/>
          <w:color w:val="0D0D0D" w:themeColor="text1" w:themeTint="F2"/>
          <w:szCs w:val="24"/>
          <w:lang w:val="en-GB"/>
        </w:rPr>
        <w:t xml:space="preserve">Dr </w:t>
      </w:r>
      <w:r w:rsidR="00E773F6" w:rsidRPr="0028108F">
        <w:rPr>
          <w:rFonts w:ascii="Arial" w:hAnsi="Arial" w:cs="Arial"/>
          <w:color w:val="0D0D0D" w:themeColor="text1" w:themeTint="F2"/>
          <w:szCs w:val="24"/>
          <w:lang w:val="en-GB"/>
        </w:rPr>
        <w:t>Taniguchi:</w:t>
      </w:r>
    </w:p>
    <w:p w:rsidR="00E773F6" w:rsidRPr="00C57CE1" w:rsidRDefault="00E773F6" w:rsidP="00E773F6">
      <w:pPr>
        <w:pStyle w:val="ListParagraph"/>
        <w:tabs>
          <w:tab w:val="left" w:pos="1418"/>
          <w:tab w:val="left" w:pos="2552"/>
        </w:tabs>
        <w:autoSpaceDE w:val="0"/>
        <w:autoSpaceDN w:val="0"/>
        <w:adjustRightInd w:val="0"/>
        <w:snapToGrid w:val="0"/>
        <w:ind w:leftChars="0" w:left="0"/>
        <w:jc w:val="both"/>
        <w:rPr>
          <w:rStyle w:val="HeaderChar"/>
          <w:rFonts w:ascii="Arial" w:hAnsi="Arial" w:cs="Arial"/>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“The no child requirement has been subject to specific criticisms, which revolve around two points.  First, an individual with children cannot change the fact that they have children by will or choice…an individual with </w:t>
      </w:r>
      <w:r w:rsidR="0056379B" w:rsidRPr="0028108F">
        <w:rPr>
          <w:rFonts w:ascii="Arial" w:hAnsi="Arial" w:cs="Arial"/>
          <w:i/>
          <w:color w:val="000000" w:themeColor="text1"/>
          <w:szCs w:val="24"/>
          <w:lang w:val="en-GB"/>
        </w:rPr>
        <w:t>GID</w:t>
      </w:r>
      <w:r w:rsidRPr="0028108F">
        <w:rPr>
          <w:rFonts w:ascii="Arial" w:hAnsi="Arial" w:cs="Arial"/>
          <w:i/>
          <w:color w:val="000000" w:themeColor="text1"/>
          <w:szCs w:val="24"/>
          <w:lang w:val="en-GB"/>
        </w:rPr>
        <w:t xml:space="preserve"> faces the option of having to wish their child’s death — something many parents would have a difficult time doing — or wait until their children are no longer minors.  In this case, a child who is aware of her or his parent’s gender struggle may themselves suffer from the guilt of knowing that their existence prevents their parent from changing their legal gender.  The irony of this latter situation is that it is caused by a law that is intended to protect and promote child welfare.</w:t>
      </w:r>
    </w:p>
    <w:p w:rsidR="00E773F6" w:rsidRPr="0028108F" w:rsidRDefault="00E773F6" w:rsidP="00E773F6">
      <w:pPr>
        <w:pStyle w:val="ListParagraph"/>
        <w:tabs>
          <w:tab w:val="left" w:pos="851"/>
        </w:tabs>
        <w:adjustRightInd w:val="0"/>
        <w:snapToGrid w:val="0"/>
        <w:ind w:leftChars="0" w:left="1985"/>
        <w:jc w:val="both"/>
        <w:rPr>
          <w:rFonts w:ascii="Arial" w:hAnsi="Arial" w:cs="Arial"/>
          <w:i/>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Second, critics have criticized the uniform approach to this no child restriction…  The welfare of the child in these cases should be approached on a case-by-case basis.  Some children cannot accept a parent’s gender change or may become confused as their parent transitions from one gender to the other.  On the other hand, some children are able to easily accept their parent’s gender transformation and will be comfortable with the gender transformation.  The degree of acceptance differs in every parent-child relationship and may vary even within a single family.</w:t>
      </w:r>
    </w:p>
    <w:p w:rsidR="00E773F6" w:rsidRPr="0028108F" w:rsidRDefault="00E773F6" w:rsidP="00E773F6">
      <w:pPr>
        <w:pStyle w:val="ListParagraph"/>
        <w:tabs>
          <w:tab w:val="left" w:pos="851"/>
        </w:tabs>
        <w:adjustRightInd w:val="0"/>
        <w:snapToGrid w:val="0"/>
        <w:ind w:leftChars="0" w:left="1985"/>
        <w:jc w:val="both"/>
        <w:rPr>
          <w:rFonts w:ascii="Arial" w:hAnsi="Arial" w:cs="Arial"/>
          <w:i/>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color w:val="000000" w:themeColor="text1"/>
          <w:szCs w:val="24"/>
          <w:lang w:val="en-GB"/>
        </w:rPr>
      </w:pPr>
      <w:r w:rsidRPr="0028108F">
        <w:rPr>
          <w:rFonts w:ascii="Arial" w:hAnsi="Arial" w:cs="Arial"/>
          <w:i/>
          <w:color w:val="000000" w:themeColor="text1"/>
          <w:szCs w:val="24"/>
          <w:lang w:val="en-GB"/>
        </w:rPr>
        <w:t>Moreover, the no child requirement seems to be based on the assumption that having transgender parents is, in and of itself, a negative factor for children.  This assumption represents a kind of revulsion, or transphobia, of transgendered individuals. It additionally seems to reinforce the idea that children should be raised in households in which parents conform to their biological genders, or at least, children should live apart from transgender individuals.  If a child faces bullying at school due to having a transgender parent, the cause should not be seen to be the transgender parent, but rather that society itself is intolerant to gender transition.  In addition, the no child requirement seems to be based on the assumption that a child has two parents, one taking on a female role and the other taking on a male role, and that, that is conducive to child welfare.</w:t>
      </w:r>
    </w:p>
    <w:p w:rsidR="00E773F6" w:rsidRPr="0028108F" w:rsidRDefault="00E773F6" w:rsidP="00E773F6">
      <w:pPr>
        <w:pStyle w:val="ListParagraph"/>
        <w:tabs>
          <w:tab w:val="left" w:pos="851"/>
        </w:tabs>
        <w:adjustRightInd w:val="0"/>
        <w:snapToGrid w:val="0"/>
        <w:ind w:leftChars="0" w:left="1985"/>
        <w:jc w:val="both"/>
        <w:rPr>
          <w:rFonts w:ascii="Arial" w:hAnsi="Arial" w:cs="Arial"/>
          <w:i/>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color w:val="000000" w:themeColor="text1"/>
          <w:szCs w:val="24"/>
          <w:lang w:val="en-GB"/>
        </w:rPr>
      </w:pPr>
      <w:r w:rsidRPr="0028108F">
        <w:rPr>
          <w:rFonts w:ascii="Arial" w:hAnsi="Arial" w:cs="Arial"/>
          <w:i/>
          <w:color w:val="000000" w:themeColor="text1"/>
          <w:szCs w:val="24"/>
          <w:lang w:val="en-GB"/>
        </w:rPr>
        <w:t>Ultimately, the no child requirement ignores the reality of families with transgender members.  Although the law was ostensibly written to recognize the transgendered condition, the no child requirement is based on negative and stereotypical attitudes toward transgender people.  As a result, it does not ease the process of those who wish to legally change their gender, and in some cases, has the same effect on those around them, including the very children this section of the Act is intended to protect.”</w:t>
      </w:r>
      <w:r w:rsidR="00456A34" w:rsidRPr="00006AF9">
        <w:rPr>
          <w:rStyle w:val="FootnoteReference"/>
          <w:rFonts w:ascii="Arial" w:hAnsi="Arial" w:cs="Arial"/>
          <w:color w:val="000000" w:themeColor="text1"/>
          <w:szCs w:val="24"/>
          <w:lang w:val="en-GB"/>
        </w:rPr>
        <w:footnoteReference w:id="778"/>
      </w:r>
    </w:p>
    <w:p w:rsidR="00E773F6" w:rsidRPr="00181CF2" w:rsidRDefault="00E773F6" w:rsidP="00E773F6">
      <w:pPr>
        <w:adjustRightInd w:val="0"/>
        <w:snapToGrid w:val="0"/>
        <w:ind w:leftChars="200" w:left="480"/>
        <w:jc w:val="both"/>
        <w:rPr>
          <w:rFonts w:ascii="Arial" w:hAnsi="Arial" w:cs="Arial"/>
          <w:color w:val="0000FF"/>
          <w:szCs w:val="24"/>
          <w:lang w:val="en-GB"/>
        </w:rPr>
      </w:pPr>
    </w:p>
    <w:p w:rsidR="00E773F6" w:rsidRPr="0028108F" w:rsidRDefault="00456A34"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C57CE1">
        <w:rPr>
          <w:rFonts w:ascii="Arial" w:hAnsi="Arial" w:cs="Arial"/>
          <w:color w:val="000000" w:themeColor="text1"/>
          <w:szCs w:val="24"/>
          <w:lang w:val="en-GB"/>
        </w:rPr>
        <w:t>A r</w:t>
      </w:r>
      <w:r w:rsidR="00E773F6" w:rsidRPr="0028108F">
        <w:rPr>
          <w:rFonts w:ascii="Arial" w:hAnsi="Arial" w:cs="Arial"/>
          <w:color w:val="000000" w:themeColor="text1"/>
          <w:szCs w:val="24"/>
          <w:lang w:val="en-GB"/>
        </w:rPr>
        <w:t xml:space="preserve">equirement of parental status may also have implications on </w:t>
      </w:r>
      <w:r w:rsidR="00E773F6" w:rsidRPr="0028108F">
        <w:rPr>
          <w:rFonts w:ascii="Arial" w:hAnsi="Arial" w:cs="Arial"/>
          <w:szCs w:val="24"/>
          <w:lang w:val="en-GB"/>
        </w:rPr>
        <w:t>a person’s right to respect for private life</w:t>
      </w:r>
      <w:r w:rsidR="00E773F6" w:rsidRPr="0028108F">
        <w:rPr>
          <w:rFonts w:ascii="Arial" w:hAnsi="Arial" w:cs="Arial"/>
          <w:color w:val="000000" w:themeColor="text1"/>
          <w:szCs w:val="24"/>
          <w:lang w:val="en-GB"/>
        </w:rPr>
        <w:t xml:space="preserve">.  </w:t>
      </w:r>
      <w:r w:rsidR="00E773F6" w:rsidRPr="0028108F">
        <w:rPr>
          <w:rFonts w:ascii="Arial" w:hAnsi="Arial" w:cs="Arial"/>
          <w:szCs w:val="24"/>
          <w:lang w:val="en-GB"/>
        </w:rPr>
        <w:t xml:space="preserve">In </w:t>
      </w:r>
      <w:r w:rsidR="00E773F6" w:rsidRPr="0028108F">
        <w:rPr>
          <w:rFonts w:ascii="Arial" w:hAnsi="Arial" w:cs="Arial"/>
          <w:i/>
          <w:szCs w:val="24"/>
          <w:lang w:val="en-GB"/>
        </w:rPr>
        <w:t>PV v Spain</w:t>
      </w:r>
      <w:r w:rsidR="00E773F6" w:rsidRPr="0028108F">
        <w:rPr>
          <w:rFonts w:ascii="Arial" w:hAnsi="Arial" w:cs="Arial"/>
          <w:szCs w:val="24"/>
          <w:lang w:val="en-GB"/>
        </w:rPr>
        <w:t xml:space="preserve"> (2010),</w:t>
      </w:r>
      <w:r w:rsidR="00E773F6" w:rsidRPr="0028108F">
        <w:rPr>
          <w:rFonts w:ascii="Arial" w:hAnsi="Arial" w:cs="Arial"/>
          <w:vertAlign w:val="superscript"/>
          <w:lang w:val="en-GB"/>
        </w:rPr>
        <w:footnoteReference w:id="779"/>
      </w:r>
      <w:r w:rsidR="00E773F6" w:rsidRPr="0028108F">
        <w:rPr>
          <w:rFonts w:ascii="Arial" w:hAnsi="Arial" w:cs="Arial"/>
          <w:szCs w:val="24"/>
          <w:lang w:val="en-GB"/>
        </w:rPr>
        <w:t xml:space="preserve"> the applicant, a transsexual woman, complained about the restrictions ordered by a judge on the arrangements for contact with her son on the ground that her lack of emotional stability following her gender reassignment was liable to upset the child.  The ECtHR considered that barri</w:t>
      </w:r>
      <w:r w:rsidR="00006AF9">
        <w:rPr>
          <w:rFonts w:ascii="Arial" w:hAnsi="Arial" w:cs="Arial"/>
          <w:szCs w:val="24"/>
          <w:lang w:val="en-GB"/>
        </w:rPr>
        <w:t xml:space="preserve">ng a </w:t>
      </w:r>
      <w:r w:rsidR="00E773F6" w:rsidRPr="0028108F">
        <w:rPr>
          <w:rFonts w:ascii="Arial" w:hAnsi="Arial" w:cs="Arial"/>
          <w:szCs w:val="24"/>
          <w:lang w:val="en-GB"/>
        </w:rPr>
        <w:t>legal relationship or guardian or visiting rights because of a parent’s gender identity could amount to discrimination.</w:t>
      </w:r>
      <w:r w:rsidR="00E773F6" w:rsidRPr="0028108F">
        <w:rPr>
          <w:rFonts w:ascii="Arial" w:hAnsi="Arial" w:cs="Arial"/>
          <w:vertAlign w:val="superscript"/>
          <w:lang w:val="en-GB"/>
        </w:rPr>
        <w:footnoteReference w:id="780"/>
      </w:r>
      <w:r w:rsidR="00E773F6" w:rsidRPr="0028108F">
        <w:rPr>
          <w:rFonts w:ascii="Arial" w:hAnsi="Arial" w:cs="Arial"/>
          <w:szCs w:val="24"/>
          <w:lang w:val="en-GB"/>
        </w:rPr>
        <w:t xml:space="preserve">  However, the overriding factor for the restrictions had been the child’s best interests and not the parent’s transsexualism, with the aim of </w:t>
      </w:r>
      <w:r w:rsidR="00C216FB" w:rsidRPr="0028108F">
        <w:rPr>
          <w:rFonts w:ascii="Arial" w:hAnsi="Arial" w:cs="Arial"/>
          <w:szCs w:val="24"/>
          <w:lang w:val="en-GB"/>
        </w:rPr>
        <w:t xml:space="preserve">getting </w:t>
      </w:r>
      <w:r w:rsidR="00E773F6" w:rsidRPr="0028108F">
        <w:rPr>
          <w:rFonts w:ascii="Arial" w:hAnsi="Arial" w:cs="Arial"/>
          <w:szCs w:val="24"/>
          <w:lang w:val="en-GB"/>
        </w:rPr>
        <w:t>the child gradually accustomed to his father’s gender reassignment.  Therefore, it held that the restrictions of the contact arrangements had not resulted from discrimination on the ground of the applicant’s transsexualism and there had been no violation of Article 8 of the ECHR taken in conjunction with Article 14 (right to non-discrimination).</w:t>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 xml:space="preserve">Under the ECHR, States have a discretion to decide whether a transsexual parent would qualify as </w:t>
      </w:r>
      <w:r w:rsidR="00401D3F" w:rsidRPr="0028108F">
        <w:rPr>
          <w:rFonts w:ascii="Arial" w:hAnsi="Arial" w:cs="Arial"/>
          <w:szCs w:val="24"/>
          <w:lang w:val="en-GB"/>
        </w:rPr>
        <w:t xml:space="preserve">a </w:t>
      </w:r>
      <w:r w:rsidRPr="0028108F">
        <w:rPr>
          <w:rFonts w:ascii="Arial" w:hAnsi="Arial" w:cs="Arial"/>
          <w:szCs w:val="24"/>
          <w:lang w:val="en-GB"/>
        </w:rPr>
        <w:t xml:space="preserve">legal parent.  In </w:t>
      </w:r>
      <w:r w:rsidRPr="0028108F">
        <w:rPr>
          <w:rFonts w:ascii="Arial" w:hAnsi="Arial" w:cs="Arial"/>
          <w:i/>
          <w:szCs w:val="24"/>
          <w:lang w:val="en-GB"/>
        </w:rPr>
        <w:t>X, Y and Z v United Kingdom</w:t>
      </w:r>
      <w:r w:rsidRPr="0028108F">
        <w:rPr>
          <w:rFonts w:ascii="Arial" w:hAnsi="Arial" w:cs="Arial"/>
          <w:szCs w:val="24"/>
          <w:lang w:val="en-GB"/>
        </w:rPr>
        <w:t xml:space="preserve"> (1997),</w:t>
      </w:r>
      <w:r w:rsidRPr="0028108F">
        <w:rPr>
          <w:rFonts w:ascii="Arial" w:hAnsi="Arial" w:cs="Arial"/>
          <w:vertAlign w:val="superscript"/>
          <w:lang w:val="en-GB"/>
        </w:rPr>
        <w:footnoteReference w:id="781"/>
      </w:r>
      <w:r w:rsidRPr="0028108F">
        <w:rPr>
          <w:rFonts w:ascii="Arial" w:hAnsi="Arial" w:cs="Arial"/>
          <w:szCs w:val="24"/>
          <w:lang w:val="en-GB"/>
        </w:rPr>
        <w:t xml:space="preserve"> the issue was whether a post-operative female-to-male transsexual </w:t>
      </w:r>
      <w:r w:rsidR="00401D3F" w:rsidRPr="0028108F">
        <w:rPr>
          <w:rFonts w:ascii="Arial" w:hAnsi="Arial" w:cs="Arial"/>
          <w:szCs w:val="24"/>
          <w:lang w:val="en-GB"/>
        </w:rPr>
        <w:t xml:space="preserve">person </w:t>
      </w:r>
      <w:r w:rsidRPr="0028108F">
        <w:rPr>
          <w:rFonts w:ascii="Arial" w:hAnsi="Arial" w:cs="Arial"/>
          <w:szCs w:val="24"/>
          <w:lang w:val="en-GB"/>
        </w:rPr>
        <w:t>should be allowed to register as the father of a child, born to his female partner by means of artificial insemination by donor.</w:t>
      </w:r>
      <w:r w:rsidRPr="0028108F">
        <w:rPr>
          <w:rStyle w:val="FootnoteReference"/>
          <w:rFonts w:ascii="Arial" w:hAnsi="Arial" w:cs="Arial"/>
          <w:lang w:val="en-GB"/>
        </w:rPr>
        <w:footnoteReference w:id="782"/>
      </w:r>
      <w:r w:rsidRPr="0028108F">
        <w:rPr>
          <w:rFonts w:ascii="Arial" w:hAnsi="Arial" w:cs="Arial"/>
          <w:szCs w:val="24"/>
          <w:lang w:val="en-GB"/>
        </w:rPr>
        <w:t xml:space="preserve">  The ECtHR emphasi</w:t>
      </w:r>
      <w:r w:rsidR="00FC797D" w:rsidRPr="0028108F">
        <w:rPr>
          <w:rFonts w:ascii="Arial" w:hAnsi="Arial" w:cs="Arial"/>
          <w:szCs w:val="24"/>
          <w:lang w:val="en-GB"/>
        </w:rPr>
        <w:t>s</w:t>
      </w:r>
      <w:r w:rsidRPr="0028108F">
        <w:rPr>
          <w:rFonts w:ascii="Arial" w:hAnsi="Arial" w:cs="Arial"/>
          <w:szCs w:val="24"/>
          <w:lang w:val="en-GB"/>
        </w:rPr>
        <w:t xml:space="preserve">ed that this case was distinguishable from previous legal gender recognition cases since it mainly concerned the recognition of a family tie with a child.  </w:t>
      </w:r>
      <w:r w:rsidR="00FC797D" w:rsidRPr="0028108F">
        <w:rPr>
          <w:rFonts w:ascii="Arial" w:hAnsi="Arial" w:cs="Arial"/>
          <w:szCs w:val="24"/>
          <w:lang w:val="en-GB"/>
        </w:rPr>
        <w:t>It was held that</w:t>
      </w:r>
      <w:r w:rsidR="00401D3F" w:rsidRPr="0028108F">
        <w:rPr>
          <w:rFonts w:ascii="Arial" w:hAnsi="Arial" w:cs="Arial"/>
          <w:szCs w:val="24"/>
          <w:lang w:val="en-GB"/>
        </w:rPr>
        <w:t>,</w:t>
      </w:r>
      <w:r w:rsidR="00FC797D" w:rsidRPr="0028108F">
        <w:rPr>
          <w:rFonts w:ascii="Arial" w:hAnsi="Arial" w:cs="Arial"/>
          <w:szCs w:val="24"/>
          <w:lang w:val="en-GB"/>
        </w:rPr>
        <w:t xml:space="preserve"> g</w:t>
      </w:r>
      <w:r w:rsidRPr="0028108F">
        <w:rPr>
          <w:rFonts w:ascii="Arial" w:hAnsi="Arial" w:cs="Arial"/>
          <w:szCs w:val="24"/>
          <w:lang w:val="en-GB"/>
        </w:rPr>
        <w:t>iven the lack of consensus in Europe on the granting of parental rights to transsexual persons and filiation to a child conceived by artificial insemination by donor, States should be afforded a wide margin of appreciation and Article 8</w:t>
      </w:r>
      <w:r w:rsidR="00FC797D" w:rsidRPr="0028108F">
        <w:rPr>
          <w:rFonts w:ascii="Arial" w:hAnsi="Arial" w:cs="Arial"/>
          <w:szCs w:val="24"/>
          <w:lang w:val="en-GB"/>
        </w:rPr>
        <w:t xml:space="preserve"> of </w:t>
      </w:r>
      <w:r w:rsidR="00401D3F" w:rsidRPr="0028108F">
        <w:rPr>
          <w:rFonts w:ascii="Arial" w:hAnsi="Arial" w:cs="Arial"/>
          <w:szCs w:val="24"/>
          <w:lang w:val="en-GB"/>
        </w:rPr>
        <w:t xml:space="preserve">the </w:t>
      </w:r>
      <w:r w:rsidR="00FC797D" w:rsidRPr="0028108F">
        <w:rPr>
          <w:rFonts w:ascii="Arial" w:hAnsi="Arial" w:cs="Arial"/>
          <w:szCs w:val="24"/>
          <w:lang w:val="en-GB"/>
        </w:rPr>
        <w:t>ECHR</w:t>
      </w:r>
      <w:r w:rsidR="00FC797D" w:rsidRPr="0028108F">
        <w:rPr>
          <w:rStyle w:val="FootnoteReference"/>
          <w:rFonts w:ascii="Arial" w:hAnsi="Arial" w:cs="Arial"/>
          <w:szCs w:val="24"/>
          <w:lang w:val="en-GB"/>
        </w:rPr>
        <w:footnoteReference w:id="783"/>
      </w:r>
      <w:r w:rsidRPr="0028108F">
        <w:rPr>
          <w:rFonts w:ascii="Arial" w:hAnsi="Arial" w:cs="Arial"/>
          <w:szCs w:val="24"/>
          <w:lang w:val="en-GB"/>
        </w:rPr>
        <w:t xml:space="preserve"> could not, in this context, be taken to imply an obligation for the States to </w:t>
      </w:r>
      <w:r w:rsidR="00FC797D" w:rsidRPr="0028108F">
        <w:rPr>
          <w:rFonts w:ascii="Arial" w:hAnsi="Arial" w:cs="Arial"/>
          <w:szCs w:val="24"/>
          <w:lang w:val="en-GB"/>
        </w:rPr>
        <w:t xml:space="preserve">formally </w:t>
      </w:r>
      <w:r w:rsidRPr="0028108F">
        <w:rPr>
          <w:rFonts w:ascii="Arial" w:hAnsi="Arial" w:cs="Arial"/>
          <w:szCs w:val="24"/>
          <w:lang w:val="en-GB"/>
        </w:rPr>
        <w:t xml:space="preserve">recognise as the father of a child a person who was not the biological father.  </w:t>
      </w:r>
      <w:r w:rsidR="00FC797D" w:rsidRPr="0028108F">
        <w:rPr>
          <w:rFonts w:ascii="Arial" w:hAnsi="Arial" w:cs="Arial"/>
          <w:szCs w:val="24"/>
          <w:lang w:val="en-GB"/>
        </w:rPr>
        <w:t xml:space="preserve">In the </w:t>
      </w:r>
      <w:r w:rsidR="00401D3F" w:rsidRPr="0028108F">
        <w:rPr>
          <w:rFonts w:ascii="Arial" w:hAnsi="Arial" w:cs="Arial"/>
          <w:szCs w:val="24"/>
          <w:lang w:val="en-GB"/>
        </w:rPr>
        <w:t xml:space="preserve">circumstances, </w:t>
      </w:r>
      <w:r w:rsidR="00FC797D" w:rsidRPr="0028108F">
        <w:rPr>
          <w:rFonts w:ascii="Arial" w:hAnsi="Arial" w:cs="Arial"/>
          <w:szCs w:val="24"/>
          <w:lang w:val="en-GB"/>
        </w:rPr>
        <w:t xml:space="preserve">it was held that </w:t>
      </w:r>
      <w:r w:rsidRPr="0028108F">
        <w:rPr>
          <w:rFonts w:ascii="Arial" w:hAnsi="Arial" w:cs="Arial"/>
          <w:szCs w:val="24"/>
          <w:lang w:val="en-GB"/>
        </w:rPr>
        <w:t>there was no violation of Article 8.</w:t>
      </w:r>
    </w:p>
    <w:p w:rsidR="00E773F6" w:rsidRPr="0028108F" w:rsidRDefault="00E773F6"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In</w:t>
      </w:r>
      <w:r w:rsidRPr="0028108F">
        <w:rPr>
          <w:rFonts w:ascii="Arial" w:hAnsi="Arial" w:cs="Arial"/>
          <w:bCs/>
          <w:szCs w:val="24"/>
          <w:lang w:val="en-GB"/>
        </w:rPr>
        <w:t xml:space="preserve"> </w:t>
      </w:r>
      <w:r w:rsidRPr="0028108F">
        <w:rPr>
          <w:rFonts w:ascii="Arial" w:hAnsi="Arial" w:cs="Arial"/>
          <w:i/>
          <w:szCs w:val="24"/>
          <w:lang w:val="en-GB"/>
        </w:rPr>
        <w:t xml:space="preserve">R (on the application of JK) v Registrar General for England and Wales </w:t>
      </w:r>
      <w:r w:rsidRPr="0028108F">
        <w:rPr>
          <w:rFonts w:ascii="Arial" w:hAnsi="Arial" w:cs="Arial"/>
          <w:szCs w:val="24"/>
          <w:lang w:val="en-GB"/>
        </w:rPr>
        <w:t>(2015),</w:t>
      </w:r>
      <w:r w:rsidRPr="00181CF2">
        <w:rPr>
          <w:rFonts w:ascii="Arial" w:hAnsi="Arial" w:cs="Arial"/>
          <w:vertAlign w:val="superscript"/>
          <w:lang w:val="en-GB"/>
        </w:rPr>
        <w:footnoteReference w:id="784"/>
      </w:r>
      <w:r w:rsidRPr="00181CF2">
        <w:rPr>
          <w:rFonts w:ascii="Arial" w:hAnsi="Arial" w:cs="Arial"/>
          <w:szCs w:val="24"/>
          <w:lang w:val="en-GB"/>
        </w:rPr>
        <w:t xml:space="preserve"> the claim</w:t>
      </w:r>
      <w:r w:rsidRPr="00C57CE1">
        <w:rPr>
          <w:rFonts w:ascii="Arial" w:hAnsi="Arial" w:cs="Arial"/>
          <w:szCs w:val="24"/>
          <w:lang w:val="en-GB"/>
        </w:rPr>
        <w:t>ant challenged the requirement in the UK’s birth registration scheme that men who had changed gender from male to female should be listed as the “</w:t>
      </w:r>
      <w:r w:rsidRPr="0028108F">
        <w:rPr>
          <w:rFonts w:ascii="Arial" w:hAnsi="Arial" w:cs="Arial"/>
          <w:i/>
          <w:szCs w:val="24"/>
          <w:lang w:val="en-GB"/>
        </w:rPr>
        <w:t>father</w:t>
      </w:r>
      <w:r w:rsidRPr="00181CF2">
        <w:rPr>
          <w:rFonts w:ascii="Arial" w:hAnsi="Arial" w:cs="Arial"/>
          <w:szCs w:val="24"/>
          <w:lang w:val="en-GB"/>
        </w:rPr>
        <w:t>” on the birth certificates of their biological children.</w:t>
      </w:r>
      <w:r w:rsidRPr="00181CF2">
        <w:rPr>
          <w:rStyle w:val="FootnoteReference"/>
          <w:rFonts w:ascii="Arial" w:hAnsi="Arial" w:cs="Arial"/>
          <w:lang w:val="en-GB"/>
        </w:rPr>
        <w:footnoteReference w:id="785"/>
      </w:r>
      <w:r w:rsidRPr="00181CF2">
        <w:rPr>
          <w:rFonts w:ascii="Arial" w:hAnsi="Arial" w:cs="Arial"/>
          <w:szCs w:val="24"/>
          <w:lang w:val="en-GB"/>
        </w:rPr>
        <w:t xml:space="preserve">  The English High Court decided that Article </w:t>
      </w:r>
      <w:r w:rsidRPr="00C57CE1">
        <w:rPr>
          <w:rFonts w:ascii="Arial" w:hAnsi="Arial" w:cs="Arial"/>
          <w:szCs w:val="24"/>
          <w:lang w:val="en-GB"/>
        </w:rPr>
        <w:t>8</w:t>
      </w:r>
      <w:r w:rsidR="003A44A6" w:rsidRPr="0028108F">
        <w:rPr>
          <w:rFonts w:ascii="Arial" w:hAnsi="Arial" w:cs="Arial"/>
          <w:szCs w:val="24"/>
          <w:lang w:val="en-GB"/>
        </w:rPr>
        <w:t xml:space="preserve"> of </w:t>
      </w:r>
      <w:r w:rsidR="002E4346" w:rsidRPr="0028108F">
        <w:rPr>
          <w:rFonts w:ascii="Arial" w:hAnsi="Arial" w:cs="Arial"/>
          <w:szCs w:val="24"/>
          <w:lang w:val="en-GB"/>
        </w:rPr>
        <w:t xml:space="preserve">the </w:t>
      </w:r>
      <w:r w:rsidR="003A44A6" w:rsidRPr="0028108F">
        <w:rPr>
          <w:rFonts w:ascii="Arial" w:hAnsi="Arial" w:cs="Arial"/>
          <w:szCs w:val="24"/>
          <w:lang w:val="en-GB"/>
        </w:rPr>
        <w:t>ECHR</w:t>
      </w:r>
      <w:r w:rsidRPr="0028108F">
        <w:rPr>
          <w:rFonts w:ascii="Arial" w:hAnsi="Arial" w:cs="Arial"/>
          <w:szCs w:val="24"/>
          <w:lang w:val="en-GB"/>
        </w:rPr>
        <w:t xml:space="preserve"> was engaged</w:t>
      </w:r>
      <w:r w:rsidR="002E4346" w:rsidRPr="0028108F">
        <w:rPr>
          <w:rFonts w:ascii="Arial" w:hAnsi="Arial" w:cs="Arial"/>
          <w:szCs w:val="24"/>
          <w:lang w:val="en-GB"/>
        </w:rPr>
        <w:t>,</w:t>
      </w:r>
      <w:r w:rsidRPr="0028108F">
        <w:rPr>
          <w:rFonts w:ascii="Arial" w:hAnsi="Arial" w:cs="Arial"/>
          <w:szCs w:val="24"/>
          <w:lang w:val="en-GB"/>
        </w:rPr>
        <w:t xml:space="preserve"> as gender identity is an integral part of an individual’s private life and it is a key part of a </w:t>
      </w:r>
      <w:r w:rsidR="002E4346" w:rsidRPr="0028108F">
        <w:rPr>
          <w:rFonts w:ascii="Arial" w:hAnsi="Arial" w:cs="Arial"/>
          <w:szCs w:val="24"/>
          <w:lang w:val="en-GB"/>
        </w:rPr>
        <w:t>M</w:t>
      </w:r>
      <w:r w:rsidRPr="0028108F">
        <w:rPr>
          <w:rFonts w:ascii="Arial" w:hAnsi="Arial" w:cs="Arial"/>
          <w:szCs w:val="24"/>
          <w:lang w:val="en-GB"/>
        </w:rPr>
        <w:t xml:space="preserve">ember State’s obligation to ensure that documentation and certification is reissued to transgender people in their acquired gender.  However, the interference with the Article 8 rights was justified </w:t>
      </w:r>
      <w:r w:rsidR="003A44A6" w:rsidRPr="0028108F">
        <w:rPr>
          <w:rFonts w:ascii="Arial" w:hAnsi="Arial" w:cs="Arial"/>
          <w:szCs w:val="24"/>
          <w:lang w:val="en-GB"/>
        </w:rPr>
        <w:t xml:space="preserve">since </w:t>
      </w:r>
      <w:r w:rsidRPr="0028108F">
        <w:rPr>
          <w:rFonts w:ascii="Arial" w:hAnsi="Arial" w:cs="Arial"/>
          <w:szCs w:val="24"/>
          <w:lang w:val="en-GB"/>
        </w:rPr>
        <w:t>the birth registration scheme pursued the legitimate aims of having an administratively coherent system for the registration of births, and respecting the rights and interests of other people, notably those of the partner and children of the person living in an acquired gender, including a child’s right to know, and have properly recognised, the identity of his or her biological father.  The Court held that the scheme was well within the margin of appreciation of the State, and the State was entitled to conclude that the interference with the Article 8 rights inherent in the scheme was outweighed by the interference with the rights and interests of other individuals and the public interest that would be caused by not having such a restriction.</w:t>
      </w:r>
    </w:p>
    <w:p w:rsidR="00E773F6" w:rsidRPr="0028108F"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28108F" w:rsidRDefault="0006282B" w:rsidP="00E773F6">
      <w:pPr>
        <w:tabs>
          <w:tab w:val="left" w:pos="851"/>
        </w:tabs>
        <w:adjustRightInd w:val="0"/>
        <w:snapToGrid w:val="0"/>
        <w:jc w:val="both"/>
        <w:rPr>
          <w:rFonts w:ascii="Arial" w:hAnsi="Arial" w:cs="Arial"/>
          <w:b/>
          <w:color w:val="0000FF"/>
          <w:szCs w:val="24"/>
          <w:lang w:val="en-GB"/>
        </w:rPr>
      </w:pPr>
      <w:r w:rsidRPr="0028108F">
        <w:rPr>
          <w:rFonts w:ascii="Arial" w:hAnsi="Arial" w:cs="Arial"/>
          <w:b/>
          <w:i/>
          <w:kern w:val="0"/>
          <w:szCs w:val="24"/>
          <w:lang w:val="en-GB"/>
        </w:rPr>
        <w:t xml:space="preserve">Arguments in support of and against </w:t>
      </w:r>
      <w:r w:rsidR="00E773F6" w:rsidRPr="0028108F">
        <w:rPr>
          <w:rFonts w:ascii="Arial" w:hAnsi="Arial" w:cs="Arial"/>
          <w:b/>
          <w:i/>
          <w:color w:val="000000" w:themeColor="text1"/>
          <w:szCs w:val="24"/>
          <w:lang w:val="en-GB"/>
        </w:rPr>
        <w:t>requiring an applicant not to be a father or mother of a child below a certain age limit</w:t>
      </w:r>
    </w:p>
    <w:p w:rsidR="00E773F6" w:rsidRPr="0028108F" w:rsidRDefault="00E773F6" w:rsidP="00E773F6">
      <w:pPr>
        <w:tabs>
          <w:tab w:val="left" w:pos="851"/>
        </w:tabs>
        <w:adjustRightInd w:val="0"/>
        <w:snapToGrid w:val="0"/>
        <w:jc w:val="both"/>
        <w:rPr>
          <w:rFonts w:ascii="Arial" w:hAnsi="Arial" w:cs="Arial"/>
          <w:b/>
          <w:color w:val="0000FF"/>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D0D0D" w:themeColor="text1" w:themeTint="F2"/>
          <w:szCs w:val="24"/>
          <w:lang w:val="en-GB"/>
        </w:rPr>
      </w:pPr>
      <w:r w:rsidRPr="0028108F">
        <w:rPr>
          <w:rFonts w:ascii="Arial" w:hAnsi="Arial" w:cs="Arial"/>
          <w:szCs w:val="24"/>
          <w:lang w:val="en-GB"/>
        </w:rPr>
        <w:t xml:space="preserve">Only </w:t>
      </w:r>
      <w:r w:rsidR="00CD6285" w:rsidRPr="0028108F">
        <w:rPr>
          <w:rFonts w:ascii="Arial" w:hAnsi="Arial" w:cs="Arial"/>
          <w:szCs w:val="24"/>
          <w:lang w:val="en-GB"/>
        </w:rPr>
        <w:t xml:space="preserve">one </w:t>
      </w:r>
      <w:r w:rsidRPr="0028108F">
        <w:rPr>
          <w:rFonts w:ascii="Arial" w:hAnsi="Arial" w:cs="Arial"/>
          <w:szCs w:val="24"/>
          <w:lang w:val="en-GB"/>
        </w:rPr>
        <w:t xml:space="preserve">jurisdiction </w:t>
      </w:r>
      <w:r w:rsidR="00BE17C3" w:rsidRPr="0028108F">
        <w:rPr>
          <w:rFonts w:ascii="Arial" w:hAnsi="Arial" w:cs="Arial"/>
          <w:szCs w:val="24"/>
          <w:lang w:val="en-GB"/>
        </w:rPr>
        <w:t>under our study</w:t>
      </w:r>
      <w:r w:rsidR="002E4346" w:rsidRPr="0028108F">
        <w:rPr>
          <w:rFonts w:ascii="Arial" w:hAnsi="Arial" w:cs="Arial"/>
          <w:szCs w:val="24"/>
          <w:lang w:val="en-GB"/>
        </w:rPr>
        <w:t>,</w:t>
      </w:r>
      <w:r w:rsidR="00BE17C3" w:rsidRPr="0028108F">
        <w:rPr>
          <w:rFonts w:ascii="Arial" w:hAnsi="Arial" w:cs="Arial"/>
          <w:szCs w:val="24"/>
          <w:lang w:val="en-GB"/>
        </w:rPr>
        <w:t xml:space="preserve"> </w:t>
      </w:r>
      <w:r w:rsidR="00CD6285" w:rsidRPr="0028108F">
        <w:rPr>
          <w:rFonts w:ascii="Arial" w:hAnsi="Arial" w:cs="Arial"/>
          <w:szCs w:val="24"/>
          <w:lang w:val="en-GB"/>
        </w:rPr>
        <w:t>ie</w:t>
      </w:r>
      <w:r w:rsidR="006B78C8">
        <w:rPr>
          <w:rFonts w:ascii="Arial" w:hAnsi="Arial" w:cs="Arial" w:hint="eastAsia"/>
          <w:szCs w:val="24"/>
          <w:lang w:val="en-GB"/>
        </w:rPr>
        <w:t>,</w:t>
      </w:r>
      <w:r w:rsidR="00CD6285" w:rsidRPr="0028108F">
        <w:rPr>
          <w:rFonts w:ascii="Arial" w:hAnsi="Arial" w:cs="Arial"/>
          <w:szCs w:val="24"/>
          <w:lang w:val="en-GB"/>
        </w:rPr>
        <w:t xml:space="preserve"> Japan is </w:t>
      </w:r>
      <w:r w:rsidRPr="0028108F">
        <w:rPr>
          <w:rFonts w:ascii="Arial" w:hAnsi="Arial" w:cs="Arial"/>
          <w:szCs w:val="24"/>
          <w:lang w:val="en-GB"/>
        </w:rPr>
        <w:t>currently known to have the requirement that an applicant for gender recognition must not have a child below a certain age limit.</w:t>
      </w:r>
      <w:r w:rsidR="00CD6285" w:rsidRPr="00181CF2">
        <w:rPr>
          <w:rStyle w:val="FootnoteReference"/>
          <w:rFonts w:ascii="Arial" w:hAnsi="Arial" w:cs="Arial"/>
          <w:szCs w:val="24"/>
          <w:lang w:val="en-GB"/>
        </w:rPr>
        <w:footnoteReference w:id="786"/>
      </w:r>
      <w:r w:rsidRPr="00181CF2">
        <w:rPr>
          <w:rFonts w:ascii="Arial" w:hAnsi="Arial" w:cs="Arial"/>
          <w:szCs w:val="24"/>
          <w:lang w:val="en-GB"/>
        </w:rPr>
        <w:t xml:space="preserve">  </w:t>
      </w:r>
      <w:r w:rsidRPr="0028108F">
        <w:rPr>
          <w:rFonts w:ascii="Arial" w:hAnsi="Arial" w:cs="Arial"/>
          <w:szCs w:val="24"/>
          <w:lang w:val="en-GB"/>
        </w:rPr>
        <w:t>In Japan, applicants</w:t>
      </w:r>
      <w:r w:rsidRPr="0028108F">
        <w:rPr>
          <w:rFonts w:ascii="Arial" w:hAnsi="Arial" w:cs="Arial"/>
          <w:color w:val="000000" w:themeColor="text1"/>
          <w:szCs w:val="24"/>
          <w:lang w:val="en-GB"/>
        </w:rPr>
        <w:t xml:space="preserve"> for gender recognition must not have a child </w:t>
      </w:r>
      <w:r w:rsidRPr="0028108F">
        <w:rPr>
          <w:rFonts w:ascii="Arial" w:hAnsi="Arial" w:cs="Arial"/>
          <w:szCs w:val="24"/>
          <w:lang w:val="en-GB"/>
        </w:rPr>
        <w:t xml:space="preserve">aged 19 years or younger (see paragraph </w:t>
      </w:r>
      <w:r w:rsidR="006F76B8" w:rsidRPr="008813DE">
        <w:rPr>
          <w:rFonts w:ascii="Arial" w:hAnsi="Arial" w:cs="Arial"/>
          <w:szCs w:val="24"/>
          <w:lang w:val="en-GB"/>
        </w:rPr>
        <w:t>4</w:t>
      </w:r>
      <w:r w:rsidRPr="008813DE">
        <w:rPr>
          <w:rFonts w:ascii="Arial" w:hAnsi="Arial" w:cs="Arial"/>
          <w:szCs w:val="24"/>
          <w:lang w:val="en-GB"/>
        </w:rPr>
        <w:t>.</w:t>
      </w:r>
      <w:r w:rsidR="006F76B8" w:rsidRPr="006F76B8">
        <w:rPr>
          <w:rFonts w:ascii="Arial" w:hAnsi="Arial" w:cs="Arial"/>
          <w:szCs w:val="24"/>
          <w:lang w:val="en-GB"/>
        </w:rPr>
        <w:t>24</w:t>
      </w:r>
      <w:r w:rsidRPr="0028108F">
        <w:rPr>
          <w:rFonts w:ascii="Arial" w:hAnsi="Arial" w:cs="Arial"/>
          <w:szCs w:val="24"/>
          <w:lang w:val="en-GB"/>
        </w:rPr>
        <w:t xml:space="preserve"> of Chapter </w:t>
      </w:r>
      <w:r w:rsidR="006F76B8">
        <w:rPr>
          <w:rFonts w:ascii="Arial" w:hAnsi="Arial" w:cs="Arial"/>
          <w:szCs w:val="24"/>
          <w:lang w:val="en-GB"/>
        </w:rPr>
        <w:t>4</w:t>
      </w:r>
      <w:r w:rsidRPr="0028108F">
        <w:rPr>
          <w:rFonts w:ascii="Arial" w:hAnsi="Arial" w:cs="Arial"/>
          <w:szCs w:val="24"/>
          <w:lang w:val="en-GB"/>
        </w:rPr>
        <w:t xml:space="preserve"> of this paper).  The previous requirement</w:t>
      </w:r>
      <w:r w:rsidR="002E4346" w:rsidRPr="0028108F">
        <w:rPr>
          <w:rFonts w:ascii="Arial" w:hAnsi="Arial" w:cs="Arial"/>
          <w:szCs w:val="24"/>
          <w:lang w:val="en-GB"/>
        </w:rPr>
        <w:t>,</w:t>
      </w:r>
      <w:r w:rsidRPr="0028108F">
        <w:rPr>
          <w:rFonts w:ascii="Arial" w:hAnsi="Arial" w:cs="Arial"/>
          <w:szCs w:val="24"/>
          <w:lang w:val="en-GB"/>
        </w:rPr>
        <w:t xml:space="preserve"> </w:t>
      </w:r>
      <w:r w:rsidR="002E4346" w:rsidRPr="0028108F">
        <w:rPr>
          <w:rFonts w:ascii="Arial" w:hAnsi="Arial" w:cs="Arial"/>
          <w:szCs w:val="24"/>
          <w:lang w:val="en-GB"/>
        </w:rPr>
        <w:t xml:space="preserve">that </w:t>
      </w:r>
      <w:r w:rsidRPr="0028108F">
        <w:rPr>
          <w:rFonts w:ascii="Arial" w:hAnsi="Arial" w:cs="Arial"/>
          <w:i/>
          <w:szCs w:val="24"/>
          <w:lang w:val="en-GB"/>
        </w:rPr>
        <w:t>“the person has no child at present”</w:t>
      </w:r>
      <w:r w:rsidR="002E4346" w:rsidRPr="0028108F">
        <w:rPr>
          <w:rFonts w:ascii="Arial" w:hAnsi="Arial" w:cs="Arial"/>
          <w:i/>
          <w:szCs w:val="24"/>
          <w:lang w:val="en-GB"/>
        </w:rPr>
        <w:t>,</w:t>
      </w:r>
      <w:r w:rsidRPr="0028108F">
        <w:rPr>
          <w:rFonts w:ascii="Arial" w:hAnsi="Arial" w:cs="Arial"/>
          <w:szCs w:val="24"/>
          <w:lang w:val="en-GB"/>
        </w:rPr>
        <w:t xml:space="preserve"> was relaxed</w:t>
      </w:r>
      <w:r w:rsidR="002E4346" w:rsidRPr="0028108F">
        <w:rPr>
          <w:rFonts w:ascii="Arial" w:hAnsi="Arial" w:cs="Arial"/>
          <w:szCs w:val="24"/>
          <w:lang w:val="en-GB"/>
        </w:rPr>
        <w:t xml:space="preserve"> in Japan</w:t>
      </w:r>
      <w:r w:rsidRPr="0028108F">
        <w:rPr>
          <w:rFonts w:ascii="Arial" w:hAnsi="Arial" w:cs="Arial"/>
          <w:szCs w:val="24"/>
          <w:lang w:val="en-GB"/>
        </w:rPr>
        <w:t xml:space="preserve">, and this reform was </w:t>
      </w:r>
      <w:r w:rsidR="002E4346" w:rsidRPr="0028108F">
        <w:rPr>
          <w:rFonts w:ascii="Arial" w:hAnsi="Arial" w:cs="Arial"/>
          <w:szCs w:val="24"/>
          <w:lang w:val="en-GB"/>
        </w:rPr>
        <w:t xml:space="preserve">viewed as </w:t>
      </w:r>
      <w:r w:rsidRPr="0028108F">
        <w:rPr>
          <w:rFonts w:ascii="Arial" w:hAnsi="Arial" w:cs="Arial"/>
          <w:szCs w:val="24"/>
          <w:lang w:val="en-GB"/>
        </w:rPr>
        <w:t xml:space="preserve">commendable </w:t>
      </w:r>
      <w:r w:rsidR="002E4346" w:rsidRPr="0028108F">
        <w:rPr>
          <w:rFonts w:ascii="Arial" w:hAnsi="Arial" w:cs="Arial"/>
          <w:szCs w:val="24"/>
          <w:lang w:val="en-GB"/>
        </w:rPr>
        <w:t xml:space="preserve">by </w:t>
      </w:r>
      <w:r w:rsidRPr="0028108F">
        <w:rPr>
          <w:rFonts w:ascii="Arial" w:hAnsi="Arial" w:cs="Arial"/>
          <w:szCs w:val="24"/>
          <w:lang w:val="en-GB"/>
        </w:rPr>
        <w:t>some scholars.</w:t>
      </w:r>
      <w:r w:rsidRPr="0028108F">
        <w:rPr>
          <w:rFonts w:ascii="Arial" w:hAnsi="Arial" w:cs="Arial"/>
          <w:color w:val="000000" w:themeColor="text1"/>
          <w:szCs w:val="24"/>
          <w:lang w:val="en-GB"/>
        </w:rPr>
        <w:t xml:space="preserve">  As </w:t>
      </w:r>
      <w:r w:rsidR="00BE17C3" w:rsidRPr="0028108F">
        <w:rPr>
          <w:rFonts w:ascii="Arial" w:hAnsi="Arial" w:cs="Arial"/>
          <w:color w:val="0D0D0D" w:themeColor="text1" w:themeTint="F2"/>
          <w:szCs w:val="24"/>
          <w:lang w:val="en-GB"/>
        </w:rPr>
        <w:t xml:space="preserve">two Japanese scholars </w:t>
      </w:r>
      <w:r w:rsidR="002E4346" w:rsidRPr="0028108F">
        <w:rPr>
          <w:rFonts w:ascii="Arial" w:hAnsi="Arial" w:cs="Arial"/>
          <w:color w:val="0D0D0D" w:themeColor="text1" w:themeTint="F2"/>
          <w:szCs w:val="24"/>
          <w:lang w:val="en-GB"/>
        </w:rPr>
        <w:t>stated</w:t>
      </w:r>
      <w:r w:rsidRPr="0028108F">
        <w:rPr>
          <w:rFonts w:ascii="Arial" w:hAnsi="Arial" w:cs="Arial"/>
          <w:color w:val="0D0D0D" w:themeColor="text1" w:themeTint="F2"/>
          <w:szCs w:val="24"/>
          <w:lang w:val="en-GB"/>
        </w:rPr>
        <w:t>:</w:t>
      </w:r>
      <w:r w:rsidRPr="0028108F">
        <w:rPr>
          <w:rStyle w:val="FootnoteReference"/>
          <w:rFonts w:ascii="Arial" w:hAnsi="Arial" w:cs="Arial"/>
          <w:szCs w:val="24"/>
          <w:lang w:val="en-GB"/>
        </w:rPr>
        <w:footnoteReference w:id="787"/>
      </w:r>
    </w:p>
    <w:p w:rsidR="00E773F6" w:rsidRPr="0028108F" w:rsidRDefault="00E773F6" w:rsidP="00E773F6">
      <w:pPr>
        <w:pStyle w:val="ListParagraph"/>
        <w:tabs>
          <w:tab w:val="left" w:pos="851"/>
        </w:tabs>
        <w:adjustRightInd w:val="0"/>
        <w:snapToGrid w:val="0"/>
        <w:ind w:leftChars="0" w:left="1985"/>
        <w:jc w:val="both"/>
        <w:rPr>
          <w:rFonts w:ascii="Arial" w:hAnsi="Arial" w:cs="Arial"/>
          <w:color w:val="000000" w:themeColor="text1"/>
          <w:szCs w:val="24"/>
          <w:lang w:val="en-GB"/>
        </w:rPr>
      </w:pPr>
    </w:p>
    <w:p w:rsidR="00E773F6" w:rsidRPr="0028108F" w:rsidRDefault="00E773F6" w:rsidP="00961014">
      <w:pPr>
        <w:snapToGrid w:val="0"/>
        <w:ind w:leftChars="354" w:left="851" w:rightChars="212" w:right="509" w:hanging="1"/>
        <w:jc w:val="both"/>
        <w:rPr>
          <w:rFonts w:ascii="Arial" w:hAnsi="Arial" w:cs="Arial"/>
          <w:i/>
          <w:kern w:val="0"/>
          <w:szCs w:val="24"/>
          <w:lang w:val="en-GB"/>
        </w:rPr>
      </w:pPr>
      <w:r w:rsidRPr="0028108F">
        <w:rPr>
          <w:rFonts w:ascii="Arial" w:hAnsi="Arial" w:cs="Arial"/>
          <w:i/>
          <w:kern w:val="0"/>
          <w:szCs w:val="24"/>
          <w:lang w:val="en-GB"/>
        </w:rPr>
        <w:t xml:space="preserve">“The clause of “no children”…was established considering an argument that admitting gender change to people with </w:t>
      </w:r>
      <w:r w:rsidR="0056379B" w:rsidRPr="0028108F">
        <w:rPr>
          <w:rFonts w:ascii="Arial" w:hAnsi="Arial" w:cs="Arial"/>
          <w:i/>
          <w:kern w:val="0"/>
          <w:szCs w:val="24"/>
          <w:lang w:val="en-GB"/>
        </w:rPr>
        <w:t>GID</w:t>
      </w:r>
      <w:r w:rsidRPr="0028108F">
        <w:rPr>
          <w:rFonts w:ascii="Arial" w:hAnsi="Arial" w:cs="Arial"/>
          <w:i/>
          <w:kern w:val="0"/>
          <w:szCs w:val="24"/>
          <w:lang w:val="en-GB"/>
        </w:rPr>
        <w:t xml:space="preserve"> having children at present might disturb the family order or have an adverse </w:t>
      </w:r>
      <w:r w:rsidRPr="0028108F">
        <w:rPr>
          <w:rFonts w:ascii="Arial" w:eastAsia="新細明體" w:hAnsi="Arial" w:cs="Arial"/>
          <w:i/>
          <w:color w:val="000000" w:themeColor="text1"/>
          <w:szCs w:val="24"/>
          <w:lang w:val="en-GB"/>
        </w:rPr>
        <w:t>impact</w:t>
      </w:r>
      <w:r w:rsidRPr="0028108F">
        <w:rPr>
          <w:rFonts w:ascii="Arial" w:hAnsi="Arial" w:cs="Arial"/>
          <w:i/>
          <w:kern w:val="0"/>
          <w:szCs w:val="24"/>
          <w:lang w:val="en-GB"/>
        </w:rPr>
        <w:t xml:space="preserve"> on child welfare; it was held constitutional in Supreme Court.  On the other hand, people with </w:t>
      </w:r>
      <w:r w:rsidR="00334997" w:rsidRPr="0028108F">
        <w:rPr>
          <w:rFonts w:ascii="Arial" w:hAnsi="Arial" w:cs="Arial"/>
          <w:i/>
          <w:kern w:val="0"/>
          <w:szCs w:val="24"/>
          <w:lang w:val="en-GB"/>
        </w:rPr>
        <w:t>gender identity disorder</w:t>
      </w:r>
      <w:r w:rsidRPr="0028108F">
        <w:rPr>
          <w:rFonts w:ascii="Arial" w:hAnsi="Arial" w:cs="Arial"/>
          <w:i/>
          <w:kern w:val="0"/>
          <w:szCs w:val="24"/>
          <w:lang w:val="en-GB"/>
        </w:rPr>
        <w:t xml:space="preserve"> having children at present … [feared] that they could not ask for gender change so long as they had children…</w:t>
      </w:r>
    </w:p>
    <w:p w:rsidR="00E773F6" w:rsidRPr="0028108F" w:rsidRDefault="00E773F6" w:rsidP="00E773F6">
      <w:pPr>
        <w:pStyle w:val="ListParagraph"/>
        <w:tabs>
          <w:tab w:val="left" w:pos="851"/>
        </w:tabs>
        <w:adjustRightInd w:val="0"/>
        <w:snapToGrid w:val="0"/>
        <w:ind w:leftChars="0" w:left="1985"/>
        <w:jc w:val="both"/>
        <w:rPr>
          <w:rFonts w:ascii="Arial" w:eastAsiaTheme="minorEastAsia" w:hAnsi="Arial" w:cs="Arial"/>
          <w:i/>
          <w:kern w:val="0"/>
          <w:szCs w:val="24"/>
          <w:lang w:val="en-GB"/>
        </w:rPr>
      </w:pPr>
    </w:p>
    <w:p w:rsidR="00E773F6" w:rsidRPr="0028108F" w:rsidRDefault="00E773F6" w:rsidP="00961014">
      <w:pPr>
        <w:snapToGrid w:val="0"/>
        <w:ind w:leftChars="354" w:left="851" w:rightChars="212" w:right="509" w:hanging="1"/>
        <w:jc w:val="both"/>
        <w:rPr>
          <w:rFonts w:ascii="Arial" w:hAnsi="Arial" w:cs="Arial"/>
          <w:i/>
          <w:kern w:val="0"/>
          <w:szCs w:val="24"/>
          <w:lang w:val="en-GB"/>
        </w:rPr>
      </w:pPr>
      <w:r w:rsidRPr="0028108F">
        <w:rPr>
          <w:rFonts w:ascii="Arial" w:hAnsi="Arial" w:cs="Arial"/>
          <w:i/>
          <w:kern w:val="0"/>
          <w:szCs w:val="24"/>
          <w:lang w:val="en-GB"/>
        </w:rPr>
        <w:t xml:space="preserve">Based on these opinions, the extent of the clause of “no children” was limited to “no minor children” in the revised clause in respect for child welfare; People with </w:t>
      </w:r>
      <w:r w:rsidR="00334997" w:rsidRPr="0028108F">
        <w:rPr>
          <w:rFonts w:ascii="Arial" w:hAnsi="Arial" w:cs="Arial"/>
          <w:i/>
          <w:kern w:val="0"/>
          <w:szCs w:val="24"/>
          <w:lang w:val="en-GB"/>
        </w:rPr>
        <w:t>gender identity disorder</w:t>
      </w:r>
      <w:r w:rsidRPr="0028108F">
        <w:rPr>
          <w:rFonts w:ascii="Arial" w:hAnsi="Arial" w:cs="Arial"/>
          <w:i/>
          <w:kern w:val="0"/>
          <w:szCs w:val="24"/>
          <w:lang w:val="en-GB"/>
        </w:rPr>
        <w:t xml:space="preserve"> whose children are all adults are </w:t>
      </w:r>
      <w:r w:rsidRPr="0028108F">
        <w:rPr>
          <w:rFonts w:ascii="Arial" w:eastAsia="新細明體" w:hAnsi="Arial" w:cs="Arial"/>
          <w:i/>
          <w:color w:val="000000" w:themeColor="text1"/>
          <w:szCs w:val="24"/>
          <w:lang w:val="en-GB"/>
        </w:rPr>
        <w:t>permitted</w:t>
      </w:r>
      <w:r w:rsidRPr="0028108F">
        <w:rPr>
          <w:rFonts w:ascii="Arial" w:hAnsi="Arial" w:cs="Arial"/>
          <w:i/>
          <w:kern w:val="0"/>
          <w:szCs w:val="24"/>
          <w:lang w:val="en-GB"/>
        </w:rPr>
        <w:t xml:space="preserve"> to ask for gender change.  This reform is extremely proper from the standpoint of balancing between child welfare and the self-determination of people with </w:t>
      </w:r>
      <w:r w:rsidR="00334997" w:rsidRPr="0028108F">
        <w:rPr>
          <w:rFonts w:ascii="Arial" w:hAnsi="Arial" w:cs="Arial"/>
          <w:i/>
          <w:kern w:val="0"/>
          <w:szCs w:val="24"/>
          <w:lang w:val="en-GB"/>
        </w:rPr>
        <w:t>gender identity disorder</w:t>
      </w:r>
      <w:r w:rsidRPr="0028108F">
        <w:rPr>
          <w:rFonts w:ascii="Arial" w:hAnsi="Arial" w:cs="Arial"/>
          <w:i/>
          <w:kern w:val="0"/>
          <w:szCs w:val="24"/>
          <w:lang w:val="en-GB"/>
        </w:rPr>
        <w:t>.”</w:t>
      </w:r>
    </w:p>
    <w:p w:rsidR="00E773F6" w:rsidRPr="0028108F" w:rsidRDefault="00E773F6" w:rsidP="00E773F6">
      <w:pPr>
        <w:tabs>
          <w:tab w:val="left" w:pos="851"/>
        </w:tabs>
        <w:adjustRightInd w:val="0"/>
        <w:snapToGrid w:val="0"/>
        <w:jc w:val="both"/>
        <w:rPr>
          <w:rFonts w:ascii="Arial" w:hAnsi="Arial" w:cs="Arial"/>
          <w:color w:val="000000" w:themeColor="text1"/>
          <w:szCs w:val="24"/>
          <w:lang w:val="en-GB"/>
        </w:rPr>
      </w:pPr>
    </w:p>
    <w:p w:rsidR="00E773F6" w:rsidRPr="0028108F" w:rsidRDefault="00456A34"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Style w:val="HeaderChar"/>
          <w:rFonts w:ascii="Arial" w:hAnsi="Arial" w:cs="Arial"/>
          <w:szCs w:val="24"/>
          <w:lang w:val="en-GB"/>
        </w:rPr>
      </w:pPr>
      <w:r w:rsidRPr="0028108F">
        <w:rPr>
          <w:rFonts w:ascii="Arial" w:hAnsi="Arial" w:cs="Arial"/>
          <w:color w:val="0D0D0D" w:themeColor="text1" w:themeTint="F2"/>
          <w:szCs w:val="24"/>
          <w:lang w:val="en-GB"/>
        </w:rPr>
        <w:t xml:space="preserve">Dr </w:t>
      </w:r>
      <w:r w:rsidR="00E773F6" w:rsidRPr="0028108F">
        <w:rPr>
          <w:rFonts w:ascii="Arial" w:hAnsi="Arial" w:cs="Arial"/>
          <w:color w:val="0D0D0D" w:themeColor="text1" w:themeTint="F2"/>
          <w:szCs w:val="24"/>
          <w:lang w:val="en-GB"/>
        </w:rPr>
        <w:t>Taniguchi</w:t>
      </w:r>
      <w:r w:rsidRPr="0028108F">
        <w:rPr>
          <w:rFonts w:ascii="Arial" w:hAnsi="Arial" w:cs="Arial"/>
          <w:color w:val="0D0D0D" w:themeColor="text1" w:themeTint="F2"/>
          <w:szCs w:val="24"/>
          <w:lang w:val="en-GB"/>
        </w:rPr>
        <w:t xml:space="preserve"> also made a similar comment</w:t>
      </w:r>
      <w:r w:rsidR="00E773F6" w:rsidRPr="0028108F">
        <w:rPr>
          <w:rFonts w:ascii="Arial" w:hAnsi="Arial" w:cs="Arial"/>
          <w:color w:val="0D0D0D" w:themeColor="text1" w:themeTint="F2"/>
          <w:szCs w:val="24"/>
          <w:lang w:val="en-GB"/>
        </w:rPr>
        <w:t>:</w:t>
      </w:r>
      <w:r w:rsidR="00E773F6" w:rsidRPr="0028108F">
        <w:rPr>
          <w:rStyle w:val="FootnoteReference"/>
          <w:rFonts w:ascii="Arial" w:hAnsi="Arial" w:cs="Arial"/>
          <w:szCs w:val="24"/>
          <w:lang w:val="en-GB"/>
        </w:rPr>
        <w:footnoteReference w:id="788"/>
      </w:r>
    </w:p>
    <w:p w:rsidR="00E773F6" w:rsidRPr="0028108F" w:rsidRDefault="00E773F6" w:rsidP="00E773F6">
      <w:pPr>
        <w:tabs>
          <w:tab w:val="left" w:pos="851"/>
        </w:tabs>
        <w:adjustRightInd w:val="0"/>
        <w:snapToGrid w:val="0"/>
        <w:jc w:val="both"/>
        <w:rPr>
          <w:rStyle w:val="HeaderChar"/>
          <w:rFonts w:ascii="Arial" w:hAnsi="Arial" w:cs="Arial"/>
          <w:szCs w:val="24"/>
          <w:lang w:val="en-GB"/>
        </w:rPr>
      </w:pPr>
    </w:p>
    <w:p w:rsidR="00E773F6" w:rsidRPr="0028108F" w:rsidRDefault="00E773F6" w:rsidP="0028108F">
      <w:pPr>
        <w:snapToGrid w:val="0"/>
        <w:ind w:leftChars="354" w:left="851" w:rightChars="212" w:right="509" w:hanging="1"/>
        <w:jc w:val="both"/>
        <w:rPr>
          <w:rFonts w:ascii="Arial" w:hAnsi="Arial" w:cs="Arial"/>
          <w:i/>
          <w:kern w:val="0"/>
          <w:szCs w:val="24"/>
          <w:lang w:val="en-GB"/>
        </w:rPr>
      </w:pPr>
      <w:r w:rsidRPr="0028108F">
        <w:rPr>
          <w:rFonts w:ascii="Arial" w:hAnsi="Arial" w:cs="Arial"/>
          <w:i/>
          <w:kern w:val="0"/>
          <w:szCs w:val="24"/>
          <w:lang w:val="en-GB"/>
        </w:rPr>
        <w:t>“The Article 3(iii) no child requirement is intended to avoid disturbances in parent-child relationships and to protect the welfare of the child, which is that a child should live in a stable and economically-sound environment. …</w:t>
      </w:r>
      <w:r w:rsidR="00CF0B0C" w:rsidRPr="0028108F">
        <w:rPr>
          <w:rFonts w:ascii="Arial" w:hAnsi="Arial" w:cs="Arial"/>
          <w:i/>
          <w:kern w:val="0"/>
          <w:szCs w:val="24"/>
          <w:lang w:val="en-GB"/>
        </w:rPr>
        <w:t xml:space="preserve"> </w:t>
      </w:r>
      <w:r w:rsidRPr="0028108F">
        <w:rPr>
          <w:rFonts w:ascii="Arial" w:hAnsi="Arial" w:cs="Arial"/>
          <w:i/>
          <w:kern w:val="0"/>
          <w:szCs w:val="24"/>
          <w:lang w:val="en-GB"/>
        </w:rPr>
        <w:t>Even after this requirement was revised to allow those who have no minor children to legally change their gender, the underlying purpose of the requirement is still to protect the welfare of minor children.”</w:t>
      </w:r>
    </w:p>
    <w:p w:rsidR="00E773F6" w:rsidRPr="0028108F" w:rsidRDefault="00E773F6" w:rsidP="0028108F">
      <w:pPr>
        <w:tabs>
          <w:tab w:val="left" w:pos="851"/>
        </w:tabs>
        <w:adjustRightInd w:val="0"/>
        <w:snapToGrid w:val="0"/>
        <w:jc w:val="both"/>
        <w:rPr>
          <w:rFonts w:ascii="Arial" w:hAnsi="Arial" w:cs="Arial"/>
          <w:lang w:val="en-GB"/>
        </w:rPr>
      </w:pPr>
    </w:p>
    <w:p w:rsidR="00E773F6" w:rsidRPr="0028108F" w:rsidRDefault="00E773F6" w:rsidP="00961014">
      <w:pPr>
        <w:pStyle w:val="ListParagraph"/>
        <w:numPr>
          <w:ilvl w:val="0"/>
          <w:numId w:val="104"/>
        </w:numPr>
        <w:tabs>
          <w:tab w:val="left" w:pos="1418"/>
          <w:tab w:val="left" w:pos="2552"/>
        </w:tabs>
        <w:autoSpaceDE w:val="0"/>
        <w:autoSpaceDN w:val="0"/>
        <w:adjustRightInd w:val="0"/>
        <w:snapToGrid w:val="0"/>
        <w:ind w:leftChars="0" w:left="0" w:firstLine="0"/>
        <w:jc w:val="both"/>
        <w:rPr>
          <w:rStyle w:val="FootnoteReference"/>
          <w:rFonts w:ascii="Arial" w:hAnsi="Arial" w:cs="Arial"/>
          <w:szCs w:val="24"/>
          <w:lang w:val="en-GB"/>
        </w:rPr>
      </w:pPr>
      <w:r w:rsidRPr="0028108F">
        <w:rPr>
          <w:rFonts w:ascii="Arial" w:hAnsi="Arial" w:cs="Arial"/>
          <w:color w:val="000000" w:themeColor="text1"/>
          <w:szCs w:val="24"/>
          <w:lang w:val="en-GB"/>
        </w:rPr>
        <w:t xml:space="preserve">Nonetheless, the requirement of the absence of minor children is considered as excessively strict by some transgender persons.  </w:t>
      </w:r>
      <w:r w:rsidR="00BE17C3" w:rsidRPr="0028108F">
        <w:rPr>
          <w:rFonts w:ascii="Arial" w:hAnsi="Arial" w:cs="Arial"/>
          <w:color w:val="000000" w:themeColor="text1"/>
          <w:szCs w:val="24"/>
          <w:lang w:val="en-GB"/>
        </w:rPr>
        <w:t>In a</w:t>
      </w:r>
      <w:r w:rsidRPr="0028108F">
        <w:rPr>
          <w:rFonts w:ascii="Arial" w:hAnsi="Arial" w:cs="Arial"/>
          <w:color w:val="000000" w:themeColor="text1"/>
          <w:szCs w:val="24"/>
          <w:lang w:val="en-GB"/>
        </w:rPr>
        <w:t xml:space="preserve"> Tokyo High Court decree of 30 March 2009</w:t>
      </w:r>
      <w:r w:rsidR="00581C2F" w:rsidRPr="0028108F">
        <w:rPr>
          <w:rFonts w:ascii="Arial" w:hAnsi="Arial" w:cs="Arial"/>
          <w:color w:val="000000" w:themeColor="text1"/>
          <w:szCs w:val="24"/>
          <w:lang w:val="en-GB"/>
        </w:rPr>
        <w:t>,</w:t>
      </w:r>
      <w:r w:rsidRPr="0028108F">
        <w:rPr>
          <w:rStyle w:val="FootnoteReference"/>
          <w:rFonts w:ascii="Arial" w:hAnsi="Arial" w:cs="Arial"/>
          <w:color w:val="000000" w:themeColor="text1"/>
          <w:lang w:val="en-GB"/>
        </w:rPr>
        <w:footnoteReference w:id="789"/>
      </w:r>
      <w:r w:rsidR="00BE17C3"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X was a male-to-female transgender person who had a daughter, Y, from a relationship with her former spouse.  After undergoing SRS, X sought to obtain legal recognition of her preferred gender.  In June 2008, Y, </w:t>
      </w:r>
      <w:r w:rsidR="00581C2F" w:rsidRPr="0028108F">
        <w:rPr>
          <w:rFonts w:ascii="Arial" w:hAnsi="Arial" w:cs="Arial"/>
          <w:color w:val="000000" w:themeColor="text1"/>
          <w:szCs w:val="24"/>
          <w:lang w:val="en-GB"/>
        </w:rPr>
        <w:t xml:space="preserve">then </w:t>
      </w:r>
      <w:r w:rsidRPr="0028108F">
        <w:rPr>
          <w:rFonts w:ascii="Arial" w:hAnsi="Arial" w:cs="Arial"/>
          <w:color w:val="000000" w:themeColor="text1"/>
          <w:szCs w:val="24"/>
          <w:lang w:val="en-GB"/>
        </w:rPr>
        <w:t>age</w:t>
      </w:r>
      <w:r w:rsidR="00581C2F" w:rsidRPr="0028108F">
        <w:rPr>
          <w:rFonts w:ascii="Arial" w:hAnsi="Arial" w:cs="Arial"/>
          <w:color w:val="000000" w:themeColor="text1"/>
          <w:szCs w:val="24"/>
          <w:lang w:val="en-GB"/>
        </w:rPr>
        <w:t>d</w:t>
      </w:r>
      <w:r w:rsidRPr="0028108F">
        <w:rPr>
          <w:rFonts w:ascii="Arial" w:hAnsi="Arial" w:cs="Arial"/>
          <w:color w:val="000000" w:themeColor="text1"/>
          <w:szCs w:val="24"/>
          <w:lang w:val="en-GB"/>
        </w:rPr>
        <w:t xml:space="preserve"> 16, married Z</w:t>
      </w:r>
      <w:r w:rsidR="00D638B6" w:rsidRPr="0028108F">
        <w:rPr>
          <w:rFonts w:ascii="Arial" w:hAnsi="Arial" w:cs="Arial"/>
          <w:color w:val="000000" w:themeColor="text1"/>
          <w:szCs w:val="24"/>
          <w:lang w:val="en-GB"/>
        </w:rPr>
        <w:t xml:space="preserve"> (Y was deemed to have attained majority for marriage)</w:t>
      </w:r>
      <w:r w:rsidRPr="0028108F">
        <w:rPr>
          <w:rFonts w:ascii="Arial" w:hAnsi="Arial" w:cs="Arial"/>
          <w:color w:val="000000" w:themeColor="text1"/>
          <w:szCs w:val="24"/>
          <w:lang w:val="en-GB"/>
        </w:rPr>
        <w:t xml:space="preserve">.  In late 2008, X applied for legal recognition at the Tokyo Family Court.  The judge, however, held that X had authorised Y to marry Z with a view to manipulating her daughter’s legal status so as to circumvent the requirement of the absence of minor children for the purpose of getting gender recognition.  There has been commentary that although the outcome of this case may be respectable from the legal point of view, the question remains whether the family order or the best interests of the child would have effectively been infringed had X successfully obtained legal recognition of her preferred female gender.  </w:t>
      </w:r>
      <w:r w:rsidR="00D638B6" w:rsidRPr="0028108F">
        <w:rPr>
          <w:rFonts w:ascii="Arial" w:hAnsi="Arial" w:cs="Arial"/>
          <w:color w:val="000000" w:themeColor="text1"/>
          <w:szCs w:val="24"/>
          <w:lang w:val="en-GB"/>
        </w:rPr>
        <w:t xml:space="preserve">Arguably, </w:t>
      </w:r>
      <w:r w:rsidRPr="0028108F">
        <w:rPr>
          <w:rFonts w:ascii="Arial" w:hAnsi="Arial" w:cs="Arial"/>
          <w:color w:val="000000" w:themeColor="text1"/>
          <w:szCs w:val="24"/>
          <w:lang w:val="en-GB"/>
        </w:rPr>
        <w:t xml:space="preserve">Y was already 16 years old and capable of understanding X’s situation, desire and need in accessing legal recognition, and indeed was accustomed to X’s female appearance and willing to support X.  It has been argued that the </w:t>
      </w:r>
      <w:r w:rsidR="00D638B6" w:rsidRPr="0028108F">
        <w:rPr>
          <w:rFonts w:ascii="Arial" w:hAnsi="Arial" w:cs="Arial"/>
          <w:color w:val="000000" w:themeColor="text1"/>
          <w:szCs w:val="24"/>
          <w:lang w:val="en-GB"/>
        </w:rPr>
        <w:t>Japanese gender recognition law</w:t>
      </w:r>
      <w:r w:rsidRPr="0028108F">
        <w:rPr>
          <w:rFonts w:ascii="Arial" w:hAnsi="Arial" w:cs="Arial"/>
          <w:color w:val="000000" w:themeColor="text1"/>
          <w:szCs w:val="24"/>
          <w:lang w:val="en-GB"/>
        </w:rPr>
        <w:t xml:space="preserve"> unconscionably restricts the right to self-determination and does not respect </w:t>
      </w:r>
      <w:r w:rsidR="00581C2F" w:rsidRPr="0028108F">
        <w:rPr>
          <w:rFonts w:ascii="Arial" w:hAnsi="Arial" w:cs="Arial"/>
          <w:color w:val="000000" w:themeColor="text1"/>
          <w:szCs w:val="24"/>
          <w:lang w:val="en-GB"/>
        </w:rPr>
        <w:t>the</w:t>
      </w:r>
      <w:r w:rsidRPr="0028108F">
        <w:rPr>
          <w:rFonts w:ascii="Arial" w:hAnsi="Arial" w:cs="Arial"/>
          <w:color w:val="000000" w:themeColor="text1"/>
          <w:szCs w:val="24"/>
          <w:lang w:val="en-GB"/>
        </w:rPr>
        <w:t xml:space="preserve"> individual dignity of transgender persons, where the best interests of the child would not be harmed or </w:t>
      </w:r>
      <w:r w:rsidR="0019487E" w:rsidRPr="0028108F">
        <w:rPr>
          <w:rFonts w:ascii="Arial" w:hAnsi="Arial" w:cs="Arial"/>
          <w:color w:val="000000" w:themeColor="text1"/>
          <w:szCs w:val="24"/>
          <w:lang w:val="en-GB"/>
        </w:rPr>
        <w:t xml:space="preserve">may </w:t>
      </w:r>
      <w:r w:rsidRPr="0028108F">
        <w:rPr>
          <w:rFonts w:ascii="Arial" w:hAnsi="Arial" w:cs="Arial"/>
          <w:color w:val="000000" w:themeColor="text1"/>
          <w:szCs w:val="24"/>
          <w:lang w:val="en-GB"/>
        </w:rPr>
        <w:t xml:space="preserve">even </w:t>
      </w:r>
      <w:r w:rsidR="0019487E" w:rsidRPr="0028108F">
        <w:rPr>
          <w:rFonts w:ascii="Arial" w:hAnsi="Arial" w:cs="Arial"/>
          <w:color w:val="000000" w:themeColor="text1"/>
          <w:szCs w:val="24"/>
          <w:lang w:val="en-GB"/>
        </w:rPr>
        <w:t xml:space="preserve">be </w:t>
      </w:r>
      <w:r w:rsidRPr="0028108F">
        <w:rPr>
          <w:rFonts w:ascii="Arial" w:hAnsi="Arial" w:cs="Arial"/>
          <w:color w:val="000000" w:themeColor="text1"/>
          <w:szCs w:val="24"/>
          <w:lang w:val="en-GB"/>
        </w:rPr>
        <w:t>enhanced by the self-realisation of the parent.</w:t>
      </w:r>
      <w:r w:rsidRPr="0028108F">
        <w:rPr>
          <w:rStyle w:val="FootnoteReference"/>
          <w:rFonts w:ascii="Arial" w:hAnsi="Arial" w:cs="Arial"/>
          <w:szCs w:val="24"/>
          <w:lang w:val="en-GB"/>
        </w:rPr>
        <w:footnoteReference w:id="790"/>
      </w:r>
      <w:r w:rsidRPr="0028108F">
        <w:rPr>
          <w:rFonts w:ascii="Arial" w:hAnsi="Arial" w:cs="Arial"/>
          <w:color w:val="000000" w:themeColor="text1"/>
          <w:szCs w:val="24"/>
          <w:lang w:val="en-GB"/>
        </w:rPr>
        <w:t xml:space="preserve">  Some </w:t>
      </w:r>
      <w:r w:rsidR="00D638B6" w:rsidRPr="0028108F">
        <w:rPr>
          <w:rFonts w:ascii="Arial" w:hAnsi="Arial" w:cs="Arial"/>
          <w:color w:val="000000" w:themeColor="text1"/>
          <w:szCs w:val="24"/>
          <w:lang w:val="en-GB"/>
        </w:rPr>
        <w:t xml:space="preserve">scholars </w:t>
      </w:r>
      <w:r w:rsidRPr="0028108F">
        <w:rPr>
          <w:rFonts w:ascii="Arial" w:hAnsi="Arial" w:cs="Arial"/>
          <w:color w:val="000000" w:themeColor="text1"/>
          <w:szCs w:val="24"/>
          <w:lang w:val="en-GB"/>
        </w:rPr>
        <w:t>suggested that it would be desirable either to abolish the requirement of the absence of minor children or at least introduce an option to exempt it, depending on circumstances of the case, family relations</w:t>
      </w:r>
      <w:r w:rsidR="0019487E" w:rsidRPr="0028108F">
        <w:rPr>
          <w:rFonts w:ascii="Arial" w:hAnsi="Arial" w:cs="Arial"/>
          <w:color w:val="000000" w:themeColor="text1"/>
          <w:szCs w:val="24"/>
          <w:lang w:val="en-GB"/>
        </w:rPr>
        <w:t xml:space="preserve"> and</w:t>
      </w:r>
      <w:r w:rsidRPr="0028108F">
        <w:rPr>
          <w:rFonts w:ascii="Arial" w:hAnsi="Arial" w:cs="Arial"/>
          <w:color w:val="000000" w:themeColor="text1"/>
          <w:szCs w:val="24"/>
          <w:lang w:val="en-GB"/>
        </w:rPr>
        <w:t xml:space="preserve"> the age and maturity of the child.</w:t>
      </w:r>
      <w:r w:rsidRPr="0028108F">
        <w:rPr>
          <w:rStyle w:val="FootnoteReference"/>
          <w:rFonts w:ascii="Arial" w:hAnsi="Arial" w:cs="Arial"/>
          <w:szCs w:val="24"/>
          <w:lang w:val="en-GB"/>
        </w:rPr>
        <w:footnoteReference w:id="791"/>
      </w:r>
    </w:p>
    <w:p w:rsidR="00E773F6" w:rsidRPr="0028108F" w:rsidRDefault="003A44A6" w:rsidP="00961014">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There were also commentaries</w:t>
      </w:r>
      <w:r w:rsidR="00E773F6" w:rsidRPr="0028108F">
        <w:rPr>
          <w:rFonts w:ascii="Arial" w:hAnsi="Arial" w:cs="Arial"/>
          <w:color w:val="000000" w:themeColor="text1"/>
          <w:szCs w:val="24"/>
          <w:lang w:val="en-GB"/>
        </w:rPr>
        <w:t xml:space="preserve"> that the requirement not to have any minor children is incompatible with human rights law</w:t>
      </w:r>
      <w:r w:rsidR="0019487E"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and </w:t>
      </w:r>
      <w:r w:rsidR="0019487E" w:rsidRPr="0028108F">
        <w:rPr>
          <w:rFonts w:ascii="Arial" w:hAnsi="Arial" w:cs="Arial"/>
          <w:color w:val="000000" w:themeColor="text1"/>
          <w:szCs w:val="24"/>
          <w:lang w:val="en-GB"/>
        </w:rPr>
        <w:t xml:space="preserve">that </w:t>
      </w:r>
      <w:r w:rsidR="00E773F6" w:rsidRPr="0028108F">
        <w:rPr>
          <w:rFonts w:ascii="Arial" w:hAnsi="Arial" w:cs="Arial"/>
          <w:color w:val="000000" w:themeColor="text1"/>
          <w:szCs w:val="24"/>
          <w:lang w:val="en-GB"/>
        </w:rPr>
        <w:t xml:space="preserve">the arguments in support of the requirement are unconvincing.  </w:t>
      </w:r>
      <w:r w:rsidR="009467A9" w:rsidRPr="0028108F">
        <w:rPr>
          <w:rFonts w:ascii="Arial" w:hAnsi="Arial" w:cs="Arial"/>
          <w:color w:val="000000" w:themeColor="text1"/>
          <w:szCs w:val="24"/>
          <w:lang w:val="en-GB"/>
        </w:rPr>
        <w:t>Dr</w:t>
      </w:r>
      <w:r w:rsidR="00E773F6" w:rsidRPr="0028108F">
        <w:rPr>
          <w:rFonts w:ascii="Arial" w:hAnsi="Arial" w:cs="Arial"/>
          <w:color w:val="000000" w:themeColor="text1"/>
          <w:szCs w:val="24"/>
          <w:lang w:val="en-GB"/>
        </w:rPr>
        <w:t xml:space="preserve"> Scherpe </w:t>
      </w:r>
      <w:r w:rsidR="0019487E" w:rsidRPr="0028108F">
        <w:rPr>
          <w:rFonts w:ascii="Arial" w:hAnsi="Arial" w:cs="Arial"/>
          <w:color w:val="000000" w:themeColor="text1"/>
          <w:szCs w:val="24"/>
          <w:lang w:val="en-GB"/>
        </w:rPr>
        <w:t xml:space="preserve">has </w:t>
      </w:r>
      <w:r w:rsidR="00E773F6" w:rsidRPr="0028108F">
        <w:rPr>
          <w:rFonts w:ascii="Arial" w:hAnsi="Arial" w:cs="Arial"/>
          <w:color w:val="000000" w:themeColor="text1"/>
          <w:szCs w:val="24"/>
          <w:lang w:val="en-GB"/>
        </w:rPr>
        <w:t>commented:</w:t>
      </w:r>
      <w:r w:rsidR="00E773F6" w:rsidRPr="0028108F">
        <w:rPr>
          <w:rStyle w:val="FootnoteReference"/>
          <w:rFonts w:ascii="Arial" w:hAnsi="Arial" w:cs="Arial"/>
          <w:sz w:val="22"/>
          <w:lang w:val="en-GB"/>
        </w:rPr>
        <w:footnoteReference w:id="792"/>
      </w:r>
    </w:p>
    <w:p w:rsidR="00E773F6" w:rsidRPr="0028108F" w:rsidRDefault="00E773F6" w:rsidP="008813DE">
      <w:pPr>
        <w:tabs>
          <w:tab w:val="left" w:pos="851"/>
        </w:tabs>
        <w:adjustRightInd w:val="0"/>
        <w:snapToGrid w:val="0"/>
        <w:jc w:val="both"/>
        <w:rPr>
          <w:rFonts w:ascii="Arial" w:hAnsi="Arial" w:cs="Arial"/>
          <w:color w:val="000000" w:themeColor="text1"/>
          <w:szCs w:val="24"/>
          <w:lang w:val="en-GB"/>
        </w:rPr>
      </w:pPr>
    </w:p>
    <w:p w:rsidR="00E773F6" w:rsidRPr="0028108F" w:rsidRDefault="00E773F6" w:rsidP="00E7508D">
      <w:pPr>
        <w:widowControl/>
        <w:snapToGrid w:val="0"/>
        <w:ind w:leftChars="354" w:left="850"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“It is unclear how </w:t>
      </w:r>
      <w:r w:rsidRPr="0028108F">
        <w:rPr>
          <w:rFonts w:ascii="Arial" w:hAnsi="Arial" w:cs="Arial"/>
          <w:i/>
          <w:kern w:val="0"/>
          <w:szCs w:val="24"/>
          <w:lang w:val="en-GB"/>
        </w:rPr>
        <w:t>barring</w:t>
      </w:r>
      <w:r w:rsidRPr="0028108F">
        <w:rPr>
          <w:rFonts w:ascii="Arial" w:hAnsi="Arial" w:cs="Arial"/>
          <w:i/>
          <w:color w:val="000000" w:themeColor="text1"/>
          <w:szCs w:val="24"/>
          <w:lang w:val="en-GB"/>
        </w:rPr>
        <w:t xml:space="preserve"> the recognition of the preferred gender for an </w:t>
      </w:r>
      <w:r w:rsidRPr="0028108F">
        <w:rPr>
          <w:rFonts w:ascii="Arial" w:hAnsi="Arial" w:cs="Arial"/>
          <w:i/>
          <w:kern w:val="0"/>
          <w:szCs w:val="24"/>
          <w:lang w:val="en-GB"/>
        </w:rPr>
        <w:t>extended</w:t>
      </w:r>
      <w:r w:rsidRPr="0028108F">
        <w:rPr>
          <w:rFonts w:ascii="Arial" w:hAnsi="Arial" w:cs="Arial"/>
          <w:i/>
          <w:color w:val="000000" w:themeColor="text1"/>
          <w:szCs w:val="24"/>
          <w:lang w:val="en-GB"/>
        </w:rPr>
        <w:t xml:space="preserve"> period could possibly maintain the ‘family order’ or prevent any ‘harm for children’ (described as ‘psychological burden’ and causing ‘anxiety’) if the persons concerned can and indeed will transition socially even without legal recognition.  Surely the ‘disturbance of the family order’ and the potential ‘harm for children’ do not arise from the legal recognition as such but, if at all (and there are more than serious doubts about this in any event), rather from the social transition of the parent.  Moreover, the inability to achieve the legal recognition of the preferred gender will in all likelihood have a profound negative impact on the person concerned, which in turn will have an impact on any existing family relationships, including parent-child relationships.  Thus nothing is really gained by such a requirement, except unnecessary suffering of the persons concerned.  It appears that the requirement is rooted in an overly medicalised and outdated view… It should be abolished.”</w:t>
      </w:r>
    </w:p>
    <w:p w:rsidR="00E850FF" w:rsidRDefault="00E850FF" w:rsidP="008813DE">
      <w:pPr>
        <w:tabs>
          <w:tab w:val="left" w:pos="851"/>
        </w:tabs>
        <w:adjustRightInd w:val="0"/>
        <w:snapToGrid w:val="0"/>
        <w:jc w:val="both"/>
        <w:rPr>
          <w:rFonts w:ascii="Arial" w:hAnsi="Arial" w:cs="Arial"/>
          <w:b/>
          <w:color w:val="000000" w:themeColor="text1"/>
          <w:szCs w:val="24"/>
          <w:lang w:val="en-GB"/>
        </w:rPr>
      </w:pPr>
    </w:p>
    <w:p w:rsidR="00F576DC" w:rsidRPr="0028108F" w:rsidRDefault="00F576DC" w:rsidP="008813DE">
      <w:pPr>
        <w:tabs>
          <w:tab w:val="left" w:pos="851"/>
        </w:tabs>
        <w:adjustRightInd w:val="0"/>
        <w:snapToGrid w:val="0"/>
        <w:jc w:val="both"/>
        <w:rPr>
          <w:rFonts w:ascii="Arial" w:hAnsi="Arial" w:cs="Arial"/>
          <w:b/>
          <w:color w:val="000000" w:themeColor="text1"/>
          <w:szCs w:val="24"/>
          <w:lang w:val="en-GB"/>
        </w:rPr>
      </w:pPr>
    </w:p>
    <w:p w:rsidR="00D638B6" w:rsidRPr="0028108F" w:rsidRDefault="00D638B6" w:rsidP="0028108F">
      <w:pPr>
        <w:jc w:val="both"/>
        <w:rPr>
          <w:rFonts w:ascii="Arial" w:hAnsi="Arial" w:cs="Arial"/>
          <w:b/>
          <w:sz w:val="28"/>
          <w:szCs w:val="28"/>
          <w:lang w:val="en-GB"/>
        </w:rPr>
      </w:pPr>
      <w:r w:rsidRPr="0028108F">
        <w:rPr>
          <w:rFonts w:ascii="Arial" w:hAnsi="Arial" w:cs="Arial"/>
          <w:b/>
          <w:sz w:val="28"/>
          <w:szCs w:val="28"/>
          <w:lang w:val="en-GB"/>
        </w:rPr>
        <w:t>Issue for consultation</w:t>
      </w:r>
      <w:r w:rsidR="00E850FF" w:rsidRPr="00181CF2">
        <w:rPr>
          <w:rFonts w:ascii="Arial" w:hAnsi="Arial" w:cs="Arial"/>
          <w:b/>
          <w:sz w:val="28"/>
          <w:szCs w:val="28"/>
          <w:lang w:val="en-GB"/>
        </w:rPr>
        <w:t xml:space="preserve"> related to parental status requirement</w:t>
      </w:r>
    </w:p>
    <w:p w:rsidR="00E850FF" w:rsidRPr="0028108F" w:rsidRDefault="00E850FF" w:rsidP="00D638B6">
      <w:pPr>
        <w:pStyle w:val="ListParagraph"/>
        <w:tabs>
          <w:tab w:val="left" w:pos="1418"/>
          <w:tab w:val="left" w:pos="2552"/>
        </w:tabs>
        <w:adjustRightInd w:val="0"/>
        <w:snapToGrid w:val="0"/>
        <w:ind w:leftChars="0" w:left="0"/>
        <w:jc w:val="both"/>
        <w:rPr>
          <w:rFonts w:ascii="Arial" w:hAnsi="Arial" w:cs="Arial"/>
          <w:szCs w:val="24"/>
          <w:lang w:val="en-GB"/>
        </w:rPr>
      </w:pP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E850FF"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E850FF" w:rsidRPr="0028108F">
        <w:rPr>
          <w:rFonts w:ascii="Arial" w:hAnsi="Arial" w:cs="Arial"/>
          <w:b/>
          <w:color w:val="000000" w:themeColor="text1"/>
          <w:szCs w:val="24"/>
          <w:u w:val="single"/>
          <w:lang w:val="en-GB"/>
        </w:rPr>
        <w:t xml:space="preserve"> </w:t>
      </w:r>
      <w:r w:rsidR="00E850FF" w:rsidRPr="008813DE">
        <w:rPr>
          <w:rFonts w:ascii="Arial" w:hAnsi="Arial" w:cs="Arial"/>
          <w:b/>
          <w:color w:val="000000" w:themeColor="text1"/>
          <w:szCs w:val="24"/>
          <w:u w:val="single"/>
          <w:lang w:val="en-GB"/>
        </w:rPr>
        <w:t>10</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E850FF" w:rsidRPr="0028108F">
        <w:rPr>
          <w:rFonts w:ascii="Arial" w:hAnsi="Arial" w:cs="Arial"/>
          <w:b/>
          <w:color w:val="000000" w:themeColor="text1"/>
          <w:szCs w:val="24"/>
          <w:lang w:val="en-GB"/>
        </w:rPr>
        <w:t xml:space="preserve"> the following matters.</w:t>
      </w: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D638B6" w:rsidRPr="0028108F" w:rsidRDefault="00D638B6" w:rsidP="00E7508D">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E850FF"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 whether there should be requirements relating to parental status of the applicant, and why.  </w:t>
      </w: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E850FF"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(1) is “yes”,</w:t>
      </w: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D638B6" w:rsidRPr="0028108F" w:rsidRDefault="00E7508D" w:rsidP="00E7508D">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D638B6" w:rsidRPr="00181CF2">
        <w:rPr>
          <w:rFonts w:ascii="Arial" w:hAnsi="Arial" w:cs="Arial"/>
          <w:b/>
          <w:color w:val="000000" w:themeColor="text1"/>
          <w:szCs w:val="24"/>
          <w:lang w:val="en-GB"/>
        </w:rPr>
        <w:t>(a)</w:t>
      </w:r>
      <w:r w:rsidRPr="0028108F">
        <w:rPr>
          <w:rFonts w:ascii="Arial" w:hAnsi="Arial" w:cs="Arial"/>
          <w:b/>
          <w:color w:val="000000" w:themeColor="text1"/>
          <w:szCs w:val="24"/>
          <w:lang w:val="en-GB"/>
        </w:rPr>
        <w:tab/>
      </w:r>
      <w:r w:rsidR="00D638B6" w:rsidRPr="00181CF2">
        <w:rPr>
          <w:rFonts w:ascii="Arial" w:hAnsi="Arial" w:cs="Arial"/>
          <w:b/>
          <w:color w:val="000000" w:themeColor="text1"/>
          <w:szCs w:val="24"/>
          <w:lang w:val="en-GB"/>
        </w:rPr>
        <w:t>whether an applicant for gender recognition should not be a father or mother of any child, no matter the age of the child, and why</w:t>
      </w:r>
      <w:r w:rsidR="00F711C1" w:rsidRPr="0028108F">
        <w:rPr>
          <w:rFonts w:ascii="Arial" w:hAnsi="Arial" w:cs="Arial"/>
          <w:b/>
          <w:color w:val="000000" w:themeColor="text1"/>
          <w:szCs w:val="24"/>
          <w:lang w:val="en-GB"/>
        </w:rPr>
        <w:t>;</w:t>
      </w: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firstLineChars="300" w:firstLine="721"/>
        <w:jc w:val="both"/>
        <w:rPr>
          <w:rFonts w:ascii="Arial" w:hAnsi="Arial" w:cs="Arial"/>
          <w:b/>
          <w:color w:val="000000" w:themeColor="text1"/>
          <w:szCs w:val="24"/>
          <w:lang w:val="en-GB"/>
        </w:rPr>
      </w:pPr>
    </w:p>
    <w:p w:rsidR="00D638B6" w:rsidRPr="0028108F" w:rsidRDefault="009A1AD2" w:rsidP="009A1AD2">
      <w:pPr>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D638B6" w:rsidRPr="00181CF2">
        <w:rPr>
          <w:rFonts w:ascii="Arial" w:hAnsi="Arial" w:cs="Arial"/>
          <w:b/>
          <w:color w:val="000000" w:themeColor="text1"/>
          <w:szCs w:val="24"/>
          <w:lang w:val="en-GB"/>
        </w:rPr>
        <w:t>(b)</w:t>
      </w:r>
      <w:r w:rsidR="00D638B6" w:rsidRPr="00181CF2">
        <w:rPr>
          <w:rFonts w:ascii="Arial" w:hAnsi="Arial" w:cs="Arial"/>
          <w:b/>
          <w:color w:val="000000" w:themeColor="text1"/>
          <w:szCs w:val="24"/>
          <w:lang w:val="en-GB"/>
        </w:rPr>
        <w:tab/>
      </w:r>
      <w:r w:rsidR="00D638B6" w:rsidRPr="0028108F">
        <w:rPr>
          <w:rFonts w:ascii="Arial" w:hAnsi="Arial" w:cs="Arial"/>
          <w:b/>
          <w:color w:val="000000" w:themeColor="text1"/>
          <w:szCs w:val="24"/>
          <w:lang w:val="en-GB"/>
        </w:rPr>
        <w:t>whether an applicant for gender recognition</w:t>
      </w:r>
      <w:r w:rsidR="006D68E2" w:rsidRPr="0028108F">
        <w:rPr>
          <w:rFonts w:ascii="Arial" w:hAnsi="Arial" w:cs="Arial"/>
          <w:b/>
          <w:color w:val="000000" w:themeColor="text1"/>
          <w:szCs w:val="24"/>
          <w:lang w:val="en-GB"/>
        </w:rPr>
        <w:t xml:space="preserve"> </w:t>
      </w:r>
      <w:r w:rsidR="00D638B6" w:rsidRPr="00181CF2">
        <w:rPr>
          <w:rFonts w:ascii="Arial" w:hAnsi="Arial" w:cs="Arial"/>
          <w:b/>
          <w:color w:val="000000" w:themeColor="text1"/>
          <w:szCs w:val="24"/>
          <w:lang w:val="en-GB"/>
        </w:rPr>
        <w:t>should not be a father or mother of any child</w:t>
      </w:r>
      <w:r w:rsidRPr="0028108F">
        <w:rPr>
          <w:rFonts w:ascii="Arial" w:hAnsi="Arial" w:cs="Arial"/>
          <w:b/>
          <w:color w:val="000000" w:themeColor="text1"/>
          <w:szCs w:val="24"/>
          <w:lang w:val="en-GB"/>
        </w:rPr>
        <w:t xml:space="preserve"> </w:t>
      </w:r>
      <w:r w:rsidR="00D638B6" w:rsidRPr="00181CF2">
        <w:rPr>
          <w:rFonts w:ascii="Arial" w:hAnsi="Arial" w:cs="Arial"/>
          <w:b/>
          <w:color w:val="000000" w:themeColor="text1"/>
          <w:szCs w:val="24"/>
          <w:lang w:val="en-GB"/>
        </w:rPr>
        <w:t>below a certain age limit, and why</w:t>
      </w:r>
      <w:r w:rsidR="00F711C1" w:rsidRPr="0028108F">
        <w:rPr>
          <w:rFonts w:ascii="Arial" w:hAnsi="Arial" w:cs="Arial"/>
          <w:b/>
          <w:color w:val="000000" w:themeColor="text1"/>
          <w:szCs w:val="24"/>
          <w:lang w:val="en-GB"/>
        </w:rPr>
        <w:t>;</w:t>
      </w:r>
    </w:p>
    <w:p w:rsidR="00D638B6" w:rsidRPr="0028108F" w:rsidRDefault="00D638B6" w:rsidP="00D638B6">
      <w:pPr>
        <w:pBdr>
          <w:top w:val="single" w:sz="4" w:space="8" w:color="auto"/>
          <w:left w:val="single" w:sz="4" w:space="8" w:color="auto"/>
          <w:bottom w:val="single" w:sz="4" w:space="8" w:color="auto"/>
          <w:right w:val="single" w:sz="4" w:space="8" w:color="auto"/>
        </w:pBdr>
        <w:snapToGrid w:val="0"/>
        <w:ind w:left="720" w:right="720" w:firstLineChars="300" w:firstLine="721"/>
        <w:jc w:val="both"/>
        <w:rPr>
          <w:rFonts w:ascii="Arial" w:hAnsi="Arial" w:cs="Arial"/>
          <w:b/>
          <w:color w:val="000000" w:themeColor="text1"/>
          <w:szCs w:val="24"/>
          <w:lang w:val="en-GB"/>
        </w:rPr>
      </w:pPr>
    </w:p>
    <w:p w:rsidR="00D638B6" w:rsidRPr="00C57CE1" w:rsidRDefault="009A1AD2" w:rsidP="009A1AD2">
      <w:pPr>
        <w:widowControl/>
        <w:pBdr>
          <w:top w:val="single" w:sz="4" w:space="8" w:color="auto"/>
          <w:left w:val="single" w:sz="4" w:space="8" w:color="auto"/>
          <w:bottom w:val="single" w:sz="4" w:space="8" w:color="auto"/>
          <w:right w:val="single" w:sz="4" w:space="8" w:color="auto"/>
        </w:pBdr>
        <w:tabs>
          <w:tab w:val="left" w:pos="1440"/>
        </w:tabs>
        <w:snapToGrid w:val="0"/>
        <w:ind w:left="2160" w:right="720" w:hanging="144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D638B6" w:rsidRPr="00181CF2">
        <w:rPr>
          <w:rFonts w:ascii="Arial" w:hAnsi="Arial" w:cs="Arial"/>
          <w:b/>
          <w:color w:val="000000" w:themeColor="text1"/>
          <w:szCs w:val="24"/>
          <w:lang w:val="en-GB"/>
        </w:rPr>
        <w:t>(c)</w:t>
      </w:r>
      <w:r w:rsidR="00D638B6" w:rsidRPr="00181CF2">
        <w:rPr>
          <w:rFonts w:ascii="Arial" w:hAnsi="Arial" w:cs="Arial"/>
          <w:b/>
          <w:color w:val="000000" w:themeColor="text1"/>
          <w:szCs w:val="24"/>
          <w:lang w:val="en-GB"/>
        </w:rPr>
        <w:tab/>
        <w:t>if the answer to sub-paragraph (b) is “yes”, what the age limit should be, and why.</w:t>
      </w:r>
    </w:p>
    <w:p w:rsidR="00D638B6" w:rsidRPr="0028108F" w:rsidRDefault="00D638B6">
      <w:pPr>
        <w:widowControl/>
        <w:rPr>
          <w:rFonts w:ascii="Arial" w:hAnsi="Arial" w:cs="Arial"/>
          <w:b/>
          <w:color w:val="000000" w:themeColor="text1"/>
          <w:szCs w:val="24"/>
          <w:lang w:val="en-GB"/>
        </w:rPr>
      </w:pPr>
    </w:p>
    <w:p w:rsidR="00E773F6" w:rsidRPr="0028108F" w:rsidRDefault="00E773F6">
      <w:pPr>
        <w:widowControl/>
        <w:rPr>
          <w:rFonts w:ascii="Arial" w:hAnsi="Arial" w:cs="Arial"/>
          <w:b/>
          <w:color w:val="000000" w:themeColor="text1"/>
          <w:szCs w:val="24"/>
          <w:lang w:val="en-GB"/>
        </w:rPr>
      </w:pPr>
    </w:p>
    <w:p w:rsidR="00E773F6" w:rsidRPr="0028108F" w:rsidRDefault="00E773F6" w:rsidP="00E773F6">
      <w:pPr>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 xml:space="preserve">Recognition of foreign gender change </w:t>
      </w:r>
    </w:p>
    <w:p w:rsidR="00E773F6" w:rsidRPr="0028108F" w:rsidRDefault="00E773F6" w:rsidP="00E773F6">
      <w:pPr>
        <w:adjustRightInd w:val="0"/>
        <w:snapToGrid w:val="0"/>
        <w:ind w:leftChars="200" w:left="480"/>
        <w:jc w:val="both"/>
        <w:rPr>
          <w:rFonts w:ascii="Arial" w:hAnsi="Arial" w:cs="Arial"/>
          <w:color w:val="000000" w:themeColor="text1"/>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If a gender recognition scheme is to recognise a person’s foreign gender change, this does not mean </w:t>
      </w:r>
      <w:r w:rsidR="0019487E" w:rsidRPr="0028108F">
        <w:rPr>
          <w:rFonts w:ascii="Arial" w:hAnsi="Arial" w:cs="Arial"/>
          <w:color w:val="000000" w:themeColor="text1"/>
          <w:szCs w:val="24"/>
          <w:lang w:val="en-GB"/>
        </w:rPr>
        <w:t>in the narrow sense of accepting</w:t>
      </w:r>
      <w:r w:rsidRPr="0028108F">
        <w:rPr>
          <w:rFonts w:ascii="Arial" w:hAnsi="Arial" w:cs="Arial"/>
          <w:color w:val="000000" w:themeColor="text1"/>
          <w:szCs w:val="24"/>
          <w:lang w:val="en-GB"/>
        </w:rPr>
        <w:t xml:space="preserve"> that person’s sex entry shown on his or her foreign travel document for immigration clearance at the time he or she </w:t>
      </w:r>
      <w:r w:rsidR="00D638B6" w:rsidRPr="0028108F">
        <w:rPr>
          <w:rFonts w:ascii="Arial" w:hAnsi="Arial" w:cs="Arial"/>
          <w:color w:val="000000" w:themeColor="text1"/>
          <w:szCs w:val="24"/>
          <w:lang w:val="en-GB"/>
        </w:rPr>
        <w:t xml:space="preserve">arrives </w:t>
      </w:r>
      <w:r w:rsidRPr="0028108F">
        <w:rPr>
          <w:rFonts w:ascii="Arial" w:hAnsi="Arial" w:cs="Arial"/>
          <w:color w:val="000000" w:themeColor="text1"/>
          <w:szCs w:val="24"/>
          <w:lang w:val="en-GB"/>
        </w:rPr>
        <w:t>or transits through Hong Kong.</w:t>
      </w:r>
      <w:r w:rsidRPr="0028108F">
        <w:rPr>
          <w:rStyle w:val="FootnoteReference"/>
          <w:rFonts w:ascii="Arial" w:hAnsi="Arial" w:cs="Arial"/>
          <w:color w:val="000000" w:themeColor="text1"/>
          <w:lang w:val="en-GB"/>
        </w:rPr>
        <w:footnoteReference w:id="793"/>
      </w:r>
      <w:r w:rsidRPr="0028108F">
        <w:rPr>
          <w:rFonts w:ascii="Arial" w:hAnsi="Arial" w:cs="Arial"/>
          <w:color w:val="000000" w:themeColor="text1"/>
          <w:szCs w:val="24"/>
          <w:lang w:val="en-GB"/>
        </w:rPr>
        <w:t xml:space="preserve">  The scope of recognising foreign gender change concerns recognising the gender marker shown on the travel documents of the applicants, and, if they submit </w:t>
      </w:r>
      <w:r w:rsidR="0019487E" w:rsidRPr="0028108F">
        <w:rPr>
          <w:rFonts w:ascii="Arial" w:hAnsi="Arial" w:cs="Arial"/>
          <w:color w:val="000000" w:themeColor="text1"/>
          <w:szCs w:val="24"/>
          <w:lang w:val="en-GB"/>
        </w:rPr>
        <w:t xml:space="preserve">an </w:t>
      </w:r>
      <w:r w:rsidRPr="0028108F">
        <w:rPr>
          <w:rFonts w:ascii="Arial" w:hAnsi="Arial" w:cs="Arial"/>
          <w:color w:val="000000" w:themeColor="text1"/>
          <w:szCs w:val="24"/>
          <w:lang w:val="en-GB"/>
        </w:rPr>
        <w:t xml:space="preserve">application for residency, issuing to them identification documents recording their gender </w:t>
      </w:r>
      <w:r w:rsidR="00C8274D" w:rsidRPr="0028108F">
        <w:rPr>
          <w:rFonts w:ascii="Arial" w:hAnsi="Arial" w:cs="Arial"/>
          <w:color w:val="000000" w:themeColor="text1"/>
          <w:szCs w:val="24"/>
          <w:lang w:val="en-GB"/>
        </w:rPr>
        <w:t xml:space="preserve">as </w:t>
      </w:r>
      <w:r w:rsidRPr="0028108F">
        <w:rPr>
          <w:rFonts w:ascii="Arial" w:hAnsi="Arial" w:cs="Arial"/>
          <w:color w:val="000000" w:themeColor="text1"/>
          <w:szCs w:val="24"/>
          <w:lang w:val="en-GB"/>
        </w:rPr>
        <w:t>recognised in a foreign country.</w:t>
      </w:r>
      <w:r w:rsidRPr="0028108F">
        <w:rPr>
          <w:rStyle w:val="FootnoteReference"/>
          <w:rFonts w:ascii="Arial" w:hAnsi="Arial" w:cs="Arial"/>
          <w:color w:val="000000" w:themeColor="text1"/>
          <w:lang w:val="en-GB"/>
        </w:rPr>
        <w:footnoteReference w:id="794"/>
      </w:r>
    </w:p>
    <w:p w:rsidR="00E773F6" w:rsidRPr="0028108F" w:rsidRDefault="00E773F6" w:rsidP="00E773F6">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From the legal perspective, domestic recognition of a change of gender which has been legally recognised in a foreign jurisdiction is </w:t>
      </w:r>
      <w:r w:rsidR="002D3E89" w:rsidRPr="0028108F">
        <w:rPr>
          <w:rFonts w:ascii="Arial" w:hAnsi="Arial" w:cs="Arial"/>
          <w:szCs w:val="24"/>
          <w:lang w:val="en-GB"/>
        </w:rPr>
        <w:t>an issue</w:t>
      </w:r>
      <w:r w:rsidRPr="0028108F">
        <w:rPr>
          <w:rFonts w:ascii="Arial" w:hAnsi="Arial" w:cs="Arial"/>
          <w:szCs w:val="24"/>
          <w:lang w:val="en-GB"/>
        </w:rPr>
        <w:t xml:space="preserve"> </w:t>
      </w:r>
      <w:r w:rsidR="0019487E" w:rsidRPr="0028108F">
        <w:rPr>
          <w:rFonts w:ascii="Arial" w:hAnsi="Arial" w:cs="Arial"/>
          <w:szCs w:val="24"/>
          <w:lang w:val="en-GB"/>
        </w:rPr>
        <w:t xml:space="preserve">that falls within </w:t>
      </w:r>
      <w:r w:rsidRPr="0028108F">
        <w:rPr>
          <w:rFonts w:ascii="Arial" w:hAnsi="Arial" w:cs="Arial"/>
          <w:szCs w:val="24"/>
          <w:lang w:val="en-GB"/>
        </w:rPr>
        <w:t xml:space="preserve">the context of conflict of laws (the general concept of conflict of laws can be referred to paragraphs </w:t>
      </w:r>
      <w:r w:rsidRPr="008813DE">
        <w:rPr>
          <w:rFonts w:ascii="Arial" w:hAnsi="Arial" w:cs="Arial"/>
          <w:szCs w:val="24"/>
          <w:lang w:val="en-GB"/>
        </w:rPr>
        <w:t>7.8 to 7.11</w:t>
      </w:r>
      <w:r w:rsidRPr="0028108F">
        <w:rPr>
          <w:rFonts w:ascii="Arial" w:hAnsi="Arial" w:cs="Arial"/>
          <w:szCs w:val="24"/>
          <w:lang w:val="en-GB"/>
        </w:rPr>
        <w:t xml:space="preserve"> above).  It is observed that </w:t>
      </w:r>
      <w:r w:rsidR="002D3E89" w:rsidRPr="0028108F">
        <w:rPr>
          <w:rFonts w:ascii="Arial" w:hAnsi="Arial" w:cs="Arial"/>
          <w:szCs w:val="24"/>
          <w:lang w:val="en-GB"/>
        </w:rPr>
        <w:t xml:space="preserve">gender </w:t>
      </w:r>
      <w:r w:rsidRPr="0028108F">
        <w:rPr>
          <w:rFonts w:ascii="Arial" w:hAnsi="Arial" w:cs="Arial"/>
          <w:szCs w:val="24"/>
          <w:lang w:val="en-GB"/>
        </w:rPr>
        <w:t xml:space="preserve">recognition by foreign jurisdictions could be granted by the courts (such as the Family Court of New Zealand, the Tribunal de Grand Instance of France and the Civil Court of Poland) or a competent administrative authority designated by the related law or rule (such as the local registry office of Czech Republic, the Ministry of Health of Hungary and the Expert Committee on </w:t>
      </w:r>
      <w:r w:rsidR="00334997" w:rsidRPr="0028108F">
        <w:rPr>
          <w:rFonts w:ascii="Arial" w:hAnsi="Arial" w:cs="Arial"/>
          <w:szCs w:val="24"/>
          <w:lang w:val="en-GB"/>
        </w:rPr>
        <w:t>gender identity disorder</w:t>
      </w:r>
      <w:r w:rsidRPr="0028108F">
        <w:rPr>
          <w:rFonts w:ascii="Arial" w:hAnsi="Arial" w:cs="Arial"/>
          <w:szCs w:val="24"/>
          <w:lang w:val="en-GB"/>
        </w:rPr>
        <w:t xml:space="preserve"> in Iceland) (see Annex </w:t>
      </w:r>
      <w:r w:rsidRPr="008813DE">
        <w:rPr>
          <w:rFonts w:ascii="Arial" w:hAnsi="Arial" w:cs="Arial"/>
          <w:szCs w:val="24"/>
          <w:lang w:val="en-GB"/>
        </w:rPr>
        <w:t>A</w:t>
      </w:r>
      <w:r w:rsidRPr="0028108F">
        <w:rPr>
          <w:rFonts w:ascii="Arial" w:hAnsi="Arial" w:cs="Arial"/>
          <w:szCs w:val="24"/>
          <w:lang w:val="en-GB"/>
        </w:rPr>
        <w:t xml:space="preserve"> and Annex </w:t>
      </w:r>
      <w:r w:rsidRPr="008813DE">
        <w:rPr>
          <w:rFonts w:ascii="Arial" w:hAnsi="Arial" w:cs="Arial"/>
          <w:szCs w:val="24"/>
          <w:lang w:val="en-GB"/>
        </w:rPr>
        <w:t>B</w:t>
      </w:r>
      <w:r w:rsidRPr="0028108F">
        <w:rPr>
          <w:rFonts w:ascii="Arial" w:hAnsi="Arial" w:cs="Arial"/>
          <w:szCs w:val="24"/>
          <w:lang w:val="en-GB"/>
        </w:rPr>
        <w:t xml:space="preserve"> of this Consultation Paper for related information).</w:t>
      </w:r>
    </w:p>
    <w:p w:rsidR="00E773F6" w:rsidRPr="0028108F" w:rsidRDefault="00E773F6" w:rsidP="00E773F6">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19487E"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 range of possible sub-issues could </w:t>
      </w:r>
      <w:r w:rsidR="00E22249" w:rsidRPr="0028108F">
        <w:rPr>
          <w:rFonts w:ascii="Arial" w:hAnsi="Arial" w:cs="Arial"/>
          <w:szCs w:val="24"/>
          <w:lang w:val="en-GB"/>
        </w:rPr>
        <w:t>arise</w:t>
      </w:r>
      <w:r w:rsidRPr="0028108F">
        <w:rPr>
          <w:rFonts w:ascii="Arial" w:hAnsi="Arial" w:cs="Arial"/>
          <w:szCs w:val="24"/>
          <w:lang w:val="en-GB"/>
        </w:rPr>
        <w:t>, including, but not limited to:</w:t>
      </w:r>
    </w:p>
    <w:p w:rsidR="00E773F6" w:rsidRPr="0028108F" w:rsidRDefault="00E773F6" w:rsidP="00E773F6">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8A569B" w:rsidP="009A1AD2">
      <w:pPr>
        <w:pStyle w:val="ListParagraph"/>
        <w:widowControl/>
        <w:numPr>
          <w:ilvl w:val="0"/>
          <w:numId w:val="37"/>
        </w:numPr>
        <w:tabs>
          <w:tab w:val="left" w:pos="1418"/>
        </w:tabs>
        <w:autoSpaceDE w:val="0"/>
        <w:autoSpaceDN w:val="0"/>
        <w:adjustRightInd w:val="0"/>
        <w:snapToGrid w:val="0"/>
        <w:ind w:leftChars="236" w:left="566" w:firstLine="0"/>
        <w:jc w:val="both"/>
        <w:rPr>
          <w:rFonts w:ascii="Arial" w:hAnsi="Arial" w:cs="Arial"/>
          <w:szCs w:val="24"/>
          <w:lang w:val="en-GB"/>
        </w:rPr>
      </w:pPr>
      <w:r w:rsidRPr="0028108F">
        <w:rPr>
          <w:rFonts w:ascii="Arial" w:hAnsi="Arial" w:cs="Arial"/>
          <w:szCs w:val="24"/>
          <w:lang w:val="en-GB"/>
        </w:rPr>
        <w:t>w</w:t>
      </w:r>
      <w:r w:rsidR="00E773F6" w:rsidRPr="0028108F">
        <w:rPr>
          <w:rFonts w:ascii="Arial" w:hAnsi="Arial" w:cs="Arial"/>
          <w:szCs w:val="24"/>
          <w:lang w:val="en-GB"/>
        </w:rPr>
        <w:t xml:space="preserve">hether or not a gender change recognised under the law of a </w:t>
      </w:r>
      <w:r w:rsidR="009A4B68" w:rsidRPr="0028108F">
        <w:rPr>
          <w:rFonts w:ascii="Arial" w:hAnsi="Arial" w:cs="Arial"/>
          <w:szCs w:val="24"/>
          <w:lang w:val="en-GB"/>
        </w:rPr>
        <w:tab/>
      </w:r>
      <w:r w:rsidR="00E773F6" w:rsidRPr="0028108F">
        <w:rPr>
          <w:rFonts w:ascii="Arial" w:hAnsi="Arial" w:cs="Arial"/>
          <w:szCs w:val="24"/>
          <w:lang w:val="en-GB"/>
        </w:rPr>
        <w:t xml:space="preserve">country or territory outside Hong Kong should be recognised in </w:t>
      </w:r>
      <w:r w:rsidR="009A4B68" w:rsidRPr="0028108F">
        <w:rPr>
          <w:rFonts w:ascii="Arial" w:hAnsi="Arial" w:cs="Arial"/>
          <w:szCs w:val="24"/>
          <w:lang w:val="en-GB"/>
        </w:rPr>
        <w:tab/>
      </w:r>
      <w:r w:rsidR="00E773F6" w:rsidRPr="0028108F">
        <w:rPr>
          <w:rFonts w:ascii="Arial" w:hAnsi="Arial" w:cs="Arial"/>
          <w:szCs w:val="24"/>
          <w:lang w:val="en-GB"/>
        </w:rPr>
        <w:t>Hong Kong;</w:t>
      </w:r>
    </w:p>
    <w:p w:rsidR="00E773F6" w:rsidRPr="0028108F" w:rsidRDefault="00E773F6" w:rsidP="00E773F6">
      <w:pPr>
        <w:pStyle w:val="ListParagraph"/>
        <w:tabs>
          <w:tab w:val="left" w:pos="1418"/>
        </w:tabs>
        <w:autoSpaceDE w:val="0"/>
        <w:autoSpaceDN w:val="0"/>
        <w:adjustRightInd w:val="0"/>
        <w:snapToGrid w:val="0"/>
        <w:ind w:leftChars="236" w:left="566"/>
        <w:jc w:val="both"/>
        <w:rPr>
          <w:rFonts w:ascii="Arial" w:hAnsi="Arial" w:cs="Arial"/>
          <w:szCs w:val="24"/>
          <w:lang w:val="en-GB"/>
        </w:rPr>
      </w:pPr>
    </w:p>
    <w:p w:rsidR="00E773F6" w:rsidRPr="0028108F" w:rsidRDefault="008A569B" w:rsidP="00E773F6">
      <w:pPr>
        <w:pStyle w:val="ListParagraph"/>
        <w:numPr>
          <w:ilvl w:val="0"/>
          <w:numId w:val="37"/>
        </w:numPr>
        <w:tabs>
          <w:tab w:val="left" w:pos="1418"/>
        </w:tabs>
        <w:autoSpaceDE w:val="0"/>
        <w:autoSpaceDN w:val="0"/>
        <w:adjustRightInd w:val="0"/>
        <w:snapToGrid w:val="0"/>
        <w:ind w:leftChars="236" w:left="566" w:firstLine="0"/>
        <w:jc w:val="both"/>
        <w:rPr>
          <w:rFonts w:ascii="Arial" w:hAnsi="Arial" w:cs="Arial"/>
          <w:szCs w:val="24"/>
          <w:lang w:val="en-GB"/>
        </w:rPr>
      </w:pPr>
      <w:r w:rsidRPr="0028108F">
        <w:rPr>
          <w:rFonts w:ascii="Arial" w:hAnsi="Arial" w:cs="Arial"/>
          <w:szCs w:val="24"/>
          <w:lang w:val="en-GB"/>
        </w:rPr>
        <w:t>i</w:t>
      </w:r>
      <w:r w:rsidR="00E773F6" w:rsidRPr="0028108F">
        <w:rPr>
          <w:rFonts w:ascii="Arial" w:hAnsi="Arial" w:cs="Arial"/>
          <w:szCs w:val="24"/>
          <w:lang w:val="en-GB"/>
        </w:rPr>
        <w:t xml:space="preserve">f the answer to sub-question (1) above is yes, whether or not </w:t>
      </w:r>
      <w:r w:rsidR="009A4B68" w:rsidRPr="0028108F">
        <w:rPr>
          <w:rFonts w:ascii="Arial" w:hAnsi="Arial" w:cs="Arial"/>
          <w:szCs w:val="24"/>
          <w:lang w:val="en-GB"/>
        </w:rPr>
        <w:tab/>
      </w:r>
      <w:r w:rsidR="00E773F6" w:rsidRPr="0028108F">
        <w:rPr>
          <w:rFonts w:ascii="Arial" w:hAnsi="Arial" w:cs="Arial"/>
          <w:szCs w:val="24"/>
          <w:lang w:val="en-GB"/>
        </w:rPr>
        <w:t xml:space="preserve">such foreign countries and territories should be limited to those </w:t>
      </w:r>
      <w:r w:rsidR="009A4B68" w:rsidRPr="0028108F">
        <w:rPr>
          <w:rFonts w:ascii="Arial" w:hAnsi="Arial" w:cs="Arial"/>
          <w:szCs w:val="24"/>
          <w:lang w:val="en-GB"/>
        </w:rPr>
        <w:tab/>
      </w:r>
      <w:r w:rsidR="00E773F6" w:rsidRPr="0028108F">
        <w:rPr>
          <w:rFonts w:ascii="Arial" w:hAnsi="Arial" w:cs="Arial"/>
          <w:szCs w:val="24"/>
          <w:lang w:val="en-GB"/>
        </w:rPr>
        <w:t>certain requirements for gender recognition</w:t>
      </w:r>
      <w:r w:rsidRPr="0028108F">
        <w:rPr>
          <w:rFonts w:ascii="Arial" w:hAnsi="Arial" w:cs="Arial"/>
          <w:szCs w:val="24"/>
          <w:lang w:val="en-GB"/>
        </w:rPr>
        <w:t xml:space="preserve"> (such as </w:t>
      </w:r>
      <w:r w:rsidR="009A4B68" w:rsidRPr="0028108F">
        <w:rPr>
          <w:rFonts w:ascii="Arial" w:hAnsi="Arial" w:cs="Arial"/>
          <w:szCs w:val="24"/>
          <w:lang w:val="en-GB"/>
        </w:rPr>
        <w:tab/>
      </w:r>
      <w:r w:rsidRPr="0028108F">
        <w:rPr>
          <w:rFonts w:ascii="Arial" w:hAnsi="Arial" w:cs="Arial"/>
          <w:szCs w:val="24"/>
          <w:lang w:val="en-GB"/>
        </w:rPr>
        <w:t>requirements as to SRS</w:t>
      </w:r>
      <w:r w:rsidR="005D7C56" w:rsidRPr="0028108F">
        <w:rPr>
          <w:rFonts w:ascii="Arial" w:hAnsi="Arial" w:cs="Arial"/>
          <w:szCs w:val="24"/>
          <w:lang w:val="en-GB"/>
        </w:rPr>
        <w:t>)</w:t>
      </w:r>
      <w:r w:rsidR="00E773F6" w:rsidRPr="0028108F">
        <w:rPr>
          <w:rFonts w:ascii="Arial" w:hAnsi="Arial" w:cs="Arial"/>
          <w:szCs w:val="24"/>
          <w:lang w:val="en-GB"/>
        </w:rPr>
        <w:t xml:space="preserve">; and </w:t>
      </w:r>
    </w:p>
    <w:p w:rsidR="00E773F6" w:rsidRPr="0028108F" w:rsidRDefault="00E773F6" w:rsidP="0028108F">
      <w:pPr>
        <w:pStyle w:val="ListParagraph"/>
        <w:tabs>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8A569B" w:rsidP="00E773F6">
      <w:pPr>
        <w:pStyle w:val="ListParagraph"/>
        <w:numPr>
          <w:ilvl w:val="0"/>
          <w:numId w:val="37"/>
        </w:numPr>
        <w:tabs>
          <w:tab w:val="left" w:pos="1418"/>
        </w:tabs>
        <w:autoSpaceDE w:val="0"/>
        <w:autoSpaceDN w:val="0"/>
        <w:adjustRightInd w:val="0"/>
        <w:snapToGrid w:val="0"/>
        <w:ind w:leftChars="236" w:left="566" w:firstLine="0"/>
        <w:jc w:val="both"/>
        <w:rPr>
          <w:rFonts w:ascii="Arial" w:hAnsi="Arial" w:cs="Arial"/>
          <w:szCs w:val="24"/>
          <w:lang w:val="en-GB"/>
        </w:rPr>
      </w:pPr>
      <w:r w:rsidRPr="0028108F">
        <w:rPr>
          <w:rFonts w:ascii="Arial" w:hAnsi="Arial" w:cs="Arial"/>
          <w:szCs w:val="24"/>
          <w:lang w:val="en-GB"/>
        </w:rPr>
        <w:t>w</w:t>
      </w:r>
      <w:r w:rsidR="00E773F6" w:rsidRPr="0028108F">
        <w:rPr>
          <w:rFonts w:ascii="Arial" w:hAnsi="Arial" w:cs="Arial"/>
          <w:szCs w:val="24"/>
          <w:lang w:val="en-GB"/>
        </w:rPr>
        <w:t xml:space="preserve">hether or not a connection between the applicant and the </w:t>
      </w:r>
      <w:r w:rsidR="009A4B68" w:rsidRPr="0028108F">
        <w:rPr>
          <w:rFonts w:ascii="Arial" w:hAnsi="Arial" w:cs="Arial"/>
          <w:szCs w:val="24"/>
          <w:lang w:val="en-GB"/>
        </w:rPr>
        <w:tab/>
      </w:r>
      <w:r w:rsidR="00E773F6" w:rsidRPr="0028108F">
        <w:rPr>
          <w:rFonts w:ascii="Arial" w:hAnsi="Arial" w:cs="Arial"/>
          <w:szCs w:val="24"/>
          <w:lang w:val="en-GB"/>
        </w:rPr>
        <w:t xml:space="preserve">foreign country or territory (such as citizenship in the country or </w:t>
      </w:r>
      <w:r w:rsidR="009A4B68" w:rsidRPr="0028108F">
        <w:rPr>
          <w:rFonts w:ascii="Arial" w:hAnsi="Arial" w:cs="Arial"/>
          <w:szCs w:val="24"/>
          <w:lang w:val="en-GB"/>
        </w:rPr>
        <w:tab/>
      </w:r>
      <w:r w:rsidR="00E773F6" w:rsidRPr="0028108F">
        <w:rPr>
          <w:rFonts w:ascii="Arial" w:hAnsi="Arial" w:cs="Arial"/>
          <w:szCs w:val="24"/>
          <w:lang w:val="en-GB"/>
        </w:rPr>
        <w:t xml:space="preserve">territory where the gender change was recognised) should be </w:t>
      </w:r>
      <w:r w:rsidR="009A4B68" w:rsidRPr="0028108F">
        <w:rPr>
          <w:rFonts w:ascii="Arial" w:hAnsi="Arial" w:cs="Arial"/>
          <w:szCs w:val="24"/>
          <w:lang w:val="en-GB"/>
        </w:rPr>
        <w:tab/>
      </w:r>
      <w:r w:rsidR="00E773F6" w:rsidRPr="0028108F">
        <w:rPr>
          <w:rFonts w:ascii="Arial" w:hAnsi="Arial" w:cs="Arial"/>
          <w:szCs w:val="24"/>
          <w:lang w:val="en-GB"/>
        </w:rPr>
        <w:t xml:space="preserve">required in order for his/her foreign gender recognition to be </w:t>
      </w:r>
      <w:r w:rsidR="009A4B68" w:rsidRPr="0028108F">
        <w:rPr>
          <w:rFonts w:ascii="Arial" w:hAnsi="Arial" w:cs="Arial"/>
          <w:szCs w:val="24"/>
          <w:lang w:val="en-GB"/>
        </w:rPr>
        <w:tab/>
      </w:r>
      <w:r w:rsidR="00E773F6" w:rsidRPr="0028108F">
        <w:rPr>
          <w:rFonts w:ascii="Arial" w:hAnsi="Arial" w:cs="Arial"/>
          <w:szCs w:val="24"/>
          <w:lang w:val="en-GB"/>
        </w:rPr>
        <w:t>recognised in Hong Kong.</w:t>
      </w:r>
    </w:p>
    <w:p w:rsidR="00E773F6" w:rsidRPr="0028108F" w:rsidRDefault="00E773F6" w:rsidP="00E773F6">
      <w:pPr>
        <w:tabs>
          <w:tab w:val="left" w:pos="1418"/>
        </w:tabs>
        <w:adjustRightInd w:val="0"/>
        <w:snapToGrid w:val="0"/>
        <w:ind w:leftChars="236" w:left="566"/>
        <w:rPr>
          <w:rFonts w:ascii="Arial" w:hAnsi="Arial" w:cs="Arial"/>
          <w:szCs w:val="24"/>
          <w:lang w:val="en-GB"/>
        </w:rPr>
      </w:pPr>
    </w:p>
    <w:p w:rsidR="00E773F6" w:rsidRPr="0028108F" w:rsidRDefault="00E773F6" w:rsidP="00E773F6">
      <w:pPr>
        <w:adjustRightInd w:val="0"/>
        <w:snapToGrid w:val="0"/>
        <w:rPr>
          <w:rFonts w:ascii="Arial" w:hAnsi="Arial" w:cs="Arial"/>
          <w:b/>
          <w:i/>
          <w:szCs w:val="24"/>
          <w:lang w:val="en-GB"/>
        </w:rPr>
      </w:pPr>
      <w:r w:rsidRPr="0028108F">
        <w:rPr>
          <w:rFonts w:ascii="Arial" w:hAnsi="Arial" w:cs="Arial"/>
          <w:b/>
          <w:i/>
          <w:szCs w:val="24"/>
          <w:lang w:val="en-GB"/>
        </w:rPr>
        <w:t>Global review</w:t>
      </w:r>
    </w:p>
    <w:p w:rsidR="00E773F6" w:rsidRPr="0028108F" w:rsidRDefault="00E773F6" w:rsidP="00E773F6">
      <w:pPr>
        <w:adjustRightInd w:val="0"/>
        <w:snapToGrid w:val="0"/>
        <w:rPr>
          <w:rFonts w:ascii="Arial" w:hAnsi="Arial" w:cs="Arial"/>
          <w:b/>
          <w:i/>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shown in Chapter </w:t>
      </w:r>
      <w:r w:rsidR="006F76B8">
        <w:rPr>
          <w:rFonts w:ascii="Arial" w:hAnsi="Arial" w:cs="Arial"/>
          <w:szCs w:val="24"/>
          <w:lang w:val="en-GB"/>
        </w:rPr>
        <w:t>4</w:t>
      </w:r>
      <w:r w:rsidRPr="0028108F">
        <w:rPr>
          <w:rFonts w:ascii="Arial" w:hAnsi="Arial" w:cs="Arial"/>
          <w:szCs w:val="24"/>
          <w:lang w:val="en-GB"/>
        </w:rPr>
        <w:t xml:space="preserve"> of this Consultation Paper, different jurisdictions across the world have different measures for recognising a change of gender legalised in a foreign country or territory (see also Annex </w:t>
      </w:r>
      <w:r w:rsidRPr="008813DE">
        <w:rPr>
          <w:rFonts w:ascii="Arial" w:hAnsi="Arial" w:cs="Arial"/>
          <w:szCs w:val="24"/>
          <w:lang w:val="en-GB"/>
        </w:rPr>
        <w:t>A</w:t>
      </w:r>
      <w:r w:rsidRPr="0028108F">
        <w:rPr>
          <w:rFonts w:ascii="Arial" w:hAnsi="Arial" w:cs="Arial"/>
          <w:szCs w:val="24"/>
          <w:lang w:val="en-GB"/>
        </w:rPr>
        <w:t xml:space="preserve"> and Annex </w:t>
      </w:r>
      <w:r w:rsidRPr="008813DE">
        <w:rPr>
          <w:rFonts w:ascii="Arial" w:hAnsi="Arial" w:cs="Arial"/>
          <w:szCs w:val="24"/>
          <w:lang w:val="en-GB"/>
        </w:rPr>
        <w:t>B</w:t>
      </w:r>
      <w:r w:rsidRPr="0028108F">
        <w:rPr>
          <w:rFonts w:ascii="Arial" w:hAnsi="Arial" w:cs="Arial"/>
          <w:szCs w:val="24"/>
          <w:lang w:val="en-GB"/>
        </w:rPr>
        <w:t xml:space="preserve"> of this Consultation Paper).  However, it appears that most </w:t>
      </w:r>
      <w:r w:rsidR="00196CC7" w:rsidRPr="0028108F">
        <w:rPr>
          <w:rFonts w:ascii="Arial" w:hAnsi="Arial" w:cs="Arial"/>
          <w:szCs w:val="24"/>
          <w:lang w:val="en-GB"/>
        </w:rPr>
        <w:t xml:space="preserve">jurisdictions </w:t>
      </w:r>
      <w:r w:rsidRPr="0028108F">
        <w:rPr>
          <w:rFonts w:ascii="Arial" w:hAnsi="Arial" w:cs="Arial"/>
          <w:szCs w:val="24"/>
          <w:lang w:val="en-GB"/>
        </w:rPr>
        <w:t>do not specify whether or not</w:t>
      </w:r>
      <w:r w:rsidR="00395CCB" w:rsidRPr="0028108F">
        <w:rPr>
          <w:rFonts w:ascii="Arial" w:hAnsi="Arial" w:cs="Arial"/>
          <w:szCs w:val="24"/>
          <w:lang w:val="en-GB"/>
        </w:rPr>
        <w:t>,</w:t>
      </w:r>
      <w:r w:rsidRPr="0028108F">
        <w:rPr>
          <w:rFonts w:ascii="Arial" w:hAnsi="Arial" w:cs="Arial"/>
          <w:szCs w:val="24"/>
          <w:lang w:val="en-GB"/>
        </w:rPr>
        <w:t xml:space="preserve"> and how</w:t>
      </w:r>
      <w:r w:rsidR="00395CCB" w:rsidRPr="0028108F">
        <w:rPr>
          <w:rFonts w:ascii="Arial" w:hAnsi="Arial" w:cs="Arial"/>
          <w:szCs w:val="24"/>
          <w:lang w:val="en-GB"/>
        </w:rPr>
        <w:t>,</w:t>
      </w:r>
      <w:r w:rsidRPr="0028108F">
        <w:rPr>
          <w:rFonts w:ascii="Arial" w:hAnsi="Arial" w:cs="Arial"/>
          <w:szCs w:val="24"/>
          <w:lang w:val="en-GB"/>
        </w:rPr>
        <w:t xml:space="preserve"> foreign gender recognition will be recognised under their schemes.  In contrast, the following jurisdictions appear to have the option of recognising change of gender which has been legalised by certain other jurisdictions:</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181CF2" w:rsidRDefault="00E773F6" w:rsidP="00E773F6">
      <w:pPr>
        <w:pStyle w:val="ListParagraph"/>
        <w:numPr>
          <w:ilvl w:val="0"/>
          <w:numId w:val="36"/>
        </w:numPr>
        <w:tabs>
          <w:tab w:val="left" w:pos="1418"/>
        </w:tabs>
        <w:autoSpaceDE w:val="0"/>
        <w:autoSpaceDN w:val="0"/>
        <w:adjustRightInd w:val="0"/>
        <w:snapToGrid w:val="0"/>
        <w:ind w:leftChars="235" w:left="1416" w:hangingChars="355" w:hanging="852"/>
        <w:jc w:val="both"/>
        <w:rPr>
          <w:rFonts w:ascii="Arial" w:hAnsi="Arial" w:cs="Arial"/>
          <w:szCs w:val="24"/>
          <w:lang w:val="en-GB"/>
        </w:rPr>
      </w:pPr>
      <w:r w:rsidRPr="0028108F">
        <w:rPr>
          <w:rFonts w:ascii="Arial" w:hAnsi="Arial" w:cs="Arial"/>
          <w:szCs w:val="24"/>
          <w:lang w:val="en-GB"/>
        </w:rPr>
        <w:t xml:space="preserve">The UK </w:t>
      </w:r>
      <w:r w:rsidR="00585F17" w:rsidRPr="0028108F">
        <w:rPr>
          <w:rFonts w:ascii="Arial" w:hAnsi="Arial" w:cs="Arial"/>
          <w:szCs w:val="24"/>
          <w:lang w:val="en-GB"/>
        </w:rPr>
        <w:t>GRA</w:t>
      </w:r>
      <w:r w:rsidRPr="0028108F">
        <w:rPr>
          <w:rFonts w:ascii="Arial" w:hAnsi="Arial" w:cs="Arial"/>
          <w:szCs w:val="24"/>
          <w:lang w:val="en-GB"/>
        </w:rPr>
        <w:t xml:space="preserve"> provides, under sections 1(1)(b) and 3(5), that a person’s gender change recognised in an approved country or territory might be recognised in the UK.  For example, Italy is one of the countries approved by the Secretary of State for the purpose </w:t>
      </w:r>
      <w:r w:rsidR="00CE527D" w:rsidRPr="0028108F">
        <w:rPr>
          <w:rFonts w:ascii="Arial" w:hAnsi="Arial" w:cs="Arial"/>
          <w:szCs w:val="24"/>
          <w:lang w:val="en-GB"/>
        </w:rPr>
        <w:t xml:space="preserve">of </w:t>
      </w:r>
      <w:r w:rsidRPr="00181CF2">
        <w:rPr>
          <w:rFonts w:ascii="Arial" w:hAnsi="Arial" w:cs="Arial"/>
          <w:szCs w:val="24"/>
          <w:lang w:val="en-GB"/>
        </w:rPr>
        <w:t xml:space="preserve">the </w:t>
      </w:r>
      <w:r w:rsidR="00784AF1" w:rsidRPr="00181CF2">
        <w:rPr>
          <w:rFonts w:ascii="Arial" w:hAnsi="Arial" w:cs="Arial"/>
          <w:szCs w:val="24"/>
          <w:lang w:val="en-GB"/>
        </w:rPr>
        <w:t>UK GRA</w:t>
      </w:r>
      <w:r w:rsidRPr="00C57CE1">
        <w:rPr>
          <w:rFonts w:ascii="Arial" w:hAnsi="Arial" w:cs="Arial"/>
          <w:szCs w:val="24"/>
          <w:lang w:val="en-GB"/>
        </w:rPr>
        <w:t>.</w:t>
      </w:r>
      <w:r w:rsidRPr="00181CF2">
        <w:rPr>
          <w:rStyle w:val="FootnoteReference"/>
          <w:rFonts w:ascii="Arial" w:hAnsi="Arial" w:cs="Arial"/>
          <w:szCs w:val="24"/>
          <w:lang w:val="en-GB"/>
        </w:rPr>
        <w:footnoteReference w:id="795"/>
      </w:r>
      <w:r w:rsidRPr="00181CF2">
        <w:rPr>
          <w:rFonts w:ascii="Arial" w:hAnsi="Arial" w:cs="Arial"/>
          <w:szCs w:val="24"/>
          <w:lang w:val="en-GB"/>
        </w:rPr>
        <w:t xml:space="preserve">  </w:t>
      </w:r>
    </w:p>
    <w:p w:rsidR="00E773F6" w:rsidRPr="00C57CE1" w:rsidRDefault="00E773F6" w:rsidP="00E773F6">
      <w:pPr>
        <w:pStyle w:val="ListParagraph"/>
        <w:tabs>
          <w:tab w:val="left" w:pos="1418"/>
        </w:tabs>
        <w:autoSpaceDE w:val="0"/>
        <w:autoSpaceDN w:val="0"/>
        <w:adjustRightInd w:val="0"/>
        <w:snapToGrid w:val="0"/>
        <w:ind w:leftChars="236" w:left="566"/>
        <w:jc w:val="both"/>
        <w:rPr>
          <w:rFonts w:ascii="Arial" w:hAnsi="Arial" w:cs="Arial"/>
          <w:szCs w:val="24"/>
          <w:lang w:val="en-GB"/>
        </w:rPr>
      </w:pPr>
    </w:p>
    <w:p w:rsidR="00E773F6" w:rsidRPr="00181CF2" w:rsidRDefault="00E773F6" w:rsidP="00E773F6">
      <w:pPr>
        <w:pStyle w:val="ListParagraph"/>
        <w:numPr>
          <w:ilvl w:val="0"/>
          <w:numId w:val="36"/>
        </w:numPr>
        <w:tabs>
          <w:tab w:val="left" w:pos="1418"/>
        </w:tabs>
        <w:autoSpaceDE w:val="0"/>
        <w:autoSpaceDN w:val="0"/>
        <w:adjustRightInd w:val="0"/>
        <w:snapToGrid w:val="0"/>
        <w:ind w:leftChars="235" w:left="1416" w:hangingChars="355" w:hanging="852"/>
        <w:jc w:val="both"/>
        <w:rPr>
          <w:rFonts w:ascii="Arial" w:hAnsi="Arial" w:cs="Arial"/>
          <w:szCs w:val="24"/>
          <w:lang w:val="en-GB"/>
        </w:rPr>
      </w:pPr>
      <w:r w:rsidRPr="0028108F">
        <w:rPr>
          <w:rFonts w:ascii="Arial" w:hAnsi="Arial" w:cs="Arial"/>
          <w:szCs w:val="24"/>
          <w:lang w:val="en-GB"/>
        </w:rPr>
        <w:t>Sweden may recognise a verdict or a decision about a person’s changed gender, as determined by a foreign court or authority, if the person was a citizen in the foreign country or had residency there when the verdict or the decision was determined.</w:t>
      </w:r>
      <w:r w:rsidRPr="00181CF2">
        <w:rPr>
          <w:rStyle w:val="FootnoteReference"/>
          <w:rFonts w:ascii="Arial" w:hAnsi="Arial" w:cs="Arial"/>
          <w:szCs w:val="24"/>
          <w:lang w:val="en-GB"/>
        </w:rPr>
        <w:footnoteReference w:id="796"/>
      </w:r>
    </w:p>
    <w:p w:rsidR="00E773F6" w:rsidRPr="00C57CE1" w:rsidRDefault="00E773F6" w:rsidP="00E773F6">
      <w:pPr>
        <w:pStyle w:val="ListParagraph"/>
        <w:tabs>
          <w:tab w:val="left" w:pos="1418"/>
        </w:tabs>
        <w:adjustRightInd w:val="0"/>
        <w:snapToGrid w:val="0"/>
        <w:ind w:leftChars="236" w:left="566"/>
        <w:rPr>
          <w:rFonts w:ascii="Arial" w:hAnsi="Arial" w:cs="Arial"/>
          <w:szCs w:val="24"/>
          <w:lang w:val="en-GB"/>
        </w:rPr>
      </w:pPr>
    </w:p>
    <w:p w:rsidR="00E773F6" w:rsidRPr="00181CF2" w:rsidRDefault="00E773F6" w:rsidP="00E773F6">
      <w:pPr>
        <w:pStyle w:val="ListParagraph"/>
        <w:numPr>
          <w:ilvl w:val="0"/>
          <w:numId w:val="36"/>
        </w:numPr>
        <w:tabs>
          <w:tab w:val="left" w:pos="1418"/>
        </w:tabs>
        <w:autoSpaceDE w:val="0"/>
        <w:autoSpaceDN w:val="0"/>
        <w:adjustRightInd w:val="0"/>
        <w:snapToGrid w:val="0"/>
        <w:ind w:leftChars="235" w:left="1416" w:hangingChars="355" w:hanging="852"/>
        <w:jc w:val="both"/>
        <w:rPr>
          <w:rFonts w:ascii="Arial" w:hAnsi="Arial" w:cs="Arial"/>
          <w:szCs w:val="24"/>
          <w:lang w:val="en-GB"/>
        </w:rPr>
      </w:pPr>
      <w:r w:rsidRPr="0028108F">
        <w:rPr>
          <w:rFonts w:ascii="Arial" w:hAnsi="Arial" w:cs="Arial"/>
          <w:szCs w:val="24"/>
          <w:lang w:val="en-GB"/>
        </w:rPr>
        <w:t xml:space="preserve">Manitoba (Canada) empowers the Director of Vital Statistics to change the sex designation of an applicant’s birth registration upon receipt of documentation effecting a change of sex designation from the foreign jurisdiction in which he or she is domiciled or habitually resides, provided, </w:t>
      </w:r>
      <w:r w:rsidRPr="0028108F">
        <w:rPr>
          <w:rFonts w:ascii="Arial" w:hAnsi="Arial" w:cs="Arial"/>
          <w:i/>
          <w:szCs w:val="24"/>
          <w:lang w:val="en-GB"/>
        </w:rPr>
        <w:t>inter alia</w:t>
      </w:r>
      <w:r w:rsidRPr="0028108F">
        <w:rPr>
          <w:rFonts w:ascii="Arial" w:hAnsi="Arial" w:cs="Arial"/>
          <w:szCs w:val="24"/>
          <w:lang w:val="en-GB"/>
        </w:rPr>
        <w:t>, that the legal requirements of the jurisdiction for such changes are comparable to the requirements under the Vital Statistics Act of Manitoba.</w:t>
      </w:r>
      <w:r w:rsidRPr="00181CF2">
        <w:rPr>
          <w:rStyle w:val="FootnoteReference"/>
          <w:rFonts w:ascii="Arial" w:hAnsi="Arial" w:cs="Arial"/>
          <w:szCs w:val="24"/>
          <w:lang w:val="en-GB"/>
        </w:rPr>
        <w:footnoteReference w:id="797"/>
      </w:r>
      <w:r w:rsidRPr="00181CF2">
        <w:rPr>
          <w:rFonts w:ascii="Arial" w:hAnsi="Arial" w:cs="Arial"/>
          <w:szCs w:val="24"/>
          <w:lang w:val="en-GB"/>
        </w:rPr>
        <w:t xml:space="preserve"> </w:t>
      </w:r>
    </w:p>
    <w:p w:rsidR="00E773F6" w:rsidRPr="00C57CE1" w:rsidRDefault="00E773F6" w:rsidP="00E773F6">
      <w:pPr>
        <w:widowControl/>
        <w:tabs>
          <w:tab w:val="left" w:pos="1418"/>
        </w:tabs>
        <w:ind w:leftChars="236" w:left="566"/>
        <w:rPr>
          <w:rFonts w:ascii="Arial" w:hAnsi="Arial" w:cs="Arial"/>
          <w:szCs w:val="24"/>
          <w:lang w:val="en-GB"/>
        </w:rPr>
      </w:pPr>
    </w:p>
    <w:p w:rsidR="00E773F6" w:rsidRPr="0028108F" w:rsidRDefault="00E773F6" w:rsidP="00E773F6">
      <w:pPr>
        <w:pStyle w:val="ListParagraph"/>
        <w:numPr>
          <w:ilvl w:val="0"/>
          <w:numId w:val="36"/>
        </w:numPr>
        <w:tabs>
          <w:tab w:val="left" w:pos="1418"/>
        </w:tabs>
        <w:autoSpaceDE w:val="0"/>
        <w:autoSpaceDN w:val="0"/>
        <w:adjustRightInd w:val="0"/>
        <w:snapToGrid w:val="0"/>
        <w:ind w:leftChars="235" w:left="1416" w:hangingChars="355" w:hanging="852"/>
        <w:jc w:val="both"/>
        <w:rPr>
          <w:rFonts w:ascii="Arial" w:hAnsi="Arial" w:cs="Arial"/>
          <w:szCs w:val="24"/>
          <w:lang w:val="en-GB"/>
        </w:rPr>
      </w:pPr>
      <w:r w:rsidRPr="0028108F">
        <w:rPr>
          <w:rFonts w:ascii="Arial" w:hAnsi="Arial" w:cs="Arial"/>
          <w:szCs w:val="24"/>
          <w:lang w:val="en-GB"/>
        </w:rPr>
        <w:t>Ontario (Canada) allows applicants to submit a document or certificate issued by a jurisdiction in which the applicant was domiciled or ordinarily resident that, in the opinion of the Registrar General, confirms that the applicant’s gender identity does not accord with the sex designation on the applicant’s birth registration and it is appropriate that the sex designation be changed.</w:t>
      </w:r>
    </w:p>
    <w:p w:rsidR="00E773F6" w:rsidRPr="0028108F" w:rsidRDefault="00E773F6" w:rsidP="00E773F6">
      <w:pPr>
        <w:pStyle w:val="ListParagraph"/>
        <w:tabs>
          <w:tab w:val="left" w:pos="1418"/>
        </w:tabs>
        <w:adjustRightInd w:val="0"/>
        <w:snapToGrid w:val="0"/>
        <w:ind w:leftChars="236" w:left="566"/>
        <w:rPr>
          <w:rFonts w:ascii="Arial" w:hAnsi="Arial" w:cs="Arial"/>
          <w:szCs w:val="24"/>
          <w:lang w:val="en-GB"/>
        </w:rPr>
      </w:pPr>
    </w:p>
    <w:p w:rsidR="00E773F6" w:rsidRPr="00181CF2" w:rsidRDefault="00E773F6" w:rsidP="00E773F6">
      <w:pPr>
        <w:pStyle w:val="ListParagraph"/>
        <w:numPr>
          <w:ilvl w:val="0"/>
          <w:numId w:val="36"/>
        </w:numPr>
        <w:tabs>
          <w:tab w:val="left" w:pos="1418"/>
        </w:tabs>
        <w:autoSpaceDE w:val="0"/>
        <w:autoSpaceDN w:val="0"/>
        <w:adjustRightInd w:val="0"/>
        <w:snapToGrid w:val="0"/>
        <w:ind w:leftChars="235" w:left="1416" w:hangingChars="355" w:hanging="852"/>
        <w:jc w:val="both"/>
        <w:rPr>
          <w:rFonts w:ascii="Arial" w:hAnsi="Arial" w:cs="Arial"/>
          <w:szCs w:val="24"/>
          <w:lang w:val="en-GB"/>
        </w:rPr>
      </w:pPr>
      <w:r w:rsidRPr="0028108F">
        <w:rPr>
          <w:rFonts w:ascii="Arial" w:hAnsi="Arial" w:cs="Arial"/>
          <w:szCs w:val="24"/>
          <w:lang w:val="en-GB"/>
        </w:rPr>
        <w:t>Utah (US) accepts evidence of sex change approved by a court of competent jurisdiction of another state in the US or a province of Canada.</w:t>
      </w:r>
      <w:r w:rsidRPr="00181CF2">
        <w:rPr>
          <w:rStyle w:val="FootnoteReference"/>
          <w:rFonts w:ascii="Arial" w:hAnsi="Arial" w:cs="Arial"/>
          <w:szCs w:val="24"/>
          <w:lang w:val="en-GB"/>
        </w:rPr>
        <w:footnoteReference w:id="798"/>
      </w:r>
      <w:r w:rsidRPr="00181CF2">
        <w:rPr>
          <w:rFonts w:ascii="Arial" w:hAnsi="Arial" w:cs="Arial"/>
          <w:szCs w:val="24"/>
          <w:lang w:val="en-GB"/>
        </w:rPr>
        <w:t xml:space="preserve"> </w:t>
      </w:r>
    </w:p>
    <w:p w:rsidR="00E773F6" w:rsidRPr="00C57CE1" w:rsidRDefault="00E773F6" w:rsidP="00E773F6">
      <w:pPr>
        <w:pStyle w:val="ListParagraph"/>
        <w:tabs>
          <w:tab w:val="left" w:pos="1418"/>
        </w:tabs>
        <w:autoSpaceDE w:val="0"/>
        <w:autoSpaceDN w:val="0"/>
        <w:adjustRightInd w:val="0"/>
        <w:snapToGrid w:val="0"/>
        <w:ind w:leftChars="295" w:left="708"/>
        <w:jc w:val="both"/>
        <w:rPr>
          <w:rFonts w:ascii="Arial" w:hAnsi="Arial" w:cs="Arial"/>
          <w:szCs w:val="24"/>
          <w:lang w:val="en-GB"/>
        </w:rPr>
      </w:pPr>
    </w:p>
    <w:p w:rsidR="00E773F6" w:rsidRPr="0028108F" w:rsidRDefault="00E773F6" w:rsidP="00E773F6">
      <w:pPr>
        <w:adjustRightInd w:val="0"/>
        <w:snapToGrid w:val="0"/>
        <w:rPr>
          <w:rFonts w:ascii="Arial" w:hAnsi="Arial" w:cs="Arial"/>
          <w:i/>
          <w:szCs w:val="24"/>
          <w:lang w:val="en-GB"/>
        </w:rPr>
      </w:pPr>
      <w:r w:rsidRPr="0028108F">
        <w:rPr>
          <w:rFonts w:ascii="Arial" w:hAnsi="Arial" w:cs="Arial"/>
          <w:i/>
          <w:szCs w:val="24"/>
          <w:lang w:val="en-GB"/>
        </w:rPr>
        <w:t>Relevant international convention: ICCS Convention No. 29</w:t>
      </w:r>
    </w:p>
    <w:p w:rsidR="00E773F6" w:rsidRPr="0028108F" w:rsidRDefault="00E773F6" w:rsidP="00E773F6">
      <w:pPr>
        <w:adjustRightInd w:val="0"/>
        <w:snapToGrid w:val="0"/>
        <w:rPr>
          <w:rFonts w:ascii="Arial" w:hAnsi="Arial" w:cs="Arial"/>
          <w:b/>
          <w:i/>
          <w:szCs w:val="24"/>
          <w:lang w:val="en-GB"/>
        </w:rPr>
      </w:pPr>
    </w:p>
    <w:p w:rsidR="00E773F6" w:rsidRPr="00181CF2" w:rsidRDefault="00196CC7"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28108F">
        <w:rPr>
          <w:rFonts w:ascii="Arial" w:hAnsi="Arial" w:cs="Arial"/>
          <w:kern w:val="0"/>
          <w:szCs w:val="24"/>
          <w:lang w:val="en-GB"/>
        </w:rPr>
        <w:t>D</w:t>
      </w:r>
      <w:r w:rsidR="00E773F6" w:rsidRPr="0028108F">
        <w:rPr>
          <w:rFonts w:ascii="Arial" w:hAnsi="Arial" w:cs="Arial"/>
          <w:kern w:val="0"/>
          <w:szCs w:val="24"/>
          <w:lang w:val="en-GB"/>
        </w:rPr>
        <w:t xml:space="preserve">ifferent jurisdictions </w:t>
      </w:r>
      <w:r w:rsidRPr="0028108F">
        <w:rPr>
          <w:rFonts w:ascii="Arial" w:hAnsi="Arial" w:cs="Arial"/>
          <w:kern w:val="0"/>
          <w:szCs w:val="24"/>
          <w:lang w:val="en-GB"/>
        </w:rPr>
        <w:t xml:space="preserve">might </w:t>
      </w:r>
      <w:r w:rsidR="00E773F6" w:rsidRPr="0028108F">
        <w:rPr>
          <w:rFonts w:ascii="Arial" w:hAnsi="Arial" w:cs="Arial"/>
          <w:kern w:val="0"/>
          <w:szCs w:val="24"/>
          <w:lang w:val="en-GB"/>
        </w:rPr>
        <w:t>mutually agree to recognise gender change</w:t>
      </w:r>
      <w:r w:rsidR="00622868" w:rsidRPr="0028108F">
        <w:rPr>
          <w:rFonts w:ascii="Arial" w:hAnsi="Arial" w:cs="Arial"/>
          <w:kern w:val="0"/>
          <w:szCs w:val="24"/>
          <w:lang w:val="en-GB"/>
        </w:rPr>
        <w:t>s</w:t>
      </w:r>
      <w:r w:rsidR="00E773F6" w:rsidRPr="0028108F">
        <w:rPr>
          <w:rFonts w:ascii="Arial" w:hAnsi="Arial" w:cs="Arial"/>
          <w:kern w:val="0"/>
          <w:szCs w:val="24"/>
          <w:lang w:val="en-GB"/>
        </w:rPr>
        <w:t xml:space="preserve"> legally granted in respective states.  </w:t>
      </w:r>
      <w:r w:rsidR="00395CCB" w:rsidRPr="0028108F">
        <w:rPr>
          <w:rFonts w:ascii="Arial" w:hAnsi="Arial" w:cs="Arial"/>
          <w:kern w:val="0"/>
          <w:szCs w:val="24"/>
          <w:lang w:val="en-GB"/>
        </w:rPr>
        <w:t>O</w:t>
      </w:r>
      <w:r w:rsidR="00E773F6" w:rsidRPr="0028108F">
        <w:rPr>
          <w:rFonts w:ascii="Arial" w:hAnsi="Arial" w:cs="Arial"/>
          <w:kern w:val="0"/>
          <w:szCs w:val="24"/>
          <w:lang w:val="en-GB"/>
        </w:rPr>
        <w:t xml:space="preserve">ne </w:t>
      </w:r>
      <w:r w:rsidR="00D0760E" w:rsidRPr="0028108F">
        <w:rPr>
          <w:rFonts w:ascii="Arial" w:hAnsi="Arial" w:cs="Arial"/>
          <w:kern w:val="0"/>
          <w:szCs w:val="24"/>
          <w:lang w:val="en-GB"/>
        </w:rPr>
        <w:t xml:space="preserve">relevant </w:t>
      </w:r>
      <w:r w:rsidR="00E773F6" w:rsidRPr="0028108F">
        <w:rPr>
          <w:rFonts w:ascii="Arial" w:hAnsi="Arial" w:cs="Arial"/>
          <w:kern w:val="0"/>
          <w:szCs w:val="24"/>
          <w:lang w:val="en-GB"/>
        </w:rPr>
        <w:t xml:space="preserve">agreement found in Europe is the </w:t>
      </w:r>
      <w:r w:rsidR="00E773F6" w:rsidRPr="0028108F">
        <w:rPr>
          <w:rFonts w:ascii="Arial" w:hAnsi="Arial" w:cs="Arial"/>
          <w:i/>
          <w:kern w:val="0"/>
          <w:szCs w:val="24"/>
          <w:lang w:val="en-GB"/>
        </w:rPr>
        <w:t>“Convention no. 29 on the recognition of decisions recording a sex reassignment”</w:t>
      </w:r>
      <w:r w:rsidR="00395CCB" w:rsidRPr="0028108F">
        <w:rPr>
          <w:rFonts w:ascii="Arial" w:hAnsi="Arial" w:cs="Arial"/>
          <w:i/>
          <w:kern w:val="0"/>
          <w:szCs w:val="24"/>
          <w:lang w:val="en-GB"/>
        </w:rPr>
        <w:t>,</w:t>
      </w:r>
      <w:r w:rsidR="00E773F6" w:rsidRPr="00181CF2">
        <w:rPr>
          <w:rStyle w:val="FootnoteReference"/>
          <w:rFonts w:ascii="Arial" w:hAnsi="Arial" w:cs="Arial"/>
          <w:kern w:val="0"/>
          <w:szCs w:val="24"/>
          <w:lang w:val="en-GB"/>
        </w:rPr>
        <w:footnoteReference w:id="799"/>
      </w:r>
      <w:r w:rsidR="00E773F6" w:rsidRPr="00181CF2">
        <w:rPr>
          <w:rFonts w:ascii="Arial" w:hAnsi="Arial" w:cs="Arial"/>
          <w:kern w:val="0"/>
          <w:szCs w:val="24"/>
          <w:lang w:val="en-GB"/>
        </w:rPr>
        <w:t xml:space="preserve"> dated 12 September 2002</w:t>
      </w:r>
      <w:r w:rsidR="00395CCB" w:rsidRPr="00C57CE1">
        <w:rPr>
          <w:rFonts w:ascii="Arial" w:hAnsi="Arial" w:cs="Arial"/>
          <w:kern w:val="0"/>
          <w:szCs w:val="24"/>
          <w:lang w:val="en-GB"/>
        </w:rPr>
        <w:t>,</w:t>
      </w:r>
      <w:r w:rsidR="00E773F6" w:rsidRPr="0028108F">
        <w:rPr>
          <w:rFonts w:ascii="Arial" w:hAnsi="Arial" w:cs="Arial"/>
          <w:kern w:val="0"/>
          <w:szCs w:val="24"/>
          <w:lang w:val="en-GB"/>
        </w:rPr>
        <w:t xml:space="preserve"> issued by the International Commission on Civil Status (ICCS)</w:t>
      </w:r>
      <w:r w:rsidR="00D0760E" w:rsidRPr="0028108F">
        <w:rPr>
          <w:rFonts w:ascii="Arial" w:hAnsi="Arial" w:cs="Arial"/>
          <w:kern w:val="0"/>
          <w:szCs w:val="24"/>
          <w:lang w:val="en-GB"/>
        </w:rPr>
        <w:t>.</w:t>
      </w:r>
      <w:r w:rsidR="00E773F6" w:rsidRPr="00181CF2">
        <w:rPr>
          <w:rStyle w:val="FootnoteReference"/>
          <w:rFonts w:ascii="Arial" w:hAnsi="Arial" w:cs="Arial"/>
          <w:kern w:val="0"/>
          <w:szCs w:val="24"/>
          <w:lang w:val="en-GB"/>
        </w:rPr>
        <w:footnoteReference w:id="800"/>
      </w:r>
      <w:r w:rsidR="00E773F6" w:rsidRPr="00181CF2">
        <w:rPr>
          <w:rFonts w:ascii="Arial" w:hAnsi="Arial" w:cs="Arial"/>
          <w:kern w:val="0"/>
          <w:szCs w:val="24"/>
          <w:lang w:val="en-GB"/>
        </w:rPr>
        <w:t xml:space="preserve"> </w:t>
      </w:r>
      <w:r w:rsidR="00D0760E" w:rsidRPr="00C57CE1">
        <w:rPr>
          <w:rFonts w:ascii="Arial" w:hAnsi="Arial" w:cs="Arial"/>
          <w:kern w:val="0"/>
          <w:szCs w:val="24"/>
          <w:lang w:val="en-GB"/>
        </w:rPr>
        <w:t xml:space="preserve"> The Convention</w:t>
      </w:r>
      <w:r w:rsidR="00E773F6" w:rsidRPr="0028108F">
        <w:rPr>
          <w:rFonts w:ascii="Arial" w:hAnsi="Arial" w:cs="Arial"/>
          <w:kern w:val="0"/>
          <w:szCs w:val="24"/>
          <w:lang w:val="en-GB"/>
        </w:rPr>
        <w:t xml:space="preserve"> is “</w:t>
      </w:r>
      <w:r w:rsidR="00E773F6" w:rsidRPr="0028108F">
        <w:rPr>
          <w:rFonts w:ascii="Arial" w:hAnsi="Arial" w:cs="Arial"/>
          <w:i/>
          <w:kern w:val="0"/>
          <w:szCs w:val="24"/>
          <w:lang w:val="en-GB"/>
        </w:rPr>
        <w:t>limited to laying down the conditions governing the recognition in one State of a sex reassignment decision taken in another State</w:t>
      </w:r>
      <w:r w:rsidR="00E773F6" w:rsidRPr="0028108F">
        <w:rPr>
          <w:rFonts w:ascii="Arial" w:hAnsi="Arial" w:cs="Arial"/>
          <w:kern w:val="0"/>
          <w:szCs w:val="24"/>
          <w:lang w:val="en-GB"/>
        </w:rPr>
        <w:t>”.</w:t>
      </w:r>
      <w:r w:rsidR="00E773F6" w:rsidRPr="00181CF2">
        <w:rPr>
          <w:rStyle w:val="FootnoteReference"/>
          <w:rFonts w:ascii="Arial" w:hAnsi="Arial" w:cs="Arial"/>
          <w:szCs w:val="24"/>
          <w:lang w:val="en-GB"/>
        </w:rPr>
        <w:footnoteReference w:id="801"/>
      </w:r>
      <w:r w:rsidR="00E773F6" w:rsidRPr="00181CF2">
        <w:rPr>
          <w:rFonts w:ascii="Arial" w:hAnsi="Arial" w:cs="Arial"/>
          <w:kern w:val="0"/>
          <w:szCs w:val="24"/>
          <w:lang w:val="en-GB"/>
        </w:rPr>
        <w:t xml:space="preserve">  The Convention provides that the Contracting States should mutually recognise each other’s “</w:t>
      </w:r>
      <w:r w:rsidR="00E773F6" w:rsidRPr="00C57CE1">
        <w:rPr>
          <w:rFonts w:ascii="Arial" w:hAnsi="Arial" w:cs="Arial"/>
          <w:i/>
          <w:kern w:val="0"/>
          <w:szCs w:val="24"/>
          <w:lang w:val="en-GB"/>
        </w:rPr>
        <w:t>final court or administrative de</w:t>
      </w:r>
      <w:r w:rsidR="00E773F6" w:rsidRPr="0028108F">
        <w:rPr>
          <w:rFonts w:ascii="Arial" w:hAnsi="Arial" w:cs="Arial"/>
          <w:i/>
          <w:kern w:val="0"/>
          <w:szCs w:val="24"/>
          <w:lang w:val="en-GB"/>
        </w:rPr>
        <w:t>cisions recording a person’s sex reassignment that have been taken by the competent authorities</w:t>
      </w:r>
      <w:r w:rsidR="00E773F6" w:rsidRPr="0028108F">
        <w:rPr>
          <w:rFonts w:ascii="Arial" w:hAnsi="Arial" w:cs="Arial"/>
          <w:kern w:val="0"/>
          <w:szCs w:val="24"/>
          <w:lang w:val="en-GB"/>
        </w:rPr>
        <w:t>”.</w:t>
      </w:r>
      <w:r w:rsidR="00E773F6" w:rsidRPr="00181CF2">
        <w:rPr>
          <w:rStyle w:val="FootnoteReference"/>
          <w:rFonts w:ascii="Arial" w:hAnsi="Arial" w:cs="Arial"/>
          <w:kern w:val="0"/>
          <w:szCs w:val="24"/>
          <w:lang w:val="en-GB"/>
        </w:rPr>
        <w:footnoteReference w:id="802"/>
      </w:r>
      <w:r w:rsidR="00E773F6" w:rsidRPr="00181CF2">
        <w:rPr>
          <w:rFonts w:ascii="Arial" w:hAnsi="Arial" w:cs="Arial"/>
          <w:kern w:val="0"/>
          <w:szCs w:val="24"/>
          <w:lang w:val="en-GB"/>
        </w:rPr>
        <w:t xml:space="preserve">  The Convention has been signed by five countries (Germany, Austria, Spain, Greece and the Netherlands), but only Spain and the Netherlands have ratified this</w:t>
      </w:r>
      <w:r w:rsidR="00E773F6" w:rsidRPr="00C57CE1">
        <w:rPr>
          <w:rFonts w:ascii="Arial" w:hAnsi="Arial" w:cs="Arial"/>
          <w:kern w:val="0"/>
          <w:szCs w:val="24"/>
          <w:lang w:val="en-GB"/>
        </w:rPr>
        <w:t xml:space="preserve"> Convention</w:t>
      </w:r>
      <w:r w:rsidRPr="0028108F">
        <w:rPr>
          <w:rFonts w:ascii="Arial" w:hAnsi="Arial" w:cs="Arial"/>
          <w:kern w:val="0"/>
          <w:szCs w:val="24"/>
          <w:lang w:val="en-GB"/>
        </w:rPr>
        <w:t xml:space="preserve"> (</w:t>
      </w:r>
      <w:r w:rsidR="00395CCB" w:rsidRPr="0028108F">
        <w:rPr>
          <w:rFonts w:ascii="Arial" w:hAnsi="Arial" w:cs="Arial"/>
          <w:kern w:val="0"/>
          <w:szCs w:val="24"/>
          <w:lang w:val="en-GB"/>
        </w:rPr>
        <w:t xml:space="preserve">this </w:t>
      </w:r>
      <w:r w:rsidRPr="0028108F">
        <w:rPr>
          <w:rFonts w:ascii="Arial" w:hAnsi="Arial" w:cs="Arial"/>
          <w:kern w:val="0"/>
          <w:szCs w:val="24"/>
          <w:lang w:val="en-GB"/>
        </w:rPr>
        <w:t>took</w:t>
      </w:r>
      <w:r w:rsidR="00E773F6" w:rsidRPr="0028108F">
        <w:rPr>
          <w:rFonts w:ascii="Arial" w:hAnsi="Arial" w:cs="Arial"/>
          <w:kern w:val="0"/>
          <w:szCs w:val="24"/>
          <w:lang w:val="en-GB"/>
        </w:rPr>
        <w:t xml:space="preserve"> effect </w:t>
      </w:r>
      <w:r w:rsidRPr="0028108F">
        <w:rPr>
          <w:rFonts w:ascii="Arial" w:hAnsi="Arial" w:cs="Arial"/>
          <w:kern w:val="0"/>
          <w:szCs w:val="24"/>
          <w:lang w:val="en-GB"/>
        </w:rPr>
        <w:t xml:space="preserve">on </w:t>
      </w:r>
      <w:r w:rsidR="00E773F6" w:rsidRPr="0028108F">
        <w:rPr>
          <w:rFonts w:ascii="Arial" w:hAnsi="Arial" w:cs="Arial"/>
          <w:kern w:val="0"/>
          <w:szCs w:val="24"/>
          <w:lang w:val="en-GB"/>
        </w:rPr>
        <w:t>1 March 2011</w:t>
      </w:r>
      <w:r w:rsidRPr="0028108F">
        <w:rPr>
          <w:rFonts w:ascii="Arial" w:hAnsi="Arial" w:cs="Arial"/>
          <w:kern w:val="0"/>
          <w:szCs w:val="24"/>
          <w:lang w:val="en-GB"/>
        </w:rPr>
        <w:t>)</w:t>
      </w:r>
      <w:r w:rsidR="00E773F6" w:rsidRPr="0028108F">
        <w:rPr>
          <w:rFonts w:ascii="Arial" w:hAnsi="Arial" w:cs="Arial"/>
          <w:kern w:val="0"/>
          <w:szCs w:val="24"/>
          <w:lang w:val="en-GB"/>
        </w:rPr>
        <w:t>.</w:t>
      </w:r>
      <w:r w:rsidR="00E773F6" w:rsidRPr="00181CF2">
        <w:rPr>
          <w:rStyle w:val="FootnoteReference"/>
          <w:rFonts w:ascii="Arial" w:hAnsi="Arial" w:cs="Arial"/>
          <w:kern w:val="0"/>
          <w:szCs w:val="24"/>
          <w:lang w:val="en-GB"/>
        </w:rPr>
        <w:footnoteReference w:id="803"/>
      </w:r>
    </w:p>
    <w:p w:rsidR="00E773F6" w:rsidRPr="00C57CE1" w:rsidRDefault="00E773F6" w:rsidP="00E773F6">
      <w:pPr>
        <w:pStyle w:val="ListParagraph"/>
        <w:tabs>
          <w:tab w:val="left" w:pos="1418"/>
        </w:tabs>
        <w:autoSpaceDE w:val="0"/>
        <w:autoSpaceDN w:val="0"/>
        <w:adjustRightInd w:val="0"/>
        <w:snapToGrid w:val="0"/>
        <w:ind w:leftChars="0" w:left="0"/>
        <w:jc w:val="both"/>
        <w:rPr>
          <w:rFonts w:ascii="Arial" w:hAnsi="Arial" w:cs="Arial"/>
          <w:kern w:val="0"/>
          <w:szCs w:val="24"/>
          <w:lang w:val="en-GB"/>
        </w:rPr>
      </w:pP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i/>
          <w:szCs w:val="24"/>
          <w:lang w:val="en-GB"/>
        </w:rPr>
      </w:pPr>
      <w:r w:rsidRPr="0028108F">
        <w:rPr>
          <w:rFonts w:ascii="Arial" w:hAnsi="Arial" w:cs="Arial"/>
          <w:i/>
          <w:szCs w:val="24"/>
          <w:lang w:val="en-GB"/>
        </w:rPr>
        <w:t>Sub-question (1): whether to recognise foreign gender recognition</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196CC7"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Some people argue</w:t>
      </w:r>
      <w:r w:rsidR="00E773F6" w:rsidRPr="0028108F">
        <w:rPr>
          <w:rFonts w:ascii="Arial" w:hAnsi="Arial" w:cs="Arial"/>
          <w:color w:val="000000" w:themeColor="text1"/>
          <w:szCs w:val="24"/>
          <w:lang w:val="en-GB"/>
        </w:rPr>
        <w:t xml:space="preserve"> that gender recognition granted in a foreign country should be recognised in Hong Kong, and Hong Kong should not ask the transgender persons </w:t>
      </w:r>
      <w:r w:rsidR="00E00CF5" w:rsidRPr="0028108F">
        <w:rPr>
          <w:rFonts w:ascii="Arial" w:hAnsi="Arial" w:cs="Arial"/>
          <w:color w:val="000000" w:themeColor="text1"/>
          <w:szCs w:val="24"/>
          <w:lang w:val="en-GB"/>
        </w:rPr>
        <w:t xml:space="preserve">who have had </w:t>
      </w:r>
      <w:r w:rsidR="00E773F6" w:rsidRPr="0028108F">
        <w:rPr>
          <w:rFonts w:ascii="Arial" w:hAnsi="Arial" w:cs="Arial"/>
          <w:color w:val="000000" w:themeColor="text1"/>
          <w:szCs w:val="24"/>
          <w:lang w:val="en-GB"/>
        </w:rPr>
        <w:t>their preferred gender recognised overseas to go through the local recognition process</w:t>
      </w:r>
      <w:r w:rsidR="00E00CF5"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because they have already successfully passed the threshold for gender recognition in an overseas jurisdiction where they </w:t>
      </w:r>
      <w:r w:rsidR="00E00CF5" w:rsidRPr="0028108F">
        <w:rPr>
          <w:rFonts w:ascii="Arial" w:hAnsi="Arial" w:cs="Arial"/>
          <w:color w:val="000000" w:themeColor="text1"/>
          <w:szCs w:val="24"/>
          <w:lang w:val="en-GB"/>
        </w:rPr>
        <w:t xml:space="preserve">were </w:t>
      </w:r>
      <w:r w:rsidR="00E773F6" w:rsidRPr="0028108F">
        <w:rPr>
          <w:rFonts w:ascii="Arial" w:hAnsi="Arial" w:cs="Arial"/>
          <w:color w:val="000000" w:themeColor="text1"/>
          <w:szCs w:val="24"/>
          <w:lang w:val="en-GB"/>
        </w:rPr>
        <w:t xml:space="preserve">domiciled or resided.  </w:t>
      </w:r>
      <w:r w:rsidR="00E00CF5" w:rsidRPr="0028108F">
        <w:rPr>
          <w:rFonts w:ascii="Arial" w:hAnsi="Arial" w:cs="Arial"/>
          <w:color w:val="000000" w:themeColor="text1"/>
          <w:szCs w:val="24"/>
          <w:lang w:val="en-GB"/>
        </w:rPr>
        <w:t>Arguably, i</w:t>
      </w:r>
      <w:r w:rsidR="00E773F6" w:rsidRPr="0028108F">
        <w:rPr>
          <w:rFonts w:ascii="Arial" w:hAnsi="Arial" w:cs="Arial"/>
          <w:color w:val="000000" w:themeColor="text1"/>
          <w:szCs w:val="24"/>
          <w:lang w:val="en-GB"/>
        </w:rPr>
        <w:t xml:space="preserve">t </w:t>
      </w:r>
      <w:r w:rsidRPr="0028108F">
        <w:rPr>
          <w:rFonts w:ascii="Arial" w:hAnsi="Arial" w:cs="Arial"/>
          <w:color w:val="000000" w:themeColor="text1"/>
          <w:szCs w:val="24"/>
          <w:lang w:val="en-GB"/>
        </w:rPr>
        <w:t xml:space="preserve">would be </w:t>
      </w:r>
      <w:r w:rsidR="00E773F6" w:rsidRPr="0028108F">
        <w:rPr>
          <w:rFonts w:ascii="Arial" w:hAnsi="Arial" w:cs="Arial"/>
          <w:color w:val="000000" w:themeColor="text1"/>
          <w:szCs w:val="24"/>
          <w:lang w:val="en-GB"/>
        </w:rPr>
        <w:t xml:space="preserve">onerous for them to re-submit an application and go through another round of procedures for the purpose of acquiring the rights that they should </w:t>
      </w:r>
      <w:r w:rsidR="00E00CF5" w:rsidRPr="0028108F">
        <w:rPr>
          <w:rFonts w:ascii="Arial" w:hAnsi="Arial" w:cs="Arial"/>
          <w:color w:val="000000" w:themeColor="text1"/>
          <w:szCs w:val="24"/>
          <w:lang w:val="en-GB"/>
        </w:rPr>
        <w:t xml:space="preserve">otherwise </w:t>
      </w:r>
      <w:r w:rsidR="00E773F6" w:rsidRPr="0028108F">
        <w:rPr>
          <w:rFonts w:ascii="Arial" w:hAnsi="Arial" w:cs="Arial"/>
          <w:color w:val="000000" w:themeColor="text1"/>
          <w:szCs w:val="24"/>
          <w:lang w:val="en-GB"/>
        </w:rPr>
        <w:t>be entitled to enjoy.</w:t>
      </w:r>
    </w:p>
    <w:p w:rsidR="00E773F6" w:rsidRPr="0028108F" w:rsidRDefault="00E773F6" w:rsidP="0028108F">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196CC7"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Not providing for recognition of foreign gender changes </w:t>
      </w:r>
      <w:r w:rsidR="00E00CF5" w:rsidRPr="0028108F">
        <w:rPr>
          <w:rFonts w:ascii="Arial" w:hAnsi="Arial" w:cs="Arial"/>
          <w:szCs w:val="24"/>
          <w:lang w:val="en-GB"/>
        </w:rPr>
        <w:t xml:space="preserve">in a gender recognition scheme may potentially </w:t>
      </w:r>
      <w:r w:rsidRPr="0028108F">
        <w:rPr>
          <w:rFonts w:ascii="Arial" w:hAnsi="Arial" w:cs="Arial"/>
          <w:szCs w:val="24"/>
          <w:lang w:val="en-GB"/>
        </w:rPr>
        <w:t xml:space="preserve">cause numerous problems.  </w:t>
      </w:r>
      <w:r w:rsidR="00B64280" w:rsidRPr="0028108F">
        <w:rPr>
          <w:rFonts w:ascii="Arial" w:hAnsi="Arial" w:cs="Arial"/>
          <w:szCs w:val="24"/>
          <w:lang w:val="en-GB"/>
        </w:rPr>
        <w:t xml:space="preserve">It appears </w:t>
      </w:r>
      <w:r w:rsidR="00E773F6" w:rsidRPr="0028108F">
        <w:rPr>
          <w:rFonts w:ascii="Arial" w:hAnsi="Arial" w:cs="Arial"/>
          <w:szCs w:val="24"/>
          <w:lang w:val="en-GB"/>
        </w:rPr>
        <w:t xml:space="preserve">from the experience of jurisdictions where recognition of foreign gender change is prohibited, or where the law </w:t>
      </w:r>
      <w:r w:rsidR="00E00CF5" w:rsidRPr="0028108F">
        <w:rPr>
          <w:rFonts w:ascii="Arial" w:hAnsi="Arial" w:cs="Arial"/>
          <w:szCs w:val="24"/>
          <w:lang w:val="en-GB"/>
        </w:rPr>
        <w:t xml:space="preserve">this </w:t>
      </w:r>
      <w:r w:rsidR="00E773F6" w:rsidRPr="0028108F">
        <w:rPr>
          <w:rFonts w:ascii="Arial" w:hAnsi="Arial" w:cs="Arial"/>
          <w:szCs w:val="24"/>
          <w:lang w:val="en-GB"/>
        </w:rPr>
        <w:t xml:space="preserve">is ambiguous, </w:t>
      </w:r>
      <w:r w:rsidR="00B64280" w:rsidRPr="0028108F">
        <w:rPr>
          <w:rFonts w:ascii="Arial" w:hAnsi="Arial" w:cs="Arial"/>
          <w:szCs w:val="24"/>
          <w:lang w:val="en-GB"/>
        </w:rPr>
        <w:t xml:space="preserve">that </w:t>
      </w:r>
      <w:r w:rsidR="00E773F6" w:rsidRPr="0028108F">
        <w:rPr>
          <w:rFonts w:ascii="Arial" w:hAnsi="Arial" w:cs="Arial"/>
          <w:szCs w:val="24"/>
          <w:lang w:val="en-GB"/>
        </w:rPr>
        <w:t>transgender people may encounter compounded difficulties in everyday life due to different gender identities stated on their identity documents issued by different jurisdictions, which could lead to administrative confusion and chaos.  The European Region of the International Lesbian, Gay, Bisexual, Trans and Intersex Association (ILGA-Europe)</w:t>
      </w:r>
      <w:r w:rsidR="00B64280" w:rsidRPr="0028108F">
        <w:rPr>
          <w:rFonts w:ascii="Arial" w:hAnsi="Arial" w:cs="Arial"/>
          <w:szCs w:val="24"/>
          <w:lang w:val="en-GB"/>
        </w:rPr>
        <w:t>, a European NGO,</w:t>
      </w:r>
      <w:r w:rsidR="00E773F6" w:rsidRPr="0028108F">
        <w:rPr>
          <w:rFonts w:ascii="Arial" w:hAnsi="Arial" w:cs="Arial"/>
          <w:szCs w:val="24"/>
          <w:lang w:val="en-GB"/>
        </w:rPr>
        <w:t xml:space="preserve"> </w:t>
      </w:r>
      <w:r w:rsidR="00B64280" w:rsidRPr="0028108F">
        <w:rPr>
          <w:rFonts w:ascii="Arial" w:hAnsi="Arial" w:cs="Arial"/>
          <w:szCs w:val="24"/>
          <w:lang w:val="en-GB"/>
        </w:rPr>
        <w:t>gave</w:t>
      </w:r>
      <w:r w:rsidR="00990512" w:rsidRPr="0028108F">
        <w:rPr>
          <w:rFonts w:ascii="Arial" w:hAnsi="Arial" w:cs="Arial"/>
          <w:szCs w:val="24"/>
          <w:lang w:val="en-GB"/>
        </w:rPr>
        <w:t xml:space="preserve"> </w:t>
      </w:r>
      <w:r w:rsidR="00E773F6" w:rsidRPr="0028108F">
        <w:rPr>
          <w:rFonts w:ascii="Arial" w:hAnsi="Arial" w:cs="Arial"/>
          <w:szCs w:val="24"/>
          <w:lang w:val="en-GB"/>
        </w:rPr>
        <w:t xml:space="preserve">two </w:t>
      </w:r>
      <w:r w:rsidR="00B64280" w:rsidRPr="0028108F">
        <w:rPr>
          <w:rFonts w:ascii="Arial" w:hAnsi="Arial" w:cs="Arial"/>
          <w:szCs w:val="24"/>
          <w:lang w:val="en-GB"/>
        </w:rPr>
        <w:t xml:space="preserve">actual </w:t>
      </w:r>
      <w:r w:rsidR="00E773F6" w:rsidRPr="0028108F">
        <w:rPr>
          <w:rFonts w:ascii="Arial" w:hAnsi="Arial" w:cs="Arial"/>
          <w:szCs w:val="24"/>
          <w:lang w:val="en-GB"/>
        </w:rPr>
        <w:t xml:space="preserve">examples to illustrate the plight facing transgender </w:t>
      </w:r>
      <w:r w:rsidR="00B64280" w:rsidRPr="0028108F">
        <w:rPr>
          <w:rFonts w:ascii="Arial" w:hAnsi="Arial" w:cs="Arial"/>
          <w:szCs w:val="24"/>
          <w:lang w:val="en-GB"/>
        </w:rPr>
        <w:t xml:space="preserve">persons </w:t>
      </w:r>
      <w:r w:rsidR="00E773F6" w:rsidRPr="0028108F">
        <w:rPr>
          <w:rFonts w:ascii="Arial" w:hAnsi="Arial" w:cs="Arial"/>
          <w:szCs w:val="24"/>
          <w:lang w:val="en-GB"/>
        </w:rPr>
        <w:t>under these circumstances.</w:t>
      </w:r>
      <w:r w:rsidR="00E773F6" w:rsidRPr="00181CF2">
        <w:rPr>
          <w:rStyle w:val="FootnoteReference"/>
          <w:rFonts w:ascii="Arial" w:hAnsi="Arial" w:cs="Arial"/>
          <w:szCs w:val="24"/>
          <w:lang w:val="en-GB"/>
        </w:rPr>
        <w:footnoteReference w:id="804"/>
      </w:r>
      <w:r w:rsidR="00E773F6" w:rsidRPr="00181CF2">
        <w:rPr>
          <w:rFonts w:ascii="Arial" w:hAnsi="Arial" w:cs="Arial"/>
          <w:szCs w:val="24"/>
          <w:lang w:val="en-GB"/>
        </w:rPr>
        <w:t xml:space="preserve">  In the first, a Danish trans man residing in Germany </w:t>
      </w:r>
      <w:r w:rsidR="00B64280" w:rsidRPr="0028108F">
        <w:rPr>
          <w:rFonts w:ascii="Arial" w:hAnsi="Arial" w:cs="Arial"/>
          <w:szCs w:val="24"/>
          <w:lang w:val="en-GB"/>
        </w:rPr>
        <w:t xml:space="preserve">changed </w:t>
      </w:r>
      <w:r w:rsidR="00E773F6" w:rsidRPr="0028108F">
        <w:rPr>
          <w:rFonts w:ascii="Arial" w:hAnsi="Arial" w:cs="Arial"/>
          <w:szCs w:val="24"/>
          <w:lang w:val="en-GB"/>
        </w:rPr>
        <w:t xml:space="preserve">his first name into a male name in accordance with German transsexual law, but when he </w:t>
      </w:r>
      <w:r w:rsidR="00B64280" w:rsidRPr="0028108F">
        <w:rPr>
          <w:rFonts w:ascii="Arial" w:hAnsi="Arial" w:cs="Arial"/>
          <w:szCs w:val="24"/>
          <w:lang w:val="en-GB"/>
        </w:rPr>
        <w:t xml:space="preserve">booked </w:t>
      </w:r>
      <w:r w:rsidR="00E773F6" w:rsidRPr="0028108F">
        <w:rPr>
          <w:rFonts w:ascii="Arial" w:hAnsi="Arial" w:cs="Arial"/>
          <w:szCs w:val="24"/>
          <w:lang w:val="en-GB"/>
        </w:rPr>
        <w:t xml:space="preserve">a flight to Canada, the </w:t>
      </w:r>
      <w:r w:rsidR="00E63C82" w:rsidRPr="0028108F">
        <w:rPr>
          <w:rFonts w:ascii="Arial" w:hAnsi="Arial" w:cs="Arial"/>
          <w:szCs w:val="24"/>
          <w:lang w:val="en-GB"/>
        </w:rPr>
        <w:t xml:space="preserve">airline </w:t>
      </w:r>
      <w:r w:rsidR="00E773F6" w:rsidRPr="0028108F">
        <w:rPr>
          <w:rFonts w:ascii="Arial" w:hAnsi="Arial" w:cs="Arial"/>
          <w:szCs w:val="24"/>
          <w:lang w:val="en-GB"/>
        </w:rPr>
        <w:t xml:space="preserve">company </w:t>
      </w:r>
      <w:r w:rsidR="00B64280" w:rsidRPr="0028108F">
        <w:rPr>
          <w:rFonts w:ascii="Arial" w:hAnsi="Arial" w:cs="Arial"/>
          <w:szCs w:val="24"/>
          <w:lang w:val="en-GB"/>
        </w:rPr>
        <w:t xml:space="preserve">insisted </w:t>
      </w:r>
      <w:r w:rsidR="00E773F6" w:rsidRPr="0028108F">
        <w:rPr>
          <w:rFonts w:ascii="Arial" w:hAnsi="Arial" w:cs="Arial"/>
          <w:szCs w:val="24"/>
          <w:lang w:val="en-GB"/>
        </w:rPr>
        <w:t xml:space="preserve">his title be indicated as </w:t>
      </w:r>
      <w:r w:rsidR="00E773F6" w:rsidRPr="0028108F">
        <w:rPr>
          <w:rFonts w:ascii="Arial" w:hAnsi="Arial" w:cs="Arial"/>
          <w:i/>
          <w:szCs w:val="24"/>
          <w:lang w:val="en-GB"/>
        </w:rPr>
        <w:t>“Mrs”,</w:t>
      </w:r>
      <w:r w:rsidR="00E773F6" w:rsidRPr="0028108F">
        <w:rPr>
          <w:rFonts w:ascii="Arial" w:hAnsi="Arial" w:cs="Arial"/>
          <w:szCs w:val="24"/>
          <w:lang w:val="en-GB"/>
        </w:rPr>
        <w:t xml:space="preserve"> which </w:t>
      </w:r>
      <w:r w:rsidR="00B64280" w:rsidRPr="0028108F">
        <w:rPr>
          <w:rFonts w:ascii="Arial" w:hAnsi="Arial" w:cs="Arial"/>
          <w:szCs w:val="24"/>
          <w:lang w:val="en-GB"/>
        </w:rPr>
        <w:t xml:space="preserve">caused </w:t>
      </w:r>
      <w:r w:rsidR="00E773F6" w:rsidRPr="0028108F">
        <w:rPr>
          <w:rFonts w:ascii="Arial" w:hAnsi="Arial" w:cs="Arial"/>
          <w:szCs w:val="24"/>
          <w:lang w:val="en-GB"/>
        </w:rPr>
        <w:t xml:space="preserve">confusion and </w:t>
      </w:r>
      <w:r w:rsidR="00B64280" w:rsidRPr="0028108F">
        <w:rPr>
          <w:rFonts w:ascii="Arial" w:hAnsi="Arial" w:cs="Arial"/>
          <w:szCs w:val="24"/>
          <w:lang w:val="en-GB"/>
        </w:rPr>
        <w:t xml:space="preserve">forced </w:t>
      </w:r>
      <w:r w:rsidR="00E773F6" w:rsidRPr="0028108F">
        <w:rPr>
          <w:rFonts w:ascii="Arial" w:hAnsi="Arial" w:cs="Arial"/>
          <w:szCs w:val="24"/>
          <w:lang w:val="en-GB"/>
        </w:rPr>
        <w:t xml:space="preserve">him to constantly have to explain the contradictory information on the ticket, exposing him to discrimination.  In another example, a French trans man residing in Germany </w:t>
      </w:r>
      <w:r w:rsidR="00270134" w:rsidRPr="0028108F">
        <w:rPr>
          <w:rFonts w:ascii="Arial" w:hAnsi="Arial" w:cs="Arial"/>
          <w:szCs w:val="24"/>
          <w:lang w:val="en-GB"/>
        </w:rPr>
        <w:t xml:space="preserve">had </w:t>
      </w:r>
      <w:r w:rsidR="00E773F6" w:rsidRPr="0028108F">
        <w:rPr>
          <w:rFonts w:ascii="Arial" w:hAnsi="Arial" w:cs="Arial"/>
          <w:szCs w:val="24"/>
          <w:lang w:val="en-GB"/>
        </w:rPr>
        <w:t xml:space="preserve">a civil status document identifying him as female, whereby he </w:t>
      </w:r>
      <w:r w:rsidR="00270134" w:rsidRPr="0028108F">
        <w:rPr>
          <w:rFonts w:ascii="Arial" w:hAnsi="Arial" w:cs="Arial"/>
          <w:szCs w:val="24"/>
          <w:lang w:val="en-GB"/>
        </w:rPr>
        <w:t xml:space="preserve">was </w:t>
      </w:r>
      <w:r w:rsidR="00E773F6" w:rsidRPr="0028108F">
        <w:rPr>
          <w:rFonts w:ascii="Arial" w:hAnsi="Arial" w:cs="Arial"/>
          <w:szCs w:val="24"/>
          <w:lang w:val="en-GB"/>
        </w:rPr>
        <w:t xml:space="preserve">insulted and discriminated against by German authorities and border control officers when travelling from France to Germany, and </w:t>
      </w:r>
      <w:r w:rsidR="00270134" w:rsidRPr="0028108F">
        <w:rPr>
          <w:rFonts w:ascii="Arial" w:hAnsi="Arial" w:cs="Arial"/>
          <w:szCs w:val="24"/>
          <w:lang w:val="en-GB"/>
        </w:rPr>
        <w:t xml:space="preserve">was </w:t>
      </w:r>
      <w:r w:rsidR="00E773F6" w:rsidRPr="0028108F">
        <w:rPr>
          <w:rFonts w:ascii="Arial" w:hAnsi="Arial" w:cs="Arial"/>
          <w:szCs w:val="24"/>
          <w:lang w:val="en-GB"/>
        </w:rPr>
        <w:t>unable to have a bank account in Germany.</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problem could be complicated by the lack of nationality or residency requirements in some jurisdictions’ gender recognition schemes, such as Italy’s, which might result in the civil status documents of a foreign transsexual person being changed under the Italian law (as illustrated in paragraph </w:t>
      </w:r>
      <w:r w:rsidR="00B52687">
        <w:rPr>
          <w:rFonts w:ascii="Arial" w:hAnsi="Arial" w:cs="Arial"/>
          <w:szCs w:val="24"/>
          <w:lang w:val="en-GB"/>
        </w:rPr>
        <w:t xml:space="preserve">7.6 </w:t>
      </w:r>
      <w:r w:rsidRPr="0028108F">
        <w:rPr>
          <w:rFonts w:ascii="Arial" w:hAnsi="Arial" w:cs="Arial"/>
          <w:szCs w:val="24"/>
          <w:lang w:val="en-GB"/>
        </w:rPr>
        <w:t xml:space="preserve">above).   In such circumstances, a question arises as to whether this person’s gender recognition granted in Italy should be recognised in the country where he/she resides or where his/her birth is registered.  </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From the perspectives of conflict of laws, enforcing a personal right or capacity arising under the law of a foreign jurisdiction (</w:t>
      </w:r>
      <w:r w:rsidR="00E63C82" w:rsidRPr="0028108F">
        <w:rPr>
          <w:rFonts w:ascii="Arial" w:hAnsi="Arial" w:cs="Arial"/>
          <w:szCs w:val="24"/>
          <w:lang w:val="en-GB"/>
        </w:rPr>
        <w:t xml:space="preserve">and </w:t>
      </w:r>
      <w:r w:rsidRPr="0028108F">
        <w:rPr>
          <w:rFonts w:ascii="Arial" w:hAnsi="Arial" w:cs="Arial"/>
          <w:szCs w:val="24"/>
          <w:lang w:val="en-GB"/>
        </w:rPr>
        <w:t xml:space="preserve">gender change recognised by a foreign jurisdiction is </w:t>
      </w:r>
      <w:r w:rsidR="00270134" w:rsidRPr="0028108F">
        <w:rPr>
          <w:rFonts w:ascii="Arial" w:hAnsi="Arial" w:cs="Arial"/>
          <w:szCs w:val="24"/>
          <w:lang w:val="en-GB"/>
        </w:rPr>
        <w:t xml:space="preserve">arguably </w:t>
      </w:r>
      <w:r w:rsidRPr="0028108F">
        <w:rPr>
          <w:rFonts w:ascii="Arial" w:hAnsi="Arial" w:cs="Arial"/>
          <w:szCs w:val="24"/>
          <w:lang w:val="en-GB"/>
        </w:rPr>
        <w:t>one kind of such personal right or capacity) is allowed only when the enforcement is not inconsistent with the fundamental public policy of the domestic law,</w:t>
      </w:r>
      <w:r w:rsidRPr="0028108F">
        <w:rPr>
          <w:rStyle w:val="FootnoteReference"/>
          <w:rFonts w:ascii="Arial" w:hAnsi="Arial" w:cs="Arial"/>
          <w:szCs w:val="24"/>
          <w:lang w:val="en-GB"/>
        </w:rPr>
        <w:footnoteReference w:id="805"/>
      </w:r>
      <w:r w:rsidRPr="0028108F">
        <w:rPr>
          <w:rFonts w:ascii="Arial" w:hAnsi="Arial" w:cs="Arial"/>
          <w:szCs w:val="24"/>
          <w:lang w:val="en-GB"/>
        </w:rPr>
        <w:t xml:space="preserve"> and </w:t>
      </w:r>
      <w:r w:rsidR="00E63C82" w:rsidRPr="0028108F">
        <w:rPr>
          <w:rFonts w:ascii="Arial" w:hAnsi="Arial" w:cs="Arial"/>
          <w:szCs w:val="24"/>
          <w:lang w:val="en-GB"/>
        </w:rPr>
        <w:t xml:space="preserve">does </w:t>
      </w:r>
      <w:r w:rsidRPr="0028108F">
        <w:rPr>
          <w:rFonts w:ascii="Arial" w:hAnsi="Arial" w:cs="Arial"/>
          <w:szCs w:val="24"/>
          <w:lang w:val="en-GB"/>
        </w:rPr>
        <w:t>not represent a serious infringement of human rights</w:t>
      </w:r>
      <w:r w:rsidR="00474224" w:rsidRPr="0028108F">
        <w:rPr>
          <w:rFonts w:ascii="Arial" w:hAnsi="Arial" w:cs="Arial"/>
          <w:szCs w:val="24"/>
          <w:lang w:val="en-GB"/>
        </w:rPr>
        <w:t>.</w:t>
      </w:r>
      <w:r w:rsidRPr="0028108F">
        <w:rPr>
          <w:rStyle w:val="FootnoteReference"/>
          <w:rFonts w:ascii="Arial" w:hAnsi="Arial" w:cs="Arial"/>
          <w:szCs w:val="24"/>
          <w:lang w:val="en-GB"/>
        </w:rPr>
        <w:footnoteReference w:id="806"/>
      </w:r>
      <w:r w:rsidRPr="0028108F">
        <w:rPr>
          <w:rFonts w:ascii="Arial" w:hAnsi="Arial" w:cs="Arial"/>
          <w:szCs w:val="24"/>
          <w:lang w:val="en-GB"/>
        </w:rPr>
        <w:t xml:space="preserve">  However,</w:t>
      </w:r>
      <w:r w:rsidRPr="0028108F">
        <w:rPr>
          <w:rFonts w:ascii="Arial" w:hAnsi="Arial" w:cs="Arial"/>
          <w:color w:val="000000" w:themeColor="text1"/>
          <w:szCs w:val="24"/>
          <w:lang w:val="en-GB"/>
        </w:rPr>
        <w:t xml:space="preserve"> </w:t>
      </w:r>
      <w:r w:rsidR="00E63C82" w:rsidRPr="0028108F">
        <w:rPr>
          <w:rFonts w:ascii="Arial" w:hAnsi="Arial" w:cs="Arial"/>
          <w:color w:val="000000" w:themeColor="text1"/>
          <w:szCs w:val="24"/>
          <w:lang w:val="en-GB"/>
        </w:rPr>
        <w:t xml:space="preserve">the concept of </w:t>
      </w:r>
      <w:r w:rsidRPr="0028108F">
        <w:rPr>
          <w:rFonts w:ascii="Arial" w:hAnsi="Arial" w:cs="Arial"/>
          <w:color w:val="000000" w:themeColor="text1"/>
          <w:szCs w:val="24"/>
          <w:lang w:val="en-GB"/>
        </w:rPr>
        <w:t>public policy “</w:t>
      </w:r>
      <w:r w:rsidRPr="0028108F">
        <w:rPr>
          <w:rFonts w:ascii="Arial" w:hAnsi="Arial" w:cs="Arial"/>
          <w:i/>
          <w:color w:val="000000" w:themeColor="text1"/>
          <w:szCs w:val="24"/>
          <w:lang w:val="en-GB"/>
        </w:rPr>
        <w:t>does not admit of definition and is not easily explained”</w:t>
      </w:r>
      <w:r w:rsidRPr="0028108F">
        <w:rPr>
          <w:rFonts w:ascii="Arial" w:hAnsi="Arial" w:cs="Arial"/>
          <w:lang w:val="en-GB"/>
        </w:rPr>
        <w:t>.</w:t>
      </w:r>
      <w:r w:rsidRPr="0028108F">
        <w:rPr>
          <w:rStyle w:val="FootnoteReference"/>
          <w:rFonts w:ascii="Arial" w:hAnsi="Arial" w:cs="Arial"/>
          <w:lang w:val="en-GB"/>
        </w:rPr>
        <w:footnoteReference w:id="807"/>
      </w:r>
      <w:r w:rsidRPr="0028108F">
        <w:rPr>
          <w:rFonts w:ascii="Arial" w:hAnsi="Arial" w:cs="Arial"/>
          <w:lang w:val="en-GB"/>
        </w:rPr>
        <w:t xml:space="preserve">  For avoidance of undue</w:t>
      </w:r>
      <w:r w:rsidR="00B871A5" w:rsidRPr="0028108F">
        <w:rPr>
          <w:rFonts w:ascii="Arial" w:hAnsi="Arial" w:cs="Arial"/>
          <w:lang w:val="en-GB"/>
        </w:rPr>
        <w:t xml:space="preserve"> </w:t>
      </w:r>
      <w:r w:rsidR="00E63C82" w:rsidRPr="0028108F">
        <w:rPr>
          <w:rFonts w:ascii="Arial" w:hAnsi="Arial" w:cs="Arial"/>
          <w:lang w:val="en-GB"/>
        </w:rPr>
        <w:t>confusion</w:t>
      </w:r>
      <w:r w:rsidRPr="0028108F">
        <w:rPr>
          <w:rFonts w:ascii="Arial" w:hAnsi="Arial" w:cs="Arial"/>
          <w:lang w:val="en-GB"/>
        </w:rPr>
        <w:t xml:space="preserve">, it </w:t>
      </w:r>
      <w:r w:rsidR="00E63C82" w:rsidRPr="0028108F">
        <w:rPr>
          <w:rFonts w:ascii="Arial" w:hAnsi="Arial" w:cs="Arial"/>
          <w:lang w:val="en-GB"/>
        </w:rPr>
        <w:t xml:space="preserve">is arguably </w:t>
      </w:r>
      <w:r w:rsidRPr="0028108F">
        <w:rPr>
          <w:rFonts w:ascii="Arial" w:hAnsi="Arial" w:cs="Arial"/>
          <w:color w:val="000000" w:themeColor="text1"/>
          <w:szCs w:val="24"/>
          <w:lang w:val="en-GB"/>
        </w:rPr>
        <w:t>preferable to make explicit legislative provision for the recognition of foreign gender recognition in legislation</w:t>
      </w:r>
      <w:r w:rsidR="00E63C82" w:rsidRPr="0028108F">
        <w:rPr>
          <w:rFonts w:ascii="Arial" w:hAnsi="Arial" w:cs="Arial"/>
          <w:color w:val="000000" w:themeColor="text1"/>
          <w:szCs w:val="24"/>
          <w:lang w:val="en-GB"/>
        </w:rPr>
        <w:t xml:space="preserve"> to implement a gender recognition scheme</w:t>
      </w:r>
      <w:r w:rsidRPr="0028108F">
        <w:rPr>
          <w:rFonts w:ascii="Arial" w:hAnsi="Arial" w:cs="Arial"/>
          <w:color w:val="000000" w:themeColor="text1"/>
          <w:szCs w:val="24"/>
          <w:lang w:val="en-GB"/>
        </w:rPr>
        <w:t>.</w:t>
      </w:r>
    </w:p>
    <w:p w:rsidR="00E773F6" w:rsidRPr="0028108F" w:rsidRDefault="00E773F6" w:rsidP="00E773F6">
      <w:pPr>
        <w:pStyle w:val="ListParagraph"/>
        <w:tabs>
          <w:tab w:val="left" w:pos="1418"/>
        </w:tabs>
        <w:autoSpaceDE w:val="0"/>
        <w:autoSpaceDN w:val="0"/>
        <w:adjustRightInd w:val="0"/>
        <w:snapToGrid w:val="0"/>
        <w:ind w:leftChars="0" w:left="0"/>
        <w:jc w:val="both"/>
        <w:rPr>
          <w:rFonts w:ascii="Arial" w:hAnsi="Arial" w:cs="Arial"/>
          <w:kern w:val="0"/>
          <w:szCs w:val="24"/>
          <w:lang w:val="en-GB"/>
        </w:rPr>
      </w:pPr>
    </w:p>
    <w:p w:rsidR="00E773F6" w:rsidRPr="0028108F" w:rsidRDefault="00E773F6" w:rsidP="00E773F6">
      <w:pPr>
        <w:pStyle w:val="ListParagraph"/>
        <w:tabs>
          <w:tab w:val="left" w:pos="1418"/>
        </w:tabs>
        <w:autoSpaceDE w:val="0"/>
        <w:autoSpaceDN w:val="0"/>
        <w:adjustRightInd w:val="0"/>
        <w:snapToGrid w:val="0"/>
        <w:ind w:leftChars="0" w:left="0"/>
        <w:jc w:val="both"/>
        <w:rPr>
          <w:rFonts w:ascii="Arial" w:hAnsi="Arial" w:cs="Arial"/>
          <w:i/>
          <w:kern w:val="0"/>
          <w:szCs w:val="24"/>
          <w:lang w:val="en-GB"/>
        </w:rPr>
      </w:pPr>
      <w:r w:rsidRPr="0028108F">
        <w:rPr>
          <w:rFonts w:ascii="Arial" w:hAnsi="Arial" w:cs="Arial"/>
          <w:i/>
          <w:kern w:val="0"/>
          <w:szCs w:val="24"/>
          <w:lang w:val="en-GB"/>
        </w:rPr>
        <w:t>Sub-question (2): restricting recognition to certain foreign jurisdictions</w:t>
      </w:r>
    </w:p>
    <w:p w:rsidR="00E773F6" w:rsidRPr="0028108F" w:rsidRDefault="00E773F6" w:rsidP="00E773F6">
      <w:pPr>
        <w:pStyle w:val="ListParagraph"/>
        <w:tabs>
          <w:tab w:val="left" w:pos="1418"/>
        </w:tabs>
        <w:autoSpaceDE w:val="0"/>
        <w:autoSpaceDN w:val="0"/>
        <w:adjustRightInd w:val="0"/>
        <w:snapToGrid w:val="0"/>
        <w:ind w:leftChars="0" w:left="0"/>
        <w:jc w:val="both"/>
        <w:rPr>
          <w:rFonts w:ascii="Arial" w:hAnsi="Arial" w:cs="Arial"/>
          <w:kern w:val="0"/>
          <w:szCs w:val="24"/>
          <w:lang w:val="en-GB"/>
        </w:rPr>
      </w:pPr>
    </w:p>
    <w:p w:rsidR="005E6C98" w:rsidRPr="0028108F" w:rsidRDefault="005E6C98"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In the light of the established conflict of laws principle that a personal capacity existing under a foreign law might or might not be disregarded by domestic courts, depending on the circumstances of the individual case</w:t>
      </w:r>
      <w:r w:rsidR="00B871A5" w:rsidRPr="0028108F">
        <w:rPr>
          <w:rFonts w:ascii="Arial" w:hAnsi="Arial" w:cs="Arial"/>
          <w:szCs w:val="24"/>
          <w:lang w:val="en-GB"/>
        </w:rPr>
        <w:t>,</w:t>
      </w:r>
      <w:r w:rsidRPr="00C57CE1">
        <w:rPr>
          <w:rStyle w:val="FootnoteReference"/>
          <w:rFonts w:ascii="Arial" w:hAnsi="Arial" w:cs="Arial"/>
          <w:szCs w:val="24"/>
          <w:lang w:val="en-GB"/>
        </w:rPr>
        <w:footnoteReference w:id="808"/>
      </w:r>
      <w:r w:rsidRPr="0028108F">
        <w:rPr>
          <w:rFonts w:ascii="Arial" w:hAnsi="Arial" w:cs="Arial"/>
          <w:szCs w:val="24"/>
          <w:lang w:val="en-GB"/>
        </w:rPr>
        <w:t xml:space="preserve"> it is arguabl</w:t>
      </w:r>
      <w:r w:rsidR="00B871A5" w:rsidRPr="0028108F">
        <w:rPr>
          <w:rFonts w:ascii="Arial" w:hAnsi="Arial" w:cs="Arial"/>
          <w:szCs w:val="24"/>
          <w:lang w:val="en-GB"/>
        </w:rPr>
        <w:t>e</w:t>
      </w:r>
      <w:r w:rsidRPr="0028108F">
        <w:rPr>
          <w:rFonts w:ascii="Arial" w:hAnsi="Arial" w:cs="Arial"/>
          <w:szCs w:val="24"/>
          <w:lang w:val="en-GB"/>
        </w:rPr>
        <w:t xml:space="preserve"> that Hong Kong is capable of determining whether a gender change recognised by a particular jurisdiction, in view of the nature and prerequisites of that gender recognition scheme, should be recognised in Hong Kong.  </w:t>
      </w:r>
    </w:p>
    <w:p w:rsidR="005E6C98" w:rsidRPr="0028108F" w:rsidRDefault="005E6C98"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773F6" w:rsidRPr="00C57CE1" w:rsidRDefault="00E50597"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28108F">
        <w:rPr>
          <w:rFonts w:ascii="Arial" w:hAnsi="Arial" w:cs="Arial"/>
          <w:color w:val="000000" w:themeColor="text1"/>
          <w:szCs w:val="24"/>
          <w:lang w:val="en-GB"/>
        </w:rPr>
        <w:t>In</w:t>
      </w:r>
      <w:r w:rsidR="00E773F6" w:rsidRPr="0028108F">
        <w:rPr>
          <w:rFonts w:ascii="Arial" w:hAnsi="Arial" w:cs="Arial"/>
          <w:color w:val="000000" w:themeColor="text1"/>
          <w:szCs w:val="24"/>
          <w:lang w:val="en-GB"/>
        </w:rPr>
        <w:t xml:space="preserve"> the UK</w:t>
      </w:r>
      <w:r w:rsidRPr="0028108F">
        <w:rPr>
          <w:rFonts w:ascii="Arial" w:hAnsi="Arial" w:cs="Arial"/>
          <w:color w:val="000000" w:themeColor="text1"/>
          <w:szCs w:val="24"/>
          <w:lang w:val="en-GB"/>
        </w:rPr>
        <w:t>,</w:t>
      </w:r>
      <w:r w:rsidR="00E773F6"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the GRA </w:t>
      </w:r>
      <w:r w:rsidR="00E773F6" w:rsidRPr="0028108F">
        <w:rPr>
          <w:rFonts w:ascii="Arial" w:hAnsi="Arial" w:cs="Arial"/>
          <w:color w:val="000000" w:themeColor="text1"/>
          <w:szCs w:val="24"/>
          <w:lang w:val="en-GB"/>
        </w:rPr>
        <w:t xml:space="preserve">promulgates a list of countries where gender recognition </w:t>
      </w:r>
      <w:r w:rsidR="00687DC5" w:rsidRPr="0028108F">
        <w:rPr>
          <w:rFonts w:ascii="Arial" w:hAnsi="Arial" w:cs="Arial"/>
          <w:color w:val="000000" w:themeColor="text1"/>
          <w:szCs w:val="24"/>
          <w:lang w:val="en-GB"/>
        </w:rPr>
        <w:t>under their systems is</w:t>
      </w:r>
      <w:r w:rsidR="00E773F6" w:rsidRPr="0028108F">
        <w:rPr>
          <w:rFonts w:ascii="Arial" w:hAnsi="Arial" w:cs="Arial"/>
          <w:color w:val="000000" w:themeColor="text1"/>
          <w:szCs w:val="24"/>
          <w:lang w:val="en-GB"/>
        </w:rPr>
        <w:t xml:space="preserve"> eligible to be recognised locally</w:t>
      </w:r>
      <w:r w:rsidRPr="0028108F">
        <w:rPr>
          <w:rFonts w:ascii="Arial" w:hAnsi="Arial" w:cs="Arial"/>
          <w:color w:val="000000" w:themeColor="text1"/>
          <w:szCs w:val="24"/>
          <w:lang w:val="en-GB"/>
        </w:rPr>
        <w:t xml:space="preserve"> (as stated in paragraph </w:t>
      </w:r>
      <w:r w:rsidR="00B52687">
        <w:rPr>
          <w:rFonts w:ascii="Arial" w:hAnsi="Arial" w:cs="Arial"/>
          <w:color w:val="000000" w:themeColor="text1"/>
          <w:szCs w:val="24"/>
          <w:lang w:val="en-GB"/>
        </w:rPr>
        <w:t xml:space="preserve">3.60 </w:t>
      </w:r>
      <w:r w:rsidRPr="0028108F">
        <w:rPr>
          <w:rFonts w:ascii="Arial" w:hAnsi="Arial" w:cs="Arial"/>
          <w:color w:val="000000" w:themeColor="text1"/>
          <w:szCs w:val="24"/>
          <w:lang w:val="en-GB"/>
        </w:rPr>
        <w:t>above)</w:t>
      </w:r>
      <w:r w:rsidR="00E773F6" w:rsidRPr="0028108F">
        <w:rPr>
          <w:rFonts w:ascii="Arial" w:hAnsi="Arial" w:cs="Arial"/>
          <w:color w:val="000000" w:themeColor="text1"/>
          <w:szCs w:val="24"/>
          <w:lang w:val="en-GB"/>
        </w:rPr>
        <w:t xml:space="preserve">.  If a similar approach </w:t>
      </w:r>
      <w:r w:rsidR="00687DC5" w:rsidRPr="0028108F">
        <w:rPr>
          <w:rFonts w:ascii="Arial" w:hAnsi="Arial" w:cs="Arial"/>
          <w:color w:val="000000" w:themeColor="text1"/>
          <w:szCs w:val="24"/>
          <w:lang w:val="en-GB"/>
        </w:rPr>
        <w:t>were</w:t>
      </w:r>
      <w:r w:rsidR="00E773F6" w:rsidRPr="0028108F">
        <w:rPr>
          <w:rFonts w:ascii="Arial" w:hAnsi="Arial" w:cs="Arial"/>
          <w:color w:val="000000" w:themeColor="text1"/>
          <w:szCs w:val="24"/>
          <w:lang w:val="en-GB"/>
        </w:rPr>
        <w:t xml:space="preserve"> to be adopted in Hong Kong, </w:t>
      </w:r>
      <w:r w:rsidR="00B209B5" w:rsidRPr="0028108F">
        <w:rPr>
          <w:rFonts w:ascii="Arial" w:hAnsi="Arial" w:cs="Arial"/>
          <w:color w:val="000000" w:themeColor="text1"/>
          <w:szCs w:val="24"/>
          <w:lang w:val="en-GB"/>
        </w:rPr>
        <w:t xml:space="preserve">it is likely that the question of </w:t>
      </w:r>
      <w:r w:rsidRPr="0028108F">
        <w:rPr>
          <w:rFonts w:ascii="Arial" w:hAnsi="Arial" w:cs="Arial"/>
          <w:color w:val="000000" w:themeColor="text1"/>
          <w:szCs w:val="24"/>
          <w:lang w:val="en-GB"/>
        </w:rPr>
        <w:t xml:space="preserve">which jurisdictions should be included in the list </w:t>
      </w:r>
      <w:r w:rsidR="00B209B5" w:rsidRPr="0028108F">
        <w:rPr>
          <w:rFonts w:ascii="Arial" w:hAnsi="Arial" w:cs="Arial"/>
          <w:szCs w:val="24"/>
          <w:lang w:val="en-GB"/>
        </w:rPr>
        <w:t>w</w:t>
      </w:r>
      <w:r w:rsidR="00E773F6" w:rsidRPr="0028108F">
        <w:rPr>
          <w:rFonts w:ascii="Arial" w:hAnsi="Arial" w:cs="Arial"/>
          <w:szCs w:val="24"/>
          <w:lang w:val="en-GB"/>
        </w:rPr>
        <w:t>ould</w:t>
      </w:r>
      <w:r w:rsidRPr="0028108F">
        <w:rPr>
          <w:rFonts w:ascii="Arial" w:hAnsi="Arial" w:cs="Arial"/>
          <w:szCs w:val="24"/>
          <w:lang w:val="en-GB"/>
        </w:rPr>
        <w:t xml:space="preserve"> hinge upon</w:t>
      </w:r>
      <w:r w:rsidR="00E773F6" w:rsidRPr="0028108F">
        <w:rPr>
          <w:rFonts w:ascii="Arial" w:hAnsi="Arial" w:cs="Arial"/>
          <w:szCs w:val="24"/>
          <w:lang w:val="en-GB"/>
        </w:rPr>
        <w:t xml:space="preserve"> how the gender recognition scheme in Hong Kong is formulated and what pre-conditions for </w:t>
      </w:r>
      <w:r w:rsidRPr="0028108F">
        <w:rPr>
          <w:rFonts w:ascii="Arial" w:hAnsi="Arial" w:cs="Arial"/>
          <w:szCs w:val="24"/>
          <w:lang w:val="en-GB"/>
        </w:rPr>
        <w:t xml:space="preserve">gender </w:t>
      </w:r>
      <w:r w:rsidR="00E773F6" w:rsidRPr="0028108F">
        <w:rPr>
          <w:rFonts w:ascii="Arial" w:hAnsi="Arial" w:cs="Arial"/>
          <w:szCs w:val="24"/>
          <w:lang w:val="en-GB"/>
        </w:rPr>
        <w:t xml:space="preserve">recognition are provided (the considerations of the common pre-conditions are discussed in Chapter </w:t>
      </w:r>
      <w:r w:rsidR="00E773F6" w:rsidRPr="008813DE">
        <w:rPr>
          <w:rFonts w:ascii="Arial" w:hAnsi="Arial" w:cs="Arial"/>
          <w:szCs w:val="24"/>
          <w:lang w:val="en-GB"/>
        </w:rPr>
        <w:t>6</w:t>
      </w:r>
      <w:r w:rsidR="00E773F6" w:rsidRPr="0028108F">
        <w:rPr>
          <w:rFonts w:ascii="Arial" w:hAnsi="Arial" w:cs="Arial"/>
          <w:szCs w:val="24"/>
          <w:lang w:val="en-GB"/>
        </w:rPr>
        <w:t xml:space="preserve"> and Chapter </w:t>
      </w:r>
      <w:r w:rsidR="00E773F6" w:rsidRPr="008813DE">
        <w:rPr>
          <w:rFonts w:ascii="Arial" w:hAnsi="Arial" w:cs="Arial"/>
          <w:szCs w:val="24"/>
          <w:lang w:val="en-GB"/>
        </w:rPr>
        <w:t>7</w:t>
      </w:r>
      <w:r w:rsidR="00E773F6" w:rsidRPr="0028108F">
        <w:rPr>
          <w:rFonts w:ascii="Arial" w:hAnsi="Arial" w:cs="Arial"/>
          <w:szCs w:val="24"/>
          <w:lang w:val="en-GB"/>
        </w:rPr>
        <w:t xml:space="preserve"> of this Consultation Paper).  </w:t>
      </w:r>
      <w:r w:rsidR="00A9753F" w:rsidRPr="0028108F">
        <w:rPr>
          <w:rFonts w:ascii="Arial" w:hAnsi="Arial" w:cs="Arial"/>
          <w:szCs w:val="24"/>
          <w:lang w:val="en-GB"/>
        </w:rPr>
        <w:t>I</w:t>
      </w:r>
      <w:r w:rsidR="00E773F6" w:rsidRPr="0028108F">
        <w:rPr>
          <w:rFonts w:ascii="Arial" w:hAnsi="Arial" w:cs="Arial"/>
          <w:szCs w:val="24"/>
          <w:lang w:val="en-GB"/>
        </w:rPr>
        <w:t xml:space="preserve">f a foreign country adopts a more restrictive approach for gender recognition than that employed in Hong Kong, there </w:t>
      </w:r>
      <w:r w:rsidR="00B209B5" w:rsidRPr="0028108F">
        <w:rPr>
          <w:rFonts w:ascii="Arial" w:hAnsi="Arial" w:cs="Arial"/>
          <w:szCs w:val="24"/>
          <w:lang w:val="en-GB"/>
        </w:rPr>
        <w:t>may</w:t>
      </w:r>
      <w:r w:rsidR="00E773F6" w:rsidRPr="0028108F">
        <w:rPr>
          <w:rFonts w:ascii="Arial" w:hAnsi="Arial" w:cs="Arial"/>
          <w:szCs w:val="24"/>
          <w:lang w:val="en-GB"/>
        </w:rPr>
        <w:t xml:space="preserve"> not be much contention </w:t>
      </w:r>
      <w:r w:rsidRPr="0028108F">
        <w:rPr>
          <w:rFonts w:ascii="Arial" w:hAnsi="Arial" w:cs="Arial"/>
          <w:szCs w:val="24"/>
          <w:lang w:val="en-GB"/>
        </w:rPr>
        <w:t xml:space="preserve">amongst the community </w:t>
      </w:r>
      <w:r w:rsidR="00E773F6" w:rsidRPr="0028108F">
        <w:rPr>
          <w:rFonts w:ascii="Arial" w:hAnsi="Arial" w:cs="Arial"/>
          <w:szCs w:val="24"/>
          <w:lang w:val="en-GB"/>
        </w:rPr>
        <w:t xml:space="preserve">if Hong Kong accepts and recognises a gender change recognised under that foreign regime.  </w:t>
      </w:r>
      <w:r w:rsidR="00B209B5" w:rsidRPr="0028108F">
        <w:rPr>
          <w:rFonts w:ascii="Arial" w:hAnsi="Arial" w:cs="Arial"/>
          <w:szCs w:val="24"/>
          <w:lang w:val="en-GB"/>
        </w:rPr>
        <w:t>In</w:t>
      </w:r>
      <w:r w:rsidR="00E773F6" w:rsidRPr="0028108F">
        <w:rPr>
          <w:rFonts w:ascii="Arial" w:hAnsi="Arial" w:cs="Arial"/>
          <w:szCs w:val="24"/>
          <w:lang w:val="en-GB"/>
        </w:rPr>
        <w:t xml:space="preserve"> contrast, </w:t>
      </w:r>
      <w:r w:rsidR="00B209B5" w:rsidRPr="0028108F">
        <w:rPr>
          <w:rFonts w:ascii="Arial" w:hAnsi="Arial" w:cs="Arial"/>
          <w:szCs w:val="24"/>
          <w:lang w:val="en-GB"/>
        </w:rPr>
        <w:t xml:space="preserve">sectors of the community might object </w:t>
      </w:r>
      <w:r w:rsidR="00E773F6" w:rsidRPr="0028108F">
        <w:rPr>
          <w:rFonts w:ascii="Arial" w:hAnsi="Arial" w:cs="Arial"/>
          <w:szCs w:val="24"/>
          <w:lang w:val="en-GB"/>
        </w:rPr>
        <w:t xml:space="preserve">if Hong Kong </w:t>
      </w:r>
      <w:r w:rsidR="00B209B5" w:rsidRPr="0028108F">
        <w:rPr>
          <w:rFonts w:ascii="Arial" w:hAnsi="Arial" w:cs="Arial"/>
          <w:szCs w:val="24"/>
          <w:lang w:val="en-GB"/>
        </w:rPr>
        <w:t>were</w:t>
      </w:r>
      <w:r w:rsidR="00E773F6" w:rsidRPr="0028108F">
        <w:rPr>
          <w:rFonts w:ascii="Arial" w:hAnsi="Arial" w:cs="Arial"/>
          <w:szCs w:val="24"/>
          <w:lang w:val="en-GB"/>
        </w:rPr>
        <w:t xml:space="preserve"> to recognise a gender change recognised </w:t>
      </w:r>
      <w:r w:rsidR="00B209B5" w:rsidRPr="0028108F">
        <w:rPr>
          <w:rFonts w:ascii="Arial" w:hAnsi="Arial" w:cs="Arial"/>
          <w:szCs w:val="24"/>
          <w:lang w:val="en-GB"/>
        </w:rPr>
        <w:t xml:space="preserve">under </w:t>
      </w:r>
      <w:r w:rsidR="00E773F6" w:rsidRPr="0028108F">
        <w:rPr>
          <w:rFonts w:ascii="Arial" w:hAnsi="Arial" w:cs="Arial"/>
          <w:szCs w:val="24"/>
          <w:lang w:val="en-GB"/>
        </w:rPr>
        <w:t xml:space="preserve">a </w:t>
      </w:r>
      <w:r w:rsidR="00B209B5" w:rsidRPr="0028108F">
        <w:rPr>
          <w:rFonts w:ascii="Arial" w:hAnsi="Arial" w:cs="Arial"/>
          <w:szCs w:val="24"/>
          <w:lang w:val="en-GB"/>
        </w:rPr>
        <w:t xml:space="preserve">foreign jurisdiction’s </w:t>
      </w:r>
      <w:r w:rsidR="00E773F6" w:rsidRPr="0028108F">
        <w:rPr>
          <w:rFonts w:ascii="Arial" w:hAnsi="Arial" w:cs="Arial"/>
          <w:szCs w:val="24"/>
          <w:lang w:val="en-GB"/>
        </w:rPr>
        <w:t xml:space="preserve">more liberal scheme, as this might </w:t>
      </w:r>
      <w:r w:rsidR="00B209B5" w:rsidRPr="0028108F">
        <w:rPr>
          <w:rFonts w:ascii="Arial" w:hAnsi="Arial" w:cs="Arial"/>
          <w:szCs w:val="24"/>
          <w:lang w:val="en-GB"/>
        </w:rPr>
        <w:t xml:space="preserve">be perceived to </w:t>
      </w:r>
      <w:r w:rsidR="00B728E5" w:rsidRPr="0028108F">
        <w:rPr>
          <w:rFonts w:ascii="Arial" w:hAnsi="Arial" w:cs="Arial"/>
          <w:szCs w:val="24"/>
          <w:lang w:val="en-GB"/>
        </w:rPr>
        <w:t xml:space="preserve">create a loophole in the law.  </w:t>
      </w:r>
      <w:r w:rsidR="00B209B5" w:rsidRPr="0028108F">
        <w:rPr>
          <w:rFonts w:ascii="Arial" w:hAnsi="Arial" w:cs="Arial"/>
          <w:szCs w:val="24"/>
          <w:lang w:val="en-GB"/>
        </w:rPr>
        <w:t>(</w:t>
      </w:r>
      <w:r w:rsidR="005E6C98" w:rsidRPr="0028108F">
        <w:rPr>
          <w:rFonts w:ascii="Arial" w:hAnsi="Arial" w:cs="Arial"/>
          <w:szCs w:val="24"/>
          <w:lang w:val="en-GB"/>
        </w:rPr>
        <w:t xml:space="preserve">For example, a transgender person might consider the gender recognition law in Hong Kong too </w:t>
      </w:r>
      <w:r w:rsidR="00B728E5" w:rsidRPr="0028108F">
        <w:rPr>
          <w:rFonts w:ascii="Arial" w:hAnsi="Arial" w:cs="Arial"/>
          <w:szCs w:val="24"/>
          <w:lang w:val="en-GB"/>
        </w:rPr>
        <w:t>restrictive</w:t>
      </w:r>
      <w:r w:rsidR="005E6C98" w:rsidRPr="0028108F">
        <w:rPr>
          <w:rFonts w:ascii="Arial" w:hAnsi="Arial" w:cs="Arial"/>
          <w:szCs w:val="24"/>
          <w:lang w:val="en-GB"/>
        </w:rPr>
        <w:t xml:space="preserve"> for him/her or the procedures too cumbersome, and choose to </w:t>
      </w:r>
      <w:r w:rsidR="00B728E5" w:rsidRPr="0028108F">
        <w:rPr>
          <w:rFonts w:ascii="Arial" w:hAnsi="Arial" w:cs="Arial"/>
          <w:szCs w:val="24"/>
          <w:lang w:val="en-GB"/>
        </w:rPr>
        <w:t>obtain</w:t>
      </w:r>
      <w:r w:rsidR="005E6C98" w:rsidRPr="0028108F">
        <w:rPr>
          <w:rFonts w:ascii="Arial" w:hAnsi="Arial" w:cs="Arial"/>
          <w:szCs w:val="24"/>
          <w:lang w:val="en-GB"/>
        </w:rPr>
        <w:t xml:space="preserve"> gender change </w:t>
      </w:r>
      <w:r w:rsidR="00B209B5" w:rsidRPr="0028108F">
        <w:rPr>
          <w:rFonts w:ascii="Arial" w:hAnsi="Arial" w:cs="Arial"/>
          <w:szCs w:val="24"/>
          <w:lang w:val="en-GB"/>
        </w:rPr>
        <w:t xml:space="preserve">and recognition </w:t>
      </w:r>
      <w:r w:rsidR="005E6C98" w:rsidRPr="0028108F">
        <w:rPr>
          <w:rFonts w:ascii="Arial" w:hAnsi="Arial" w:cs="Arial"/>
          <w:szCs w:val="24"/>
          <w:lang w:val="en-GB"/>
        </w:rPr>
        <w:t>in another jurisdiction with less stringent requirements</w:t>
      </w:r>
      <w:r w:rsidR="00B209B5" w:rsidRPr="0028108F">
        <w:rPr>
          <w:rFonts w:ascii="Arial" w:hAnsi="Arial" w:cs="Arial"/>
          <w:szCs w:val="24"/>
          <w:lang w:val="en-GB"/>
        </w:rPr>
        <w:t xml:space="preserve">. </w:t>
      </w:r>
      <w:r w:rsidR="005E6C98" w:rsidRPr="0028108F">
        <w:rPr>
          <w:rFonts w:ascii="Arial" w:hAnsi="Arial" w:cs="Arial"/>
          <w:szCs w:val="24"/>
          <w:lang w:val="en-GB"/>
        </w:rPr>
        <w:t xml:space="preserve"> If he/she </w:t>
      </w:r>
      <w:r w:rsidR="00B728E5" w:rsidRPr="0028108F">
        <w:rPr>
          <w:rFonts w:ascii="Arial" w:hAnsi="Arial" w:cs="Arial"/>
          <w:szCs w:val="24"/>
          <w:lang w:val="en-GB"/>
        </w:rPr>
        <w:t>subsequently</w:t>
      </w:r>
      <w:r w:rsidR="005E6C98" w:rsidRPr="0028108F">
        <w:rPr>
          <w:rFonts w:ascii="Arial" w:hAnsi="Arial" w:cs="Arial"/>
          <w:szCs w:val="24"/>
          <w:lang w:val="en-GB"/>
        </w:rPr>
        <w:t xml:space="preserve"> seeks </w:t>
      </w:r>
      <w:r w:rsidR="00B209B5" w:rsidRPr="0028108F">
        <w:rPr>
          <w:rFonts w:ascii="Arial" w:hAnsi="Arial" w:cs="Arial"/>
          <w:szCs w:val="24"/>
          <w:lang w:val="en-GB"/>
        </w:rPr>
        <w:t xml:space="preserve">recognition in Hong Kong of </w:t>
      </w:r>
      <w:r w:rsidR="005E6C98" w:rsidRPr="0028108F">
        <w:rPr>
          <w:rFonts w:ascii="Arial" w:hAnsi="Arial" w:cs="Arial"/>
          <w:szCs w:val="24"/>
          <w:lang w:val="en-GB"/>
        </w:rPr>
        <w:t xml:space="preserve">the foreign gender change </w:t>
      </w:r>
      <w:r w:rsidR="00B209B5" w:rsidRPr="0028108F">
        <w:rPr>
          <w:rFonts w:ascii="Arial" w:hAnsi="Arial" w:cs="Arial"/>
          <w:szCs w:val="24"/>
          <w:lang w:val="en-GB"/>
        </w:rPr>
        <w:t xml:space="preserve">that </w:t>
      </w:r>
      <w:r w:rsidR="005E6C98" w:rsidRPr="0028108F">
        <w:rPr>
          <w:rFonts w:ascii="Arial" w:hAnsi="Arial" w:cs="Arial"/>
          <w:szCs w:val="24"/>
          <w:lang w:val="en-GB"/>
        </w:rPr>
        <w:t xml:space="preserve">might </w:t>
      </w:r>
      <w:r w:rsidR="00B209B5" w:rsidRPr="0028108F">
        <w:rPr>
          <w:rFonts w:ascii="Arial" w:hAnsi="Arial" w:cs="Arial"/>
          <w:szCs w:val="24"/>
          <w:lang w:val="en-GB"/>
        </w:rPr>
        <w:t xml:space="preserve">be seen as </w:t>
      </w:r>
      <w:r w:rsidR="005E6C98" w:rsidRPr="0028108F">
        <w:rPr>
          <w:rFonts w:ascii="Arial" w:hAnsi="Arial" w:cs="Arial"/>
          <w:szCs w:val="24"/>
          <w:lang w:val="en-GB"/>
        </w:rPr>
        <w:t>hav</w:t>
      </w:r>
      <w:r w:rsidR="00B209B5" w:rsidRPr="0028108F">
        <w:rPr>
          <w:rFonts w:ascii="Arial" w:hAnsi="Arial" w:cs="Arial"/>
          <w:szCs w:val="24"/>
          <w:lang w:val="en-GB"/>
        </w:rPr>
        <w:t>ing</w:t>
      </w:r>
      <w:r w:rsidR="005E6C98" w:rsidRPr="0028108F">
        <w:rPr>
          <w:rFonts w:ascii="Arial" w:hAnsi="Arial" w:cs="Arial"/>
          <w:szCs w:val="24"/>
          <w:lang w:val="en-GB"/>
        </w:rPr>
        <w:t xml:space="preserve"> bypassed the Hong Kong gender recognition law.</w:t>
      </w:r>
      <w:r w:rsidR="00E22249" w:rsidRPr="0028108F">
        <w:rPr>
          <w:rFonts w:ascii="Arial" w:hAnsi="Arial" w:cs="Arial"/>
          <w:szCs w:val="24"/>
          <w:lang w:val="en-GB"/>
        </w:rPr>
        <w:t>)</w:t>
      </w:r>
      <w:r w:rsidR="005E6C98" w:rsidRPr="0028108F">
        <w:rPr>
          <w:rFonts w:ascii="Arial" w:hAnsi="Arial" w:cs="Arial"/>
          <w:szCs w:val="24"/>
          <w:lang w:val="en-GB"/>
        </w:rPr>
        <w:t xml:space="preserve"> </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kern w:val="0"/>
          <w:szCs w:val="24"/>
          <w:lang w:val="en-GB"/>
        </w:rPr>
      </w:pPr>
    </w:p>
    <w:p w:rsidR="00E773F6" w:rsidRPr="0028108F" w:rsidRDefault="00A00AD8"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28108F">
        <w:rPr>
          <w:rFonts w:ascii="Arial" w:hAnsi="Arial" w:cs="Arial"/>
          <w:szCs w:val="24"/>
          <w:lang w:val="en-GB"/>
        </w:rPr>
        <w:t xml:space="preserve">Another factor to be considered in this </w:t>
      </w:r>
      <w:r w:rsidR="00E773F6" w:rsidRPr="0028108F">
        <w:rPr>
          <w:rFonts w:ascii="Arial" w:hAnsi="Arial" w:cs="Arial"/>
          <w:szCs w:val="24"/>
          <w:lang w:val="en-GB"/>
        </w:rPr>
        <w:t xml:space="preserve">is the </w:t>
      </w:r>
      <w:r w:rsidR="00E22249" w:rsidRPr="0028108F">
        <w:rPr>
          <w:rFonts w:ascii="Arial" w:hAnsi="Arial" w:cs="Arial"/>
          <w:szCs w:val="24"/>
          <w:lang w:val="en-GB"/>
        </w:rPr>
        <w:t xml:space="preserve">possible </w:t>
      </w:r>
      <w:r w:rsidR="00E773F6" w:rsidRPr="0028108F">
        <w:rPr>
          <w:rFonts w:ascii="Arial" w:hAnsi="Arial" w:cs="Arial"/>
          <w:szCs w:val="24"/>
          <w:lang w:val="en-GB"/>
        </w:rPr>
        <w:t xml:space="preserve">difficulty </w:t>
      </w:r>
      <w:r w:rsidR="00E22249" w:rsidRPr="0028108F">
        <w:rPr>
          <w:rFonts w:ascii="Arial" w:hAnsi="Arial" w:cs="Arial"/>
          <w:szCs w:val="24"/>
          <w:lang w:val="en-GB"/>
        </w:rPr>
        <w:t>in</w:t>
      </w:r>
      <w:r w:rsidR="00E773F6" w:rsidRPr="0028108F">
        <w:rPr>
          <w:rFonts w:ascii="Arial" w:hAnsi="Arial" w:cs="Arial"/>
          <w:szCs w:val="24"/>
          <w:lang w:val="en-GB"/>
        </w:rPr>
        <w:t xml:space="preserve"> classify</w:t>
      </w:r>
      <w:r w:rsidR="00E22249" w:rsidRPr="0028108F">
        <w:rPr>
          <w:rFonts w:ascii="Arial" w:hAnsi="Arial" w:cs="Arial"/>
          <w:szCs w:val="24"/>
          <w:lang w:val="en-GB"/>
        </w:rPr>
        <w:t>ing</w:t>
      </w:r>
      <w:r w:rsidR="00E773F6" w:rsidRPr="0028108F">
        <w:rPr>
          <w:rFonts w:ascii="Arial" w:hAnsi="Arial" w:cs="Arial"/>
          <w:szCs w:val="24"/>
          <w:lang w:val="en-GB"/>
        </w:rPr>
        <w:t xml:space="preserve"> a particular jurisdiction’s scheme as “</w:t>
      </w:r>
      <w:r w:rsidR="00E773F6" w:rsidRPr="0028108F">
        <w:rPr>
          <w:rFonts w:ascii="Arial" w:hAnsi="Arial" w:cs="Arial"/>
          <w:i/>
          <w:szCs w:val="24"/>
          <w:lang w:val="en-GB"/>
        </w:rPr>
        <w:t>more restrictive</w:t>
      </w:r>
      <w:r w:rsidR="00E773F6" w:rsidRPr="00181CF2">
        <w:rPr>
          <w:rFonts w:ascii="Arial" w:hAnsi="Arial" w:cs="Arial"/>
          <w:szCs w:val="24"/>
          <w:lang w:val="en-GB"/>
        </w:rPr>
        <w:t>” or “</w:t>
      </w:r>
      <w:r w:rsidR="00E773F6" w:rsidRPr="0028108F">
        <w:rPr>
          <w:rFonts w:ascii="Arial" w:hAnsi="Arial" w:cs="Arial"/>
          <w:i/>
          <w:szCs w:val="24"/>
          <w:lang w:val="en-GB"/>
        </w:rPr>
        <w:t>more liberal</w:t>
      </w:r>
      <w:r w:rsidR="00E773F6" w:rsidRPr="00181CF2">
        <w:rPr>
          <w:rFonts w:ascii="Arial" w:hAnsi="Arial" w:cs="Arial"/>
          <w:szCs w:val="24"/>
          <w:lang w:val="en-GB"/>
        </w:rPr>
        <w:t>” than that implem</w:t>
      </w:r>
      <w:r w:rsidR="00E773F6" w:rsidRPr="00C57CE1">
        <w:rPr>
          <w:rFonts w:ascii="Arial" w:hAnsi="Arial" w:cs="Arial"/>
          <w:szCs w:val="24"/>
          <w:lang w:val="en-GB"/>
        </w:rPr>
        <w:t xml:space="preserve">ented in Hong Kong.  The yardstick for measuring the liberalism of a scheme </w:t>
      </w:r>
      <w:r w:rsidR="00E22249" w:rsidRPr="0028108F">
        <w:rPr>
          <w:rFonts w:ascii="Arial" w:hAnsi="Arial" w:cs="Arial"/>
          <w:szCs w:val="24"/>
          <w:lang w:val="en-GB"/>
        </w:rPr>
        <w:t>may</w:t>
      </w:r>
      <w:r w:rsidR="00E773F6" w:rsidRPr="0028108F">
        <w:rPr>
          <w:rFonts w:ascii="Arial" w:hAnsi="Arial" w:cs="Arial"/>
          <w:szCs w:val="24"/>
          <w:lang w:val="en-GB"/>
        </w:rPr>
        <w:t xml:space="preserve"> sometimes </w:t>
      </w:r>
      <w:r w:rsidR="00E22249" w:rsidRPr="0028108F">
        <w:rPr>
          <w:rFonts w:ascii="Arial" w:hAnsi="Arial" w:cs="Arial"/>
          <w:szCs w:val="24"/>
          <w:lang w:val="en-GB"/>
        </w:rPr>
        <w:t xml:space="preserve">be </w:t>
      </w:r>
      <w:r w:rsidR="00E773F6" w:rsidRPr="0028108F">
        <w:rPr>
          <w:rFonts w:ascii="Arial" w:hAnsi="Arial" w:cs="Arial"/>
          <w:szCs w:val="24"/>
          <w:lang w:val="en-GB"/>
        </w:rPr>
        <w:t>hard</w:t>
      </w:r>
      <w:r w:rsidR="00E22249" w:rsidRPr="0028108F">
        <w:rPr>
          <w:rFonts w:ascii="Arial" w:hAnsi="Arial" w:cs="Arial"/>
          <w:szCs w:val="24"/>
          <w:lang w:val="en-GB"/>
        </w:rPr>
        <w:t xml:space="preserve"> to determine</w:t>
      </w:r>
      <w:r w:rsidR="00E773F6" w:rsidRPr="0028108F">
        <w:rPr>
          <w:rFonts w:ascii="Arial" w:hAnsi="Arial" w:cs="Arial"/>
          <w:szCs w:val="24"/>
          <w:lang w:val="en-GB"/>
        </w:rPr>
        <w:t xml:space="preserve"> because of the risk of comparing </w:t>
      </w:r>
      <w:r w:rsidR="00E22249" w:rsidRPr="0028108F">
        <w:rPr>
          <w:rFonts w:ascii="Arial" w:hAnsi="Arial" w:cs="Arial"/>
          <w:szCs w:val="24"/>
          <w:lang w:val="en-GB"/>
        </w:rPr>
        <w:t>‘</w:t>
      </w:r>
      <w:r w:rsidR="00E773F6" w:rsidRPr="0028108F">
        <w:rPr>
          <w:rFonts w:ascii="Arial" w:hAnsi="Arial" w:cs="Arial"/>
          <w:szCs w:val="24"/>
          <w:lang w:val="en-GB"/>
        </w:rPr>
        <w:t>apples with oranges</w:t>
      </w:r>
      <w:r w:rsidR="00E22249" w:rsidRPr="0028108F">
        <w:rPr>
          <w:rFonts w:ascii="Arial" w:hAnsi="Arial" w:cs="Arial"/>
          <w:szCs w:val="24"/>
          <w:lang w:val="en-GB"/>
        </w:rPr>
        <w:t>’</w:t>
      </w:r>
      <w:r w:rsidR="00E773F6" w:rsidRPr="0028108F">
        <w:rPr>
          <w:rFonts w:ascii="Arial" w:hAnsi="Arial" w:cs="Arial"/>
          <w:szCs w:val="24"/>
          <w:lang w:val="en-GB"/>
        </w:rPr>
        <w:t xml:space="preserve"> whil</w:t>
      </w:r>
      <w:r w:rsidR="00E22249" w:rsidRPr="0028108F">
        <w:rPr>
          <w:rFonts w:ascii="Arial" w:hAnsi="Arial" w:cs="Arial"/>
          <w:szCs w:val="24"/>
          <w:lang w:val="en-GB"/>
        </w:rPr>
        <w:t>e</w:t>
      </w:r>
      <w:r w:rsidR="00E773F6" w:rsidRPr="0028108F">
        <w:rPr>
          <w:rFonts w:ascii="Arial" w:hAnsi="Arial" w:cs="Arial"/>
          <w:szCs w:val="24"/>
          <w:lang w:val="en-GB"/>
        </w:rPr>
        <w:t xml:space="preserve"> different legal systems approach gender recognition issues in </w:t>
      </w:r>
      <w:r w:rsidR="00E22249" w:rsidRPr="0028108F">
        <w:rPr>
          <w:rFonts w:ascii="Arial" w:hAnsi="Arial" w:cs="Arial"/>
          <w:szCs w:val="24"/>
          <w:lang w:val="en-GB"/>
        </w:rPr>
        <w:t>diverse</w:t>
      </w:r>
      <w:r w:rsidR="00E773F6" w:rsidRPr="0028108F">
        <w:rPr>
          <w:rFonts w:ascii="Arial" w:hAnsi="Arial" w:cs="Arial"/>
          <w:szCs w:val="24"/>
          <w:lang w:val="en-GB"/>
        </w:rPr>
        <w:t xml:space="preserve"> ways.</w:t>
      </w:r>
      <w:r w:rsidR="00E773F6" w:rsidRPr="0028108F">
        <w:rPr>
          <w:rStyle w:val="FootnoteReference"/>
          <w:rFonts w:ascii="Arial" w:hAnsi="Arial" w:cs="Arial"/>
          <w:szCs w:val="24"/>
          <w:lang w:val="en-GB"/>
        </w:rPr>
        <w:footnoteReference w:id="809"/>
      </w:r>
      <w:r w:rsidR="00E773F6" w:rsidRPr="0028108F">
        <w:rPr>
          <w:rFonts w:ascii="Arial" w:hAnsi="Arial" w:cs="Arial"/>
          <w:szCs w:val="24"/>
          <w:lang w:val="en-GB"/>
        </w:rPr>
        <w:t xml:space="preserve"> </w:t>
      </w: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szCs w:val="24"/>
          <w:lang w:val="en-GB"/>
        </w:rPr>
      </w:pPr>
    </w:p>
    <w:p w:rsidR="00E773F6" w:rsidRPr="0028108F" w:rsidRDefault="00E773F6" w:rsidP="00E773F6">
      <w:pPr>
        <w:pStyle w:val="ListParagraph"/>
        <w:tabs>
          <w:tab w:val="left" w:pos="1276"/>
          <w:tab w:val="left" w:pos="1418"/>
        </w:tabs>
        <w:autoSpaceDE w:val="0"/>
        <w:autoSpaceDN w:val="0"/>
        <w:adjustRightInd w:val="0"/>
        <w:snapToGrid w:val="0"/>
        <w:ind w:leftChars="0" w:left="0"/>
        <w:jc w:val="both"/>
        <w:rPr>
          <w:rFonts w:ascii="Arial" w:hAnsi="Arial" w:cs="Arial"/>
          <w:lang w:val="en-GB"/>
        </w:rPr>
      </w:pPr>
      <w:r w:rsidRPr="0028108F">
        <w:rPr>
          <w:rFonts w:ascii="Arial" w:hAnsi="Arial" w:cs="Arial"/>
          <w:i/>
          <w:szCs w:val="24"/>
          <w:lang w:val="en-GB"/>
        </w:rPr>
        <w:t>Sub-question (3): connection between the applicant and the foreign jurisdiction</w:t>
      </w:r>
    </w:p>
    <w:p w:rsidR="00E773F6" w:rsidRPr="0028108F" w:rsidRDefault="00E773F6" w:rsidP="00E773F6">
      <w:pPr>
        <w:tabs>
          <w:tab w:val="left" w:pos="1418"/>
        </w:tabs>
        <w:adjustRightInd w:val="0"/>
        <w:snapToGrid w:val="0"/>
        <w:jc w:val="both"/>
        <w:rPr>
          <w:rFonts w:ascii="Arial" w:hAnsi="Arial" w:cs="Arial"/>
          <w:color w:val="000000"/>
          <w:szCs w:val="24"/>
          <w:lang w:val="en-GB"/>
        </w:rPr>
      </w:pPr>
    </w:p>
    <w:p w:rsidR="00E773F6" w:rsidRPr="0028108F" w:rsidRDefault="00E22249" w:rsidP="001544FD">
      <w:pPr>
        <w:pStyle w:val="ListParagraph"/>
        <w:numPr>
          <w:ilvl w:val="0"/>
          <w:numId w:val="104"/>
        </w:numPr>
        <w:tabs>
          <w:tab w:val="left" w:pos="1418"/>
          <w:tab w:val="left" w:pos="2552"/>
        </w:tabs>
        <w:autoSpaceDE w:val="0"/>
        <w:autoSpaceDN w:val="0"/>
        <w:adjustRightInd w:val="0"/>
        <w:snapToGrid w:val="0"/>
        <w:ind w:leftChars="0" w:left="0" w:firstLine="0"/>
        <w:jc w:val="both"/>
        <w:rPr>
          <w:rFonts w:ascii="Arial" w:hAnsi="Arial" w:cs="Arial"/>
          <w:kern w:val="0"/>
          <w:szCs w:val="24"/>
          <w:lang w:val="en-GB"/>
        </w:rPr>
      </w:pPr>
      <w:r w:rsidRPr="0028108F">
        <w:rPr>
          <w:rFonts w:ascii="Arial" w:hAnsi="Arial" w:cs="Arial"/>
          <w:szCs w:val="24"/>
          <w:lang w:val="en-GB"/>
        </w:rPr>
        <w:t>This issue would arise if it were necessary</w:t>
      </w:r>
      <w:r w:rsidR="00E773F6" w:rsidRPr="0028108F">
        <w:rPr>
          <w:rFonts w:ascii="Arial" w:hAnsi="Arial" w:cs="Arial"/>
          <w:szCs w:val="24"/>
          <w:lang w:val="en-GB"/>
        </w:rPr>
        <w:t xml:space="preserve"> to consider whether Hong Kong should recognise a gender change recognised in a foreign jurisdiction where no requirements as to residency, nationality or domicile </w:t>
      </w:r>
      <w:r w:rsidRPr="0028108F">
        <w:rPr>
          <w:rFonts w:ascii="Arial" w:hAnsi="Arial" w:cs="Arial"/>
          <w:szCs w:val="24"/>
          <w:lang w:val="en-GB"/>
        </w:rPr>
        <w:t>were</w:t>
      </w:r>
      <w:r w:rsidR="00E773F6" w:rsidRPr="0028108F">
        <w:rPr>
          <w:rFonts w:ascii="Arial" w:hAnsi="Arial" w:cs="Arial"/>
          <w:szCs w:val="24"/>
          <w:lang w:val="en-GB"/>
        </w:rPr>
        <w:t xml:space="preserve"> imposed.  This matter </w:t>
      </w:r>
      <w:r w:rsidRPr="0028108F">
        <w:rPr>
          <w:rFonts w:ascii="Arial" w:hAnsi="Arial" w:cs="Arial"/>
          <w:szCs w:val="24"/>
          <w:lang w:val="en-GB"/>
        </w:rPr>
        <w:t xml:space="preserve">is </w:t>
      </w:r>
      <w:r w:rsidR="00E773F6" w:rsidRPr="0028108F">
        <w:rPr>
          <w:rFonts w:ascii="Arial" w:hAnsi="Arial" w:cs="Arial"/>
          <w:szCs w:val="24"/>
          <w:lang w:val="en-GB"/>
        </w:rPr>
        <w:t>interrelated with sub-question (2)</w:t>
      </w:r>
      <w:r w:rsidRPr="0028108F">
        <w:rPr>
          <w:rFonts w:ascii="Arial" w:hAnsi="Arial" w:cs="Arial"/>
          <w:szCs w:val="24"/>
          <w:lang w:val="en-GB"/>
        </w:rPr>
        <w:t xml:space="preserve"> above</w:t>
      </w:r>
      <w:r w:rsidR="00E773F6" w:rsidRPr="0028108F">
        <w:rPr>
          <w:rFonts w:ascii="Arial" w:hAnsi="Arial" w:cs="Arial"/>
          <w:szCs w:val="24"/>
          <w:lang w:val="en-GB"/>
        </w:rPr>
        <w:t>.</w:t>
      </w:r>
    </w:p>
    <w:p w:rsidR="004E110E" w:rsidRPr="008813DE" w:rsidRDefault="004E110E" w:rsidP="008813DE">
      <w:pPr>
        <w:tabs>
          <w:tab w:val="left" w:pos="1418"/>
        </w:tabs>
        <w:adjustRightInd w:val="0"/>
        <w:snapToGrid w:val="0"/>
        <w:jc w:val="both"/>
        <w:rPr>
          <w:rFonts w:ascii="Arial" w:hAnsi="Arial" w:cs="Arial"/>
          <w:color w:val="000000"/>
          <w:szCs w:val="24"/>
          <w:lang w:val="en-GB"/>
        </w:rPr>
      </w:pPr>
    </w:p>
    <w:p w:rsidR="00E850FF" w:rsidRPr="008813DE" w:rsidRDefault="00E850FF" w:rsidP="008813DE">
      <w:pPr>
        <w:tabs>
          <w:tab w:val="left" w:pos="1418"/>
        </w:tabs>
        <w:adjustRightInd w:val="0"/>
        <w:snapToGrid w:val="0"/>
        <w:jc w:val="both"/>
        <w:rPr>
          <w:rFonts w:ascii="Arial" w:hAnsi="Arial" w:cs="Arial"/>
          <w:color w:val="000000"/>
          <w:szCs w:val="24"/>
          <w:lang w:val="en-GB"/>
        </w:rPr>
      </w:pPr>
    </w:p>
    <w:p w:rsidR="00A9753F" w:rsidRPr="0028108F" w:rsidRDefault="00A9753F" w:rsidP="008813DE">
      <w:pPr>
        <w:tabs>
          <w:tab w:val="left" w:pos="1418"/>
        </w:tabs>
        <w:adjustRightInd w:val="0"/>
        <w:snapToGrid w:val="0"/>
        <w:jc w:val="both"/>
        <w:rPr>
          <w:rFonts w:ascii="Arial" w:hAnsi="Arial" w:cs="Arial"/>
          <w:b/>
          <w:sz w:val="28"/>
          <w:szCs w:val="28"/>
          <w:lang w:val="en-GB"/>
        </w:rPr>
      </w:pPr>
      <w:r w:rsidRPr="00F576DC">
        <w:rPr>
          <w:rFonts w:ascii="Arial" w:hAnsi="Arial" w:cs="Arial"/>
          <w:b/>
          <w:sz w:val="28"/>
          <w:szCs w:val="28"/>
          <w:lang w:val="en-GB"/>
        </w:rPr>
        <w:t>Iss</w:t>
      </w:r>
      <w:r w:rsidRPr="0028108F">
        <w:rPr>
          <w:rFonts w:ascii="Arial" w:hAnsi="Arial" w:cs="Arial"/>
          <w:b/>
          <w:sz w:val="28"/>
          <w:szCs w:val="28"/>
          <w:lang w:val="en-GB"/>
        </w:rPr>
        <w:t>ue</w:t>
      </w:r>
      <w:r w:rsidR="00E850FF" w:rsidRPr="0028108F">
        <w:rPr>
          <w:rFonts w:ascii="Arial" w:hAnsi="Arial" w:cs="Arial"/>
          <w:b/>
          <w:sz w:val="28"/>
          <w:szCs w:val="28"/>
          <w:lang w:val="en-GB"/>
        </w:rPr>
        <w:t>s</w:t>
      </w:r>
      <w:r w:rsidRPr="0028108F">
        <w:rPr>
          <w:rFonts w:ascii="Arial" w:hAnsi="Arial" w:cs="Arial"/>
          <w:b/>
          <w:sz w:val="28"/>
          <w:szCs w:val="28"/>
          <w:lang w:val="en-GB"/>
        </w:rPr>
        <w:t xml:space="preserve"> for consultation</w:t>
      </w:r>
      <w:r w:rsidR="00E850FF" w:rsidRPr="00181CF2">
        <w:rPr>
          <w:rFonts w:ascii="Arial" w:hAnsi="Arial" w:cs="Arial"/>
          <w:b/>
          <w:sz w:val="28"/>
          <w:szCs w:val="28"/>
          <w:lang w:val="en-GB"/>
        </w:rPr>
        <w:t xml:space="preserve"> regarding foreign gender change and ot</w:t>
      </w:r>
      <w:r w:rsidR="00E850FF" w:rsidRPr="00C57CE1">
        <w:rPr>
          <w:rFonts w:ascii="Arial" w:hAnsi="Arial" w:cs="Arial"/>
          <w:b/>
          <w:sz w:val="28"/>
          <w:szCs w:val="28"/>
          <w:lang w:val="en-GB"/>
        </w:rPr>
        <w:t>her possible non-medical requirements</w:t>
      </w:r>
    </w:p>
    <w:p w:rsidR="00A9753F" w:rsidRPr="00181CF2" w:rsidRDefault="00A9753F" w:rsidP="008813DE">
      <w:pPr>
        <w:tabs>
          <w:tab w:val="left" w:pos="1418"/>
        </w:tabs>
        <w:adjustRightInd w:val="0"/>
        <w:snapToGrid w:val="0"/>
        <w:jc w:val="both"/>
        <w:rPr>
          <w:rFonts w:ascii="Arial" w:hAnsi="Arial" w:cs="Arial"/>
          <w:color w:val="000000" w:themeColor="text1"/>
          <w:szCs w:val="24"/>
          <w:lang w:val="en-GB"/>
        </w:rPr>
      </w:pPr>
    </w:p>
    <w:p w:rsidR="00A9753F" w:rsidRPr="0028108F" w:rsidRDefault="00A9753F" w:rsidP="00A9753F">
      <w:pPr>
        <w:pStyle w:val="ListParagraph"/>
        <w:numPr>
          <w:ilvl w:val="0"/>
          <w:numId w:val="104"/>
        </w:numPr>
        <w:tabs>
          <w:tab w:val="left" w:pos="1418"/>
          <w:tab w:val="left" w:pos="2552"/>
        </w:tabs>
        <w:adjustRightInd w:val="0"/>
        <w:snapToGrid w:val="0"/>
        <w:ind w:leftChars="0" w:left="0" w:firstLine="0"/>
        <w:jc w:val="both"/>
        <w:rPr>
          <w:rFonts w:ascii="Arial" w:hAnsi="Arial" w:cs="Arial"/>
          <w:szCs w:val="24"/>
          <w:lang w:val="en-GB"/>
        </w:rPr>
      </w:pPr>
      <w:r w:rsidRPr="00C57CE1">
        <w:rPr>
          <w:rFonts w:ascii="Arial" w:hAnsi="Arial" w:cs="Arial"/>
          <w:szCs w:val="24"/>
          <w:lang w:val="en-GB"/>
        </w:rPr>
        <w:t>In view of the discussion</w:t>
      </w:r>
      <w:r w:rsidRPr="0028108F">
        <w:rPr>
          <w:rFonts w:ascii="Arial" w:hAnsi="Arial" w:cs="Arial"/>
          <w:szCs w:val="24"/>
          <w:lang w:val="en-GB"/>
        </w:rPr>
        <w:t xml:space="preserve"> in paragraphs </w:t>
      </w:r>
      <w:r w:rsidRPr="008813DE">
        <w:rPr>
          <w:rFonts w:ascii="Arial" w:hAnsi="Arial" w:cs="Arial"/>
          <w:szCs w:val="24"/>
          <w:lang w:val="en-GB"/>
        </w:rPr>
        <w:t>7.</w:t>
      </w:r>
      <w:r w:rsidR="005B4013">
        <w:rPr>
          <w:rFonts w:ascii="Arial" w:hAnsi="Arial" w:cs="Arial"/>
          <w:szCs w:val="24"/>
          <w:lang w:val="en-GB"/>
        </w:rPr>
        <w:t>7</w:t>
      </w:r>
      <w:r w:rsidRPr="008813DE">
        <w:rPr>
          <w:rFonts w:ascii="Arial" w:hAnsi="Arial" w:cs="Arial"/>
          <w:szCs w:val="24"/>
          <w:lang w:val="en-GB"/>
        </w:rPr>
        <w:t>4 to 7.8</w:t>
      </w:r>
      <w:r w:rsidR="00B52687" w:rsidRPr="008813DE">
        <w:rPr>
          <w:rFonts w:ascii="Arial" w:hAnsi="Arial" w:cs="Arial"/>
          <w:szCs w:val="24"/>
          <w:lang w:val="en-GB"/>
        </w:rPr>
        <w:t>6</w:t>
      </w:r>
      <w:r w:rsidRPr="0028108F">
        <w:rPr>
          <w:rFonts w:ascii="Arial" w:hAnsi="Arial" w:cs="Arial"/>
          <w:szCs w:val="24"/>
          <w:lang w:val="en-GB"/>
        </w:rPr>
        <w:t xml:space="preserve"> above, we </w:t>
      </w:r>
      <w:r w:rsidR="005E6528">
        <w:rPr>
          <w:rFonts w:ascii="Arial" w:hAnsi="Arial" w:cs="Arial"/>
          <w:szCs w:val="24"/>
          <w:lang w:val="en-GB"/>
        </w:rPr>
        <w:t>invite</w:t>
      </w:r>
      <w:r w:rsidRPr="0028108F">
        <w:rPr>
          <w:rFonts w:ascii="Arial" w:hAnsi="Arial" w:cs="Arial"/>
          <w:szCs w:val="24"/>
          <w:lang w:val="en-GB"/>
        </w:rPr>
        <w:t xml:space="preserve"> views from the public on recognition of foreign gender change and relating issues.</w:t>
      </w:r>
    </w:p>
    <w:p w:rsidR="004E110E" w:rsidRPr="0028108F" w:rsidRDefault="004E110E" w:rsidP="004E110E">
      <w:pPr>
        <w:pStyle w:val="ListParagraph"/>
        <w:tabs>
          <w:tab w:val="left" w:pos="1418"/>
          <w:tab w:val="left" w:pos="2552"/>
        </w:tabs>
        <w:adjustRightInd w:val="0"/>
        <w:snapToGrid w:val="0"/>
        <w:ind w:leftChars="0" w:left="0"/>
        <w:jc w:val="both"/>
        <w:rPr>
          <w:rFonts w:ascii="Arial" w:hAnsi="Arial" w:cs="Arial"/>
          <w:szCs w:val="24"/>
          <w:lang w:val="en-GB"/>
        </w:rPr>
      </w:pPr>
    </w:p>
    <w:p w:rsidR="004E110E" w:rsidRPr="0028108F" w:rsidRDefault="004E110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E850FF"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E850FF" w:rsidRPr="0028108F">
        <w:rPr>
          <w:rFonts w:ascii="Arial" w:hAnsi="Arial" w:cs="Arial"/>
          <w:b/>
          <w:color w:val="000000" w:themeColor="text1"/>
          <w:szCs w:val="24"/>
          <w:u w:val="single"/>
          <w:lang w:val="en-GB"/>
        </w:rPr>
        <w:t xml:space="preserve"> </w:t>
      </w:r>
      <w:r w:rsidR="00E850FF" w:rsidRPr="008813DE">
        <w:rPr>
          <w:rFonts w:ascii="Arial" w:hAnsi="Arial" w:cs="Arial"/>
          <w:b/>
          <w:color w:val="000000" w:themeColor="text1"/>
          <w:szCs w:val="24"/>
          <w:u w:val="single"/>
          <w:lang w:val="en-GB"/>
        </w:rPr>
        <w:t>11</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E850FF" w:rsidRPr="0028108F">
        <w:rPr>
          <w:rFonts w:ascii="Arial" w:hAnsi="Arial" w:cs="Arial"/>
          <w:b/>
          <w:color w:val="000000" w:themeColor="text1"/>
          <w:szCs w:val="24"/>
          <w:lang w:val="en-GB"/>
        </w:rPr>
        <w:t xml:space="preserve"> the following matters.</w:t>
      </w:r>
    </w:p>
    <w:p w:rsidR="004E110E" w:rsidRPr="0028108F" w:rsidRDefault="004E110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117C9E" w:rsidRDefault="004E110E" w:rsidP="009320C0">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E850FF"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 whether a gender change which is recognised under the law of a country or territory outside Hong Kong should be recognised in Hong Kong, and why.</w:t>
      </w:r>
    </w:p>
    <w:p w:rsidR="00117C9E" w:rsidRDefault="00117C9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4E110E" w:rsidRPr="0028108F" w:rsidRDefault="004E110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E850FF"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f the answer to sub-paragraph (1) is “yes”, </w:t>
      </w:r>
    </w:p>
    <w:p w:rsidR="004E110E" w:rsidRPr="00117C9E" w:rsidRDefault="004E110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4E110E" w:rsidRPr="0028108F" w:rsidRDefault="009A1AD2" w:rsidP="009A1AD2">
      <w:pPr>
        <w:pBdr>
          <w:top w:val="single" w:sz="4" w:space="8" w:color="auto"/>
          <w:left w:val="single" w:sz="4" w:space="8" w:color="auto"/>
          <w:bottom w:val="single" w:sz="4" w:space="8" w:color="auto"/>
          <w:right w:val="single" w:sz="4" w:space="8" w:color="auto"/>
        </w:pBdr>
        <w:tabs>
          <w:tab w:val="left" w:pos="1440"/>
        </w:tabs>
        <w:snapToGrid w:val="0"/>
        <w:ind w:left="2280" w:right="720" w:hanging="156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4E110E" w:rsidRPr="00181CF2">
        <w:rPr>
          <w:rFonts w:ascii="Arial" w:hAnsi="Arial" w:cs="Arial"/>
          <w:b/>
          <w:color w:val="000000" w:themeColor="text1"/>
          <w:szCs w:val="24"/>
          <w:lang w:val="en-GB"/>
        </w:rPr>
        <w:t>(a)</w:t>
      </w:r>
      <w:r w:rsidR="004E110E" w:rsidRPr="00181CF2">
        <w:rPr>
          <w:rFonts w:ascii="Arial" w:hAnsi="Arial" w:cs="Arial"/>
          <w:b/>
          <w:color w:val="000000" w:themeColor="text1"/>
          <w:szCs w:val="24"/>
          <w:lang w:val="en-GB"/>
        </w:rPr>
        <w:tab/>
      </w:r>
      <w:r w:rsidR="004E110E" w:rsidRPr="0028108F">
        <w:rPr>
          <w:rFonts w:ascii="Arial" w:hAnsi="Arial" w:cs="Arial"/>
          <w:b/>
          <w:color w:val="000000" w:themeColor="text1"/>
          <w:szCs w:val="24"/>
          <w:lang w:val="en-GB"/>
        </w:rPr>
        <w:t xml:space="preserve">whether the </w:t>
      </w:r>
      <w:r w:rsidR="00C57CE1">
        <w:rPr>
          <w:rFonts w:ascii="Arial" w:hAnsi="Arial" w:cs="Arial"/>
          <w:b/>
          <w:color w:val="000000" w:themeColor="text1"/>
          <w:szCs w:val="24"/>
          <w:lang w:val="en-GB"/>
        </w:rPr>
        <w:t xml:space="preserve">relevant </w:t>
      </w:r>
      <w:r w:rsidR="004E110E" w:rsidRPr="0028108F">
        <w:rPr>
          <w:rFonts w:ascii="Arial" w:hAnsi="Arial" w:cs="Arial"/>
          <w:b/>
          <w:color w:val="000000" w:themeColor="text1"/>
          <w:szCs w:val="24"/>
          <w:lang w:val="en-GB"/>
        </w:rPr>
        <w:t>countries and territories outside</w:t>
      </w:r>
      <w:r w:rsidR="004E110E" w:rsidRPr="00181CF2">
        <w:rPr>
          <w:rFonts w:ascii="Arial" w:hAnsi="Arial" w:cs="Arial"/>
          <w:b/>
          <w:color w:val="000000" w:themeColor="text1"/>
          <w:szCs w:val="24"/>
          <w:lang w:val="en-GB"/>
        </w:rPr>
        <w:t xml:space="preserve"> Hong Kong</w:t>
      </w:r>
      <w:r w:rsidR="009172F5" w:rsidRPr="00181CF2">
        <w:rPr>
          <w:rFonts w:ascii="Arial" w:hAnsi="Arial" w:cs="Arial"/>
          <w:b/>
          <w:color w:val="000000" w:themeColor="text1"/>
          <w:szCs w:val="24"/>
          <w:lang w:val="en-GB"/>
        </w:rPr>
        <w:t xml:space="preserve"> </w:t>
      </w:r>
      <w:r w:rsidR="004E110E" w:rsidRPr="0028108F">
        <w:rPr>
          <w:rFonts w:ascii="Arial" w:hAnsi="Arial" w:cs="Arial"/>
          <w:b/>
          <w:color w:val="000000" w:themeColor="text1"/>
          <w:szCs w:val="24"/>
          <w:lang w:val="en-GB"/>
        </w:rPr>
        <w:t>should be limited to those having certain</w:t>
      </w:r>
      <w:r w:rsidR="004E110E" w:rsidRPr="00181CF2">
        <w:rPr>
          <w:rFonts w:ascii="Arial" w:hAnsi="Arial" w:cs="Arial"/>
          <w:b/>
          <w:color w:val="000000" w:themeColor="text1"/>
          <w:szCs w:val="24"/>
          <w:lang w:val="en-GB"/>
        </w:rPr>
        <w:t xml:space="preserve"> requirem</w:t>
      </w:r>
      <w:r w:rsidR="004E110E" w:rsidRPr="00C57CE1">
        <w:rPr>
          <w:rFonts w:ascii="Arial" w:hAnsi="Arial" w:cs="Arial"/>
          <w:b/>
          <w:color w:val="000000" w:themeColor="text1"/>
          <w:szCs w:val="24"/>
          <w:lang w:val="en-GB"/>
        </w:rPr>
        <w:t>ents for gender</w:t>
      </w:r>
      <w:r w:rsidR="009172F5" w:rsidRPr="00C57CE1">
        <w:rPr>
          <w:rFonts w:ascii="Arial" w:hAnsi="Arial" w:cs="Arial"/>
          <w:b/>
          <w:color w:val="000000" w:themeColor="text1"/>
          <w:szCs w:val="24"/>
          <w:lang w:val="en-GB"/>
        </w:rPr>
        <w:t xml:space="preserve"> </w:t>
      </w:r>
      <w:r w:rsidR="004E110E" w:rsidRPr="0028108F">
        <w:rPr>
          <w:rFonts w:ascii="Arial" w:hAnsi="Arial" w:cs="Arial"/>
          <w:b/>
          <w:color w:val="000000" w:themeColor="text1"/>
          <w:szCs w:val="24"/>
          <w:lang w:val="en-GB"/>
        </w:rPr>
        <w:t>recognition, and why;</w:t>
      </w:r>
    </w:p>
    <w:p w:rsidR="004E110E" w:rsidRPr="0028108F" w:rsidRDefault="004E110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4E110E" w:rsidRPr="0028108F" w:rsidRDefault="009A1AD2" w:rsidP="009A1AD2">
      <w:pPr>
        <w:pBdr>
          <w:top w:val="single" w:sz="4" w:space="8" w:color="auto"/>
          <w:left w:val="single" w:sz="4" w:space="8" w:color="auto"/>
          <w:bottom w:val="single" w:sz="4" w:space="8" w:color="auto"/>
          <w:right w:val="single" w:sz="4" w:space="8" w:color="auto"/>
        </w:pBdr>
        <w:tabs>
          <w:tab w:val="left" w:pos="1440"/>
        </w:tabs>
        <w:snapToGrid w:val="0"/>
        <w:ind w:left="2280" w:right="720" w:hanging="156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4E110E" w:rsidRPr="00181CF2">
        <w:rPr>
          <w:rFonts w:ascii="Arial" w:hAnsi="Arial" w:cs="Arial"/>
          <w:b/>
          <w:color w:val="000000" w:themeColor="text1"/>
          <w:szCs w:val="24"/>
          <w:lang w:val="en-GB"/>
        </w:rPr>
        <w:t>(b)</w:t>
      </w:r>
      <w:r w:rsidR="004E110E" w:rsidRPr="00181CF2">
        <w:rPr>
          <w:rFonts w:ascii="Arial" w:hAnsi="Arial" w:cs="Arial"/>
          <w:b/>
          <w:color w:val="000000" w:themeColor="text1"/>
          <w:szCs w:val="24"/>
          <w:lang w:val="en-GB"/>
        </w:rPr>
        <w:tab/>
        <w:t xml:space="preserve">if the answer to sub-paragraph (a) is “yes”, what </w:t>
      </w:r>
      <w:r w:rsidR="00AB0E50" w:rsidRPr="00C57CE1">
        <w:rPr>
          <w:rFonts w:ascii="Arial" w:hAnsi="Arial" w:cs="Arial"/>
          <w:b/>
          <w:color w:val="000000" w:themeColor="text1"/>
          <w:szCs w:val="24"/>
          <w:lang w:val="en-GB"/>
        </w:rPr>
        <w:t xml:space="preserve">should those </w:t>
      </w:r>
      <w:r w:rsidR="004E110E" w:rsidRPr="00C57CE1">
        <w:rPr>
          <w:rFonts w:ascii="Arial" w:hAnsi="Arial" w:cs="Arial"/>
          <w:b/>
          <w:color w:val="000000" w:themeColor="text1"/>
          <w:szCs w:val="24"/>
          <w:lang w:val="en-GB"/>
        </w:rPr>
        <w:t xml:space="preserve">requirements </w:t>
      </w:r>
      <w:r w:rsidR="00AB0E50" w:rsidRPr="0028108F">
        <w:rPr>
          <w:rFonts w:ascii="Arial" w:hAnsi="Arial" w:cs="Arial"/>
          <w:b/>
          <w:color w:val="000000" w:themeColor="text1"/>
          <w:szCs w:val="24"/>
          <w:lang w:val="en-GB"/>
        </w:rPr>
        <w:t>be</w:t>
      </w:r>
      <w:r w:rsidR="004E110E" w:rsidRPr="0028108F">
        <w:rPr>
          <w:rFonts w:ascii="Arial" w:hAnsi="Arial" w:cs="Arial"/>
          <w:b/>
          <w:color w:val="000000" w:themeColor="text1"/>
          <w:szCs w:val="24"/>
          <w:lang w:val="en-GB"/>
        </w:rPr>
        <w:t xml:space="preserve">; </w:t>
      </w:r>
    </w:p>
    <w:p w:rsidR="004E110E" w:rsidRPr="0028108F" w:rsidRDefault="004E110E" w:rsidP="004E110E">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4E110E" w:rsidRPr="0028108F" w:rsidRDefault="009A1AD2" w:rsidP="009A1AD2">
      <w:pPr>
        <w:pBdr>
          <w:top w:val="single" w:sz="4" w:space="8" w:color="auto"/>
          <w:left w:val="single" w:sz="4" w:space="8" w:color="auto"/>
          <w:bottom w:val="single" w:sz="4" w:space="8" w:color="auto"/>
          <w:right w:val="single" w:sz="4" w:space="8" w:color="auto"/>
        </w:pBdr>
        <w:tabs>
          <w:tab w:val="left" w:pos="1440"/>
        </w:tabs>
        <w:snapToGrid w:val="0"/>
        <w:ind w:left="2280" w:right="720" w:hanging="156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4E110E" w:rsidRPr="00181CF2">
        <w:rPr>
          <w:rFonts w:ascii="Arial" w:hAnsi="Arial" w:cs="Arial"/>
          <w:b/>
          <w:color w:val="000000" w:themeColor="text1"/>
          <w:szCs w:val="24"/>
          <w:lang w:val="en-GB"/>
        </w:rPr>
        <w:t>(c)</w:t>
      </w:r>
      <w:r w:rsidR="004E110E" w:rsidRPr="00181CF2">
        <w:rPr>
          <w:rFonts w:ascii="Arial" w:hAnsi="Arial" w:cs="Arial"/>
          <w:b/>
          <w:color w:val="000000" w:themeColor="text1"/>
          <w:szCs w:val="24"/>
          <w:lang w:val="en-GB"/>
        </w:rPr>
        <w:tab/>
      </w:r>
      <w:r w:rsidR="004E110E" w:rsidRPr="0028108F">
        <w:rPr>
          <w:rFonts w:ascii="Arial" w:hAnsi="Arial" w:cs="Arial"/>
          <w:b/>
          <w:color w:val="000000" w:themeColor="text1"/>
          <w:szCs w:val="24"/>
          <w:lang w:val="en-GB"/>
        </w:rPr>
        <w:t>what kind of evidence should be required to</w:t>
      </w:r>
      <w:r w:rsidR="004E110E" w:rsidRPr="00181CF2">
        <w:rPr>
          <w:rFonts w:ascii="Arial" w:hAnsi="Arial" w:cs="Arial"/>
          <w:b/>
          <w:color w:val="000000" w:themeColor="text1"/>
          <w:szCs w:val="24"/>
          <w:lang w:val="en-GB"/>
        </w:rPr>
        <w:t xml:space="preserve"> d</w:t>
      </w:r>
      <w:r w:rsidR="004E110E" w:rsidRPr="00C57CE1">
        <w:rPr>
          <w:rFonts w:ascii="Arial" w:hAnsi="Arial" w:cs="Arial"/>
          <w:b/>
          <w:color w:val="000000" w:themeColor="text1"/>
          <w:szCs w:val="24"/>
          <w:lang w:val="en-GB"/>
        </w:rPr>
        <w:t>emonstrate that the applicant has been legally recognised in his or her acquired gender in that particular country or territory; and</w:t>
      </w:r>
    </w:p>
    <w:p w:rsidR="00E850FF" w:rsidRPr="0028108F" w:rsidRDefault="00E850FF" w:rsidP="004E110E">
      <w:pPr>
        <w:pBdr>
          <w:top w:val="single" w:sz="4" w:space="8" w:color="auto"/>
          <w:left w:val="single" w:sz="4" w:space="8" w:color="auto"/>
          <w:bottom w:val="single" w:sz="4" w:space="8" w:color="auto"/>
          <w:right w:val="single" w:sz="4" w:space="8" w:color="auto"/>
        </w:pBdr>
        <w:snapToGrid w:val="0"/>
        <w:ind w:left="720" w:right="720" w:firstLineChars="300" w:firstLine="721"/>
        <w:jc w:val="both"/>
        <w:rPr>
          <w:rFonts w:ascii="Arial" w:hAnsi="Arial" w:cs="Arial"/>
          <w:b/>
          <w:color w:val="000000" w:themeColor="text1"/>
          <w:szCs w:val="24"/>
          <w:lang w:val="en-GB"/>
        </w:rPr>
      </w:pPr>
    </w:p>
    <w:p w:rsidR="00E773F6" w:rsidRPr="0028108F" w:rsidRDefault="009A1AD2" w:rsidP="0028108F">
      <w:pPr>
        <w:pBdr>
          <w:top w:val="single" w:sz="4" w:space="8" w:color="auto"/>
          <w:left w:val="single" w:sz="4" w:space="8" w:color="auto"/>
          <w:bottom w:val="single" w:sz="4" w:space="8" w:color="auto"/>
          <w:right w:val="single" w:sz="4" w:space="8" w:color="auto"/>
        </w:pBdr>
        <w:tabs>
          <w:tab w:val="left" w:pos="1440"/>
        </w:tabs>
        <w:snapToGrid w:val="0"/>
        <w:ind w:left="2280" w:right="720" w:hanging="1560"/>
        <w:jc w:val="both"/>
        <w:rPr>
          <w:rFonts w:ascii="Arial" w:hAnsi="Arial" w:cs="Arial"/>
          <w:b/>
          <w:color w:val="000000" w:themeColor="text1"/>
          <w:szCs w:val="24"/>
          <w:lang w:val="en-GB"/>
        </w:rPr>
      </w:pPr>
      <w:r w:rsidRPr="0028108F">
        <w:rPr>
          <w:rFonts w:ascii="Arial" w:hAnsi="Arial" w:cs="Arial"/>
          <w:b/>
          <w:color w:val="000000" w:themeColor="text1"/>
          <w:szCs w:val="24"/>
          <w:lang w:val="en-GB"/>
        </w:rPr>
        <w:tab/>
      </w:r>
      <w:r w:rsidR="004E110E" w:rsidRPr="0028108F">
        <w:rPr>
          <w:rFonts w:ascii="Arial" w:hAnsi="Arial" w:cs="Arial"/>
          <w:b/>
          <w:color w:val="000000" w:themeColor="text1"/>
          <w:szCs w:val="24"/>
          <w:lang w:val="en-GB"/>
        </w:rPr>
        <w:t>(d)</w:t>
      </w:r>
      <w:r w:rsidR="004E110E" w:rsidRPr="0028108F">
        <w:rPr>
          <w:rFonts w:ascii="Arial" w:hAnsi="Arial" w:cs="Arial"/>
          <w:b/>
          <w:color w:val="000000" w:themeColor="text1"/>
          <w:szCs w:val="24"/>
          <w:lang w:val="en-GB"/>
        </w:rPr>
        <w:tab/>
        <w:t>what kind of connection between the applicant</w:t>
      </w:r>
      <w:r w:rsidR="00AB0E50" w:rsidRPr="0028108F">
        <w:rPr>
          <w:rFonts w:ascii="Arial" w:hAnsi="Arial" w:cs="Arial"/>
          <w:b/>
          <w:color w:val="000000" w:themeColor="text1"/>
          <w:szCs w:val="24"/>
          <w:lang w:val="en-GB"/>
        </w:rPr>
        <w:t xml:space="preserve"> </w:t>
      </w:r>
      <w:r w:rsidR="004E110E" w:rsidRPr="0028108F">
        <w:rPr>
          <w:rFonts w:ascii="Arial" w:hAnsi="Arial" w:cs="Arial"/>
          <w:b/>
          <w:color w:val="000000" w:themeColor="text1"/>
          <w:szCs w:val="24"/>
          <w:lang w:val="en-GB"/>
        </w:rPr>
        <w:t>and the foreign country or territory (such as</w:t>
      </w:r>
      <w:r w:rsidR="00E850FF" w:rsidRPr="0028108F">
        <w:rPr>
          <w:rFonts w:ascii="Arial" w:hAnsi="Arial" w:cs="Arial"/>
          <w:b/>
          <w:color w:val="000000" w:themeColor="text1"/>
          <w:szCs w:val="24"/>
          <w:lang w:val="en-GB"/>
        </w:rPr>
        <w:t xml:space="preserve"> </w:t>
      </w:r>
      <w:r w:rsidR="004E110E" w:rsidRPr="00181CF2">
        <w:rPr>
          <w:rFonts w:ascii="Arial" w:hAnsi="Arial" w:cs="Arial"/>
          <w:b/>
          <w:color w:val="000000" w:themeColor="text1"/>
          <w:szCs w:val="24"/>
          <w:lang w:val="en-GB"/>
        </w:rPr>
        <w:t>citizenship in the countr</w:t>
      </w:r>
      <w:r w:rsidR="004E110E" w:rsidRPr="00C57CE1">
        <w:rPr>
          <w:rFonts w:ascii="Arial" w:hAnsi="Arial" w:cs="Arial"/>
          <w:b/>
          <w:color w:val="000000" w:themeColor="text1"/>
          <w:szCs w:val="24"/>
          <w:lang w:val="en-GB"/>
        </w:rPr>
        <w:t xml:space="preserve">y or territory where the </w:t>
      </w:r>
      <w:r w:rsidR="004E110E" w:rsidRPr="0028108F">
        <w:rPr>
          <w:rFonts w:ascii="Arial" w:hAnsi="Arial" w:cs="Arial"/>
          <w:b/>
          <w:color w:val="000000" w:themeColor="text1"/>
          <w:szCs w:val="24"/>
          <w:lang w:val="en-GB"/>
        </w:rPr>
        <w:t>gender change was recognised) should be</w:t>
      </w:r>
      <w:r w:rsidR="004E110E" w:rsidRPr="00181CF2">
        <w:rPr>
          <w:rFonts w:ascii="Arial" w:hAnsi="Arial" w:cs="Arial"/>
          <w:b/>
          <w:color w:val="000000" w:themeColor="text1"/>
          <w:szCs w:val="24"/>
          <w:lang w:val="en-GB"/>
        </w:rPr>
        <w:t xml:space="preserve"> required.</w:t>
      </w:r>
    </w:p>
    <w:p w:rsidR="00E850FF" w:rsidRPr="00C57CE1" w:rsidRDefault="00E850FF" w:rsidP="00E850FF">
      <w:pPr>
        <w:tabs>
          <w:tab w:val="left" w:pos="1418"/>
          <w:tab w:val="left" w:pos="2552"/>
        </w:tabs>
        <w:adjustRightInd w:val="0"/>
        <w:snapToGrid w:val="0"/>
        <w:jc w:val="both"/>
        <w:rPr>
          <w:rFonts w:ascii="Arial" w:hAnsi="Arial" w:cs="Arial"/>
          <w:i/>
          <w:szCs w:val="24"/>
          <w:lang w:val="en-GB"/>
        </w:rPr>
      </w:pPr>
    </w:p>
    <w:p w:rsidR="00F25D5A" w:rsidRPr="0028108F" w:rsidRDefault="00F25D5A" w:rsidP="0028108F">
      <w:pPr>
        <w:pStyle w:val="ListParagraph"/>
        <w:numPr>
          <w:ilvl w:val="0"/>
          <w:numId w:val="104"/>
        </w:numPr>
        <w:tabs>
          <w:tab w:val="left" w:pos="1418"/>
          <w:tab w:val="left" w:pos="2552"/>
        </w:tabs>
        <w:adjustRightInd w:val="0"/>
        <w:snapToGrid w:val="0"/>
        <w:ind w:leftChars="0" w:left="0" w:firstLine="0"/>
        <w:jc w:val="both"/>
        <w:rPr>
          <w:rFonts w:ascii="Arial" w:hAnsi="Arial" w:cs="Arial"/>
          <w:i/>
          <w:szCs w:val="24"/>
          <w:lang w:val="en-GB"/>
        </w:rPr>
      </w:pPr>
      <w:r w:rsidRPr="00C57CE1">
        <w:rPr>
          <w:rFonts w:ascii="Arial" w:hAnsi="Arial" w:cs="Arial"/>
          <w:szCs w:val="24"/>
          <w:lang w:val="en-GB"/>
        </w:rPr>
        <w:t xml:space="preserve">Separately, </w:t>
      </w:r>
      <w:r w:rsidRPr="0028108F">
        <w:rPr>
          <w:rFonts w:ascii="Arial" w:hAnsi="Arial" w:cs="Arial"/>
          <w:szCs w:val="24"/>
          <w:lang w:val="en-GB"/>
        </w:rPr>
        <w:t xml:space="preserve">we also </w:t>
      </w:r>
      <w:r w:rsidR="005E6528">
        <w:rPr>
          <w:rFonts w:ascii="Arial" w:hAnsi="Arial" w:cs="Arial"/>
          <w:szCs w:val="24"/>
          <w:lang w:val="en-GB"/>
        </w:rPr>
        <w:t>invite</w:t>
      </w:r>
      <w:r w:rsidRPr="0028108F">
        <w:rPr>
          <w:rFonts w:ascii="Arial" w:hAnsi="Arial" w:cs="Arial"/>
          <w:szCs w:val="24"/>
          <w:lang w:val="en-GB"/>
        </w:rPr>
        <w:t xml:space="preserve"> views from the public on further non-medical requirements or evidence for gender recognition.</w:t>
      </w:r>
    </w:p>
    <w:p w:rsidR="00F25D5A" w:rsidRPr="0028108F" w:rsidRDefault="00F25D5A" w:rsidP="008813DE">
      <w:pPr>
        <w:tabs>
          <w:tab w:val="left" w:pos="1418"/>
          <w:tab w:val="left" w:pos="2552"/>
        </w:tabs>
        <w:adjustRightInd w:val="0"/>
        <w:snapToGrid w:val="0"/>
        <w:jc w:val="both"/>
        <w:rPr>
          <w:rFonts w:ascii="Arial" w:hAnsi="Arial" w:cs="Arial"/>
          <w:i/>
          <w:szCs w:val="24"/>
          <w:lang w:val="en-GB"/>
        </w:rPr>
      </w:pPr>
    </w:p>
    <w:p w:rsidR="00F25D5A" w:rsidRPr="0028108F" w:rsidRDefault="00F25D5A" w:rsidP="009A1AD2">
      <w:pPr>
        <w:keepNext/>
        <w:widowControl/>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50225C"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50225C" w:rsidRPr="0028108F">
        <w:rPr>
          <w:rFonts w:ascii="Arial" w:hAnsi="Arial" w:cs="Arial"/>
          <w:b/>
          <w:color w:val="000000" w:themeColor="text1"/>
          <w:szCs w:val="24"/>
          <w:u w:val="single"/>
          <w:lang w:val="en-GB"/>
        </w:rPr>
        <w:t xml:space="preserve"> </w:t>
      </w:r>
      <w:r w:rsidR="0050225C" w:rsidRPr="008813DE">
        <w:rPr>
          <w:rFonts w:ascii="Arial" w:hAnsi="Arial" w:cs="Arial"/>
          <w:b/>
          <w:color w:val="000000" w:themeColor="text1"/>
          <w:szCs w:val="24"/>
          <w:u w:val="single"/>
          <w:lang w:val="en-GB"/>
        </w:rPr>
        <w:t>12</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50225C" w:rsidRPr="0028108F">
        <w:rPr>
          <w:rFonts w:ascii="Arial" w:hAnsi="Arial" w:cs="Arial"/>
          <w:b/>
          <w:color w:val="000000" w:themeColor="text1"/>
          <w:szCs w:val="24"/>
          <w:lang w:val="en-GB"/>
        </w:rPr>
        <w:t xml:space="preserve"> the following matters.</w:t>
      </w:r>
      <w:r w:rsidRPr="0028108F">
        <w:rPr>
          <w:rFonts w:ascii="Arial" w:hAnsi="Arial" w:cs="Arial"/>
          <w:b/>
          <w:color w:val="000000" w:themeColor="text1"/>
          <w:szCs w:val="24"/>
          <w:lang w:val="en-GB"/>
        </w:rPr>
        <w:t xml:space="preserve"> </w:t>
      </w:r>
    </w:p>
    <w:p w:rsidR="00F25D5A" w:rsidRPr="0028108F" w:rsidRDefault="00F25D5A" w:rsidP="00F25D5A">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F25D5A" w:rsidRPr="0028108F" w:rsidRDefault="00F25D5A" w:rsidP="009A1AD2">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50225C"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n the event that a gender recognition scheme is</w:t>
      </w:r>
      <w:r w:rsidR="005E6528">
        <w:rPr>
          <w:rFonts w:ascii="Arial" w:hAnsi="Arial" w:cs="Arial" w:hint="eastAsia"/>
          <w:b/>
          <w:color w:val="000000" w:themeColor="text1"/>
          <w:szCs w:val="24"/>
          <w:lang w:val="en-GB"/>
        </w:rPr>
        <w:t xml:space="preserve"> to be</w:t>
      </w:r>
      <w:r w:rsidRPr="0028108F">
        <w:rPr>
          <w:rFonts w:ascii="Arial" w:hAnsi="Arial" w:cs="Arial"/>
          <w:b/>
          <w:color w:val="000000" w:themeColor="text1"/>
          <w:szCs w:val="24"/>
          <w:lang w:val="en-GB"/>
        </w:rPr>
        <w:t xml:space="preserve"> introduced in Hong Kong, whether there should be any other non-medical requirement or further evidence for gender recognition, and why.</w:t>
      </w:r>
    </w:p>
    <w:p w:rsidR="00F25D5A" w:rsidRPr="0028108F" w:rsidRDefault="00F25D5A" w:rsidP="00F25D5A">
      <w:pPr>
        <w:pBdr>
          <w:top w:val="single" w:sz="4" w:space="8" w:color="auto"/>
          <w:left w:val="single" w:sz="4" w:space="8" w:color="auto"/>
          <w:bottom w:val="single" w:sz="4" w:space="8" w:color="auto"/>
          <w:right w:val="single" w:sz="4" w:space="8" w:color="auto"/>
        </w:pBdr>
        <w:snapToGrid w:val="0"/>
        <w:ind w:left="720" w:right="720" w:firstLineChars="300" w:firstLine="721"/>
        <w:jc w:val="both"/>
        <w:rPr>
          <w:rFonts w:ascii="Arial" w:hAnsi="Arial" w:cs="Arial"/>
          <w:b/>
          <w:color w:val="000000" w:themeColor="text1"/>
          <w:szCs w:val="24"/>
          <w:lang w:val="en-GB"/>
        </w:rPr>
      </w:pPr>
    </w:p>
    <w:p w:rsidR="00E850FF" w:rsidRPr="0028108F" w:rsidRDefault="00F25D5A" w:rsidP="009A1AD2">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50225C"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w:t>
      </w:r>
      <w:r w:rsidR="009034EF"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 is “yes”, what kind of further evidence in this regard should be required.</w:t>
      </w:r>
    </w:p>
    <w:p w:rsidR="00F25D5A" w:rsidRPr="0028108F" w:rsidRDefault="00F25D5A">
      <w:pPr>
        <w:widowControl/>
        <w:rPr>
          <w:rFonts w:ascii="Arial" w:hAnsi="Arial" w:cs="Arial"/>
          <w:i/>
          <w:szCs w:val="24"/>
          <w:lang w:val="en-GB"/>
        </w:rPr>
      </w:pPr>
      <w:r w:rsidRPr="0028108F">
        <w:rPr>
          <w:rFonts w:ascii="Arial" w:hAnsi="Arial" w:cs="Arial"/>
          <w:i/>
          <w:szCs w:val="24"/>
          <w:lang w:val="en-GB"/>
        </w:rPr>
        <w:br w:type="page"/>
      </w:r>
    </w:p>
    <w:p w:rsidR="001544FD" w:rsidRPr="0028108F" w:rsidRDefault="001544FD" w:rsidP="001544FD">
      <w:pPr>
        <w:adjustRightInd w:val="0"/>
        <w:snapToGrid w:val="0"/>
        <w:jc w:val="both"/>
        <w:rPr>
          <w:rFonts w:ascii="Arial" w:hAnsi="Arial" w:cs="Arial"/>
          <w:b/>
          <w:sz w:val="32"/>
          <w:szCs w:val="32"/>
          <w:lang w:val="en-GB"/>
        </w:rPr>
      </w:pPr>
      <w:r w:rsidRPr="0028108F">
        <w:rPr>
          <w:rFonts w:ascii="Arial" w:hAnsi="Arial" w:cs="Arial"/>
          <w:b/>
          <w:sz w:val="32"/>
          <w:szCs w:val="32"/>
          <w:lang w:val="en-GB"/>
        </w:rPr>
        <w:t>CHAPTER 8</w:t>
      </w:r>
    </w:p>
    <w:p w:rsidR="001544FD" w:rsidRPr="0028108F" w:rsidRDefault="001544FD" w:rsidP="001544FD">
      <w:pPr>
        <w:adjustRightInd w:val="0"/>
        <w:snapToGrid w:val="0"/>
        <w:jc w:val="both"/>
        <w:rPr>
          <w:rFonts w:ascii="Arial" w:hAnsi="Arial" w:cs="Arial"/>
          <w:b/>
          <w:sz w:val="32"/>
          <w:szCs w:val="32"/>
          <w:lang w:val="en-GB"/>
        </w:rPr>
      </w:pPr>
    </w:p>
    <w:p w:rsidR="001544FD" w:rsidRPr="0028108F" w:rsidRDefault="001544FD" w:rsidP="001544FD">
      <w:pPr>
        <w:adjustRightInd w:val="0"/>
        <w:snapToGrid w:val="0"/>
        <w:rPr>
          <w:rFonts w:ascii="Arial" w:hAnsi="Arial" w:cs="Arial"/>
          <w:b/>
          <w:sz w:val="32"/>
          <w:szCs w:val="32"/>
          <w:lang w:val="en-GB"/>
        </w:rPr>
      </w:pPr>
      <w:r w:rsidRPr="0028108F">
        <w:rPr>
          <w:rFonts w:ascii="Arial" w:hAnsi="Arial" w:cs="Arial"/>
          <w:b/>
          <w:caps/>
          <w:sz w:val="32"/>
          <w:szCs w:val="32"/>
          <w:lang w:val="en-GB"/>
        </w:rPr>
        <w:t>What are the options for a gender recognition scheme</w:t>
      </w:r>
      <w:r w:rsidRPr="0028108F">
        <w:rPr>
          <w:rFonts w:ascii="Arial" w:hAnsi="Arial" w:cs="Arial"/>
          <w:b/>
          <w:caps/>
          <w:szCs w:val="24"/>
          <w:lang w:val="en-GB"/>
        </w:rPr>
        <w:t xml:space="preserve"> </w:t>
      </w:r>
      <w:r w:rsidRPr="0028108F">
        <w:rPr>
          <w:rFonts w:ascii="Arial" w:hAnsi="Arial" w:cs="Arial"/>
          <w:b/>
          <w:sz w:val="32"/>
          <w:szCs w:val="32"/>
          <w:lang w:val="en-GB"/>
        </w:rPr>
        <w:t>______________________________</w:t>
      </w:r>
    </w:p>
    <w:p w:rsidR="001544FD" w:rsidRDefault="001544FD" w:rsidP="001544FD">
      <w:pPr>
        <w:adjustRightInd w:val="0"/>
        <w:snapToGrid w:val="0"/>
        <w:jc w:val="both"/>
        <w:rPr>
          <w:rFonts w:ascii="Arial" w:hAnsi="Arial" w:cs="Arial"/>
          <w:szCs w:val="24"/>
          <w:lang w:val="en-GB"/>
        </w:rPr>
      </w:pPr>
    </w:p>
    <w:p w:rsidR="00B84297" w:rsidRPr="0028108F" w:rsidRDefault="00B84297" w:rsidP="001544FD">
      <w:pPr>
        <w:adjustRightInd w:val="0"/>
        <w:snapToGrid w:val="0"/>
        <w:jc w:val="both"/>
        <w:rPr>
          <w:rFonts w:ascii="Arial" w:hAnsi="Arial" w:cs="Arial"/>
          <w:szCs w:val="24"/>
          <w:lang w:val="en-GB"/>
        </w:rPr>
      </w:pPr>
    </w:p>
    <w:p w:rsidR="001544FD" w:rsidRPr="0028108F" w:rsidRDefault="001544FD" w:rsidP="001544FD">
      <w:pPr>
        <w:adjustRightInd w:val="0"/>
        <w:snapToGrid w:val="0"/>
        <w:jc w:val="both"/>
        <w:rPr>
          <w:rFonts w:ascii="Arial" w:hAnsi="Arial" w:cs="Arial"/>
          <w:szCs w:val="24"/>
          <w:lang w:val="en-GB"/>
        </w:rPr>
      </w:pPr>
    </w:p>
    <w:p w:rsidR="001544FD" w:rsidRPr="0028108F" w:rsidRDefault="001544FD" w:rsidP="001544FD">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1544FD" w:rsidRPr="0028108F" w:rsidRDefault="001544FD" w:rsidP="001544FD">
      <w:pPr>
        <w:adjustRightInd w:val="0"/>
        <w:snapToGrid w:val="0"/>
        <w:jc w:val="both"/>
        <w:rPr>
          <w:rFonts w:ascii="Arial" w:hAnsi="Arial" w:cs="Arial"/>
          <w:color w:val="000000" w:themeColor="text1"/>
          <w:szCs w:val="24"/>
          <w:lang w:val="en-GB"/>
        </w:rPr>
      </w:pPr>
    </w:p>
    <w:p w:rsidR="001544FD" w:rsidRPr="0028108F"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can be seen from the discussion in Chapters </w:t>
      </w:r>
      <w:r w:rsidRPr="008813DE">
        <w:rPr>
          <w:rFonts w:ascii="Arial" w:hAnsi="Arial" w:cs="Arial"/>
          <w:szCs w:val="24"/>
          <w:lang w:val="en-GB"/>
        </w:rPr>
        <w:t>3 and 4</w:t>
      </w:r>
      <w:r w:rsidRPr="0028108F">
        <w:rPr>
          <w:rFonts w:ascii="Arial" w:hAnsi="Arial" w:cs="Arial"/>
          <w:szCs w:val="24"/>
          <w:lang w:val="en-GB"/>
        </w:rPr>
        <w:t xml:space="preserve"> of this paper, different jurisdictions adopt a wide range of </w:t>
      </w:r>
      <w:r w:rsidR="00F576DC">
        <w:rPr>
          <w:rFonts w:ascii="Arial" w:hAnsi="Arial" w:cs="Arial" w:hint="eastAsia"/>
          <w:szCs w:val="24"/>
          <w:lang w:val="en-GB"/>
        </w:rPr>
        <w:t xml:space="preserve">different </w:t>
      </w:r>
      <w:r w:rsidRPr="0028108F">
        <w:rPr>
          <w:rFonts w:ascii="Arial" w:hAnsi="Arial" w:cs="Arial"/>
          <w:szCs w:val="24"/>
          <w:lang w:val="en-GB"/>
        </w:rPr>
        <w:t xml:space="preserve">approaches to processing applications for gender recognition.  One of the approaches is to set up a panel like the </w:t>
      </w:r>
      <w:r w:rsidR="001D1B27" w:rsidRPr="0028108F">
        <w:rPr>
          <w:rFonts w:ascii="Arial" w:hAnsi="Arial" w:cs="Arial"/>
          <w:szCs w:val="24"/>
          <w:lang w:val="en-GB"/>
        </w:rPr>
        <w:t>Gender Recognition Panel (</w:t>
      </w:r>
      <w:r w:rsidR="001D1B27" w:rsidRPr="00694B1A">
        <w:rPr>
          <w:rFonts w:ascii="Arial" w:hAnsi="Arial" w:cs="Arial"/>
          <w:szCs w:val="24"/>
          <w:lang w:val="en-GB"/>
        </w:rPr>
        <w:t>GRP</w:t>
      </w:r>
      <w:r w:rsidR="001D1B27" w:rsidRPr="0028108F">
        <w:rPr>
          <w:rFonts w:ascii="Arial" w:hAnsi="Arial" w:cs="Arial"/>
          <w:szCs w:val="24"/>
          <w:lang w:val="en-GB"/>
        </w:rPr>
        <w:t xml:space="preserve">) </w:t>
      </w:r>
      <w:r w:rsidRPr="00181CF2">
        <w:rPr>
          <w:rFonts w:ascii="Arial" w:hAnsi="Arial" w:cs="Arial"/>
          <w:szCs w:val="24"/>
          <w:lang w:val="en-GB"/>
        </w:rPr>
        <w:t>und</w:t>
      </w:r>
      <w:r w:rsidRPr="00C57CE1">
        <w:rPr>
          <w:rFonts w:ascii="Arial" w:hAnsi="Arial" w:cs="Arial"/>
          <w:szCs w:val="24"/>
          <w:lang w:val="en-GB"/>
        </w:rPr>
        <w:t xml:space="preserve">er the </w:t>
      </w:r>
      <w:r w:rsidR="001D1B27" w:rsidRPr="0028108F">
        <w:rPr>
          <w:rFonts w:ascii="Arial" w:hAnsi="Arial" w:cs="Arial"/>
          <w:szCs w:val="24"/>
          <w:lang w:val="en-GB"/>
        </w:rPr>
        <w:t>Gender Recognition Act 2004 (</w:t>
      </w:r>
      <w:r w:rsidRPr="0028108F">
        <w:rPr>
          <w:rFonts w:ascii="Arial" w:hAnsi="Arial" w:cs="Arial"/>
          <w:szCs w:val="24"/>
          <w:lang w:val="en-GB"/>
        </w:rPr>
        <w:t>GRA</w:t>
      </w:r>
      <w:r w:rsidR="00694B1A">
        <w:rPr>
          <w:rFonts w:ascii="Arial" w:hAnsi="Arial" w:cs="Arial"/>
          <w:szCs w:val="24"/>
          <w:lang w:val="en-GB"/>
        </w:rPr>
        <w:t>)</w:t>
      </w:r>
      <w:r w:rsidRPr="0028108F">
        <w:rPr>
          <w:rFonts w:ascii="Arial" w:hAnsi="Arial" w:cs="Arial"/>
          <w:szCs w:val="24"/>
          <w:lang w:val="en-GB"/>
        </w:rPr>
        <w:t xml:space="preserve"> in the UK.  The role of the GRP is to adjudicate, on a case by case basis, on whether recognition of an acquired gender is to be </w:t>
      </w:r>
      <w:r w:rsidR="001D1B27" w:rsidRPr="0028108F">
        <w:rPr>
          <w:rFonts w:ascii="Arial" w:hAnsi="Arial" w:cs="Arial"/>
          <w:szCs w:val="24"/>
          <w:lang w:val="en-GB"/>
        </w:rPr>
        <w:t>granted</w:t>
      </w:r>
      <w:r w:rsidRPr="0028108F">
        <w:rPr>
          <w:rFonts w:ascii="Arial" w:hAnsi="Arial" w:cs="Arial"/>
          <w:szCs w:val="24"/>
          <w:lang w:val="en-GB"/>
        </w:rPr>
        <w:t xml:space="preserve"> upon application by a transsexual person.  The GRP is a constituent tribunal of HM Courts and Tribunal Service and comprises a judicial panel (made up of legal and medical members responsible for assessing applications) supported by an administrative team.  The system requires an applicant for gender recognition to submit specified evidence to the GRP which then reaches its decision based on the documentary evidence submitted.</w:t>
      </w:r>
    </w:p>
    <w:p w:rsidR="001544FD" w:rsidRPr="0028108F"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b/>
          <w:szCs w:val="24"/>
          <w:lang w:val="en-GB"/>
        </w:rPr>
      </w:pPr>
    </w:p>
    <w:p w:rsidR="001544FD" w:rsidRPr="0028108F"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Other types of authorities to process applications for legal recognition of gender change, such as bodies exercising an administrative function to change details on the personal identification documents, are discussed in Chapter </w:t>
      </w:r>
      <w:r w:rsidRPr="008813DE">
        <w:rPr>
          <w:rFonts w:ascii="Arial" w:hAnsi="Arial" w:cs="Arial"/>
          <w:szCs w:val="24"/>
          <w:lang w:val="en-GB"/>
        </w:rPr>
        <w:t>4</w:t>
      </w:r>
      <w:r w:rsidRPr="0028108F">
        <w:rPr>
          <w:rFonts w:ascii="Arial" w:hAnsi="Arial" w:cs="Arial"/>
          <w:szCs w:val="24"/>
          <w:lang w:val="en-GB"/>
        </w:rPr>
        <w:t xml:space="preserve"> of this paper.</w:t>
      </w:r>
    </w:p>
    <w:p w:rsidR="001544FD" w:rsidRPr="0028108F" w:rsidRDefault="001544FD" w:rsidP="001544FD">
      <w:pPr>
        <w:pStyle w:val="ListParagraph"/>
        <w:tabs>
          <w:tab w:val="left" w:pos="1418"/>
        </w:tabs>
        <w:adjustRightInd w:val="0"/>
        <w:snapToGrid w:val="0"/>
        <w:ind w:leftChars="0" w:left="0"/>
        <w:jc w:val="both"/>
        <w:rPr>
          <w:rFonts w:ascii="Arial" w:hAnsi="Arial" w:cs="Arial"/>
          <w:color w:val="000000" w:themeColor="text1"/>
          <w:szCs w:val="24"/>
          <w:lang w:val="en-GB"/>
        </w:rPr>
      </w:pPr>
    </w:p>
    <w:p w:rsidR="001544FD" w:rsidRPr="0028108F" w:rsidRDefault="001544FD" w:rsidP="001544FD">
      <w:pPr>
        <w:pStyle w:val="ListParagraph"/>
        <w:numPr>
          <w:ilvl w:val="0"/>
          <w:numId w:val="105"/>
        </w:numPr>
        <w:tabs>
          <w:tab w:val="left" w:pos="1418"/>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In this </w:t>
      </w:r>
      <w:r w:rsidR="001D1B27"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Pr="0028108F">
        <w:rPr>
          <w:rFonts w:ascii="Arial" w:hAnsi="Arial" w:cs="Arial"/>
          <w:color w:val="000000" w:themeColor="text1"/>
          <w:szCs w:val="24"/>
          <w:lang w:val="en-GB"/>
        </w:rPr>
        <w:t xml:space="preserve">, we will examine the </w:t>
      </w:r>
      <w:r w:rsidR="0006282B" w:rsidRPr="0028108F">
        <w:rPr>
          <w:rFonts w:ascii="Arial" w:hAnsi="Arial" w:cs="Arial"/>
          <w:color w:val="000000" w:themeColor="text1"/>
          <w:szCs w:val="24"/>
          <w:lang w:val="en-GB"/>
        </w:rPr>
        <w:t>arguments in support of and against</w:t>
      </w:r>
      <w:r w:rsidRPr="00C57CE1">
        <w:rPr>
          <w:rFonts w:ascii="Arial" w:hAnsi="Arial" w:cs="Arial"/>
          <w:color w:val="000000" w:themeColor="text1"/>
          <w:szCs w:val="24"/>
          <w:lang w:val="en-GB"/>
        </w:rPr>
        <w:t xml:space="preserve"> adopting various options </w:t>
      </w:r>
      <w:r w:rsidR="001D1B27" w:rsidRPr="0028108F">
        <w:rPr>
          <w:rFonts w:ascii="Arial" w:hAnsi="Arial" w:cs="Arial"/>
          <w:color w:val="000000" w:themeColor="text1"/>
          <w:szCs w:val="24"/>
          <w:lang w:val="en-GB"/>
        </w:rPr>
        <w:t>for</w:t>
      </w:r>
      <w:r w:rsidRPr="0028108F">
        <w:rPr>
          <w:rFonts w:ascii="Arial" w:hAnsi="Arial" w:cs="Arial"/>
          <w:color w:val="000000" w:themeColor="text1"/>
          <w:szCs w:val="24"/>
          <w:lang w:val="en-GB"/>
        </w:rPr>
        <w:t xml:space="preserve"> a gender recognition scheme in Hong Kong, including a legislative scheme, an administrative scheme, a scheme with a panel set up to perform quasi-judicial or judicial functions to determine applications for gender recognition</w:t>
      </w:r>
      <w:r w:rsidR="001D1B27" w:rsidRPr="0028108F">
        <w:rPr>
          <w:rFonts w:ascii="Arial" w:hAnsi="Arial" w:cs="Arial"/>
          <w:color w:val="000000" w:themeColor="text1"/>
          <w:szCs w:val="24"/>
          <w:lang w:val="en-GB"/>
        </w:rPr>
        <w:t xml:space="preserve"> (similar to the UK’s GRP)</w:t>
      </w:r>
      <w:r w:rsidRPr="0028108F">
        <w:rPr>
          <w:rFonts w:ascii="Arial" w:hAnsi="Arial" w:cs="Arial"/>
          <w:color w:val="000000" w:themeColor="text1"/>
          <w:szCs w:val="24"/>
          <w:lang w:val="en-GB"/>
        </w:rPr>
        <w:t>, a scheme involving overseas experts in the assessment of gender recognition applications, and a hypothetical dual-track gender recognition scheme for Hong Kong with different requirements for each track.</w:t>
      </w:r>
    </w:p>
    <w:p w:rsidR="001544FD" w:rsidRPr="0028108F" w:rsidRDefault="001544FD" w:rsidP="001544FD">
      <w:pPr>
        <w:pStyle w:val="ListParagraph"/>
        <w:tabs>
          <w:tab w:val="left" w:pos="1418"/>
        </w:tabs>
        <w:adjustRightInd w:val="0"/>
        <w:snapToGrid w:val="0"/>
        <w:ind w:leftChars="0" w:left="0"/>
        <w:jc w:val="both"/>
        <w:rPr>
          <w:rFonts w:ascii="Arial" w:hAnsi="Arial" w:cs="Arial"/>
          <w:color w:val="000000" w:themeColor="text1"/>
          <w:szCs w:val="24"/>
          <w:lang w:val="en-GB"/>
        </w:rPr>
      </w:pPr>
    </w:p>
    <w:p w:rsidR="001544FD" w:rsidRPr="0028108F" w:rsidRDefault="001544FD" w:rsidP="001544FD">
      <w:pPr>
        <w:pStyle w:val="ListParagraph"/>
        <w:numPr>
          <w:ilvl w:val="0"/>
          <w:numId w:val="105"/>
        </w:numPr>
        <w:tabs>
          <w:tab w:val="left" w:pos="1418"/>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As a matter of </w:t>
      </w:r>
      <w:r w:rsidR="00A216E1" w:rsidRPr="0028108F">
        <w:rPr>
          <w:rFonts w:ascii="Arial" w:hAnsi="Arial" w:cs="Arial"/>
          <w:color w:val="000000" w:themeColor="text1"/>
          <w:szCs w:val="24"/>
          <w:lang w:val="en-GB"/>
        </w:rPr>
        <w:t>clarification</w:t>
      </w:r>
      <w:r w:rsidRPr="0028108F">
        <w:rPr>
          <w:rFonts w:ascii="Arial" w:hAnsi="Arial" w:cs="Arial"/>
          <w:color w:val="000000" w:themeColor="text1"/>
          <w:szCs w:val="24"/>
          <w:lang w:val="en-GB"/>
        </w:rPr>
        <w:t xml:space="preserve">, the possible arguments discussed in this </w:t>
      </w:r>
      <w:r w:rsidR="001D1B27"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Pr="0028108F">
        <w:rPr>
          <w:rFonts w:ascii="Arial" w:hAnsi="Arial" w:cs="Arial"/>
          <w:color w:val="000000" w:themeColor="text1"/>
          <w:szCs w:val="24"/>
          <w:lang w:val="en-GB"/>
        </w:rPr>
        <w:t xml:space="preserve"> are solely for the purposes of consultation and do not necessarily represent the IWG’s stance on any of the issues.  </w:t>
      </w:r>
      <w:r w:rsidR="004160E0" w:rsidRPr="0028108F">
        <w:rPr>
          <w:rFonts w:ascii="Arial" w:hAnsi="Arial" w:cs="Arial"/>
          <w:color w:val="000000" w:themeColor="text1"/>
          <w:szCs w:val="24"/>
          <w:lang w:val="en-GB"/>
        </w:rPr>
        <w:t xml:space="preserve">No conclusion as to the IWG’s stance should therefore be drawn from the wording and mode of presentation of this chapter, nor from the citing or referring to the comments, observations or arguments made by individuals or organisations mentioned in this chapter.  </w:t>
      </w:r>
      <w:r w:rsidR="005E6528">
        <w:rPr>
          <w:rFonts w:ascii="Arial" w:hAnsi="Arial" w:cs="Arial" w:hint="eastAsia"/>
          <w:color w:val="000000" w:themeColor="text1"/>
          <w:szCs w:val="24"/>
          <w:lang w:val="en-GB"/>
        </w:rPr>
        <w:t xml:space="preserve">It should also be stressed that pending the result of the consultation, the IWG has not reached any conclusion on any of the issues.  </w:t>
      </w:r>
      <w:r w:rsidR="005E6528" w:rsidRPr="0028108F">
        <w:rPr>
          <w:rFonts w:ascii="Arial" w:hAnsi="Arial" w:cs="Arial"/>
          <w:color w:val="000000" w:themeColor="text1"/>
          <w:szCs w:val="24"/>
          <w:lang w:val="en-GB"/>
        </w:rPr>
        <w:t>Further, it should be borne in mind that the list of possible arguments discussed below is by no means exhaustive</w:t>
      </w:r>
      <w:r w:rsidR="005E6528">
        <w:rPr>
          <w:rFonts w:ascii="Arial" w:hAnsi="Arial" w:cs="Arial" w:hint="eastAsia"/>
          <w:color w:val="000000" w:themeColor="text1"/>
          <w:szCs w:val="24"/>
          <w:lang w:val="en-GB"/>
        </w:rPr>
        <w:t>, and that the IWG is prepared to consider such other arguments as may be appropriate.</w:t>
      </w:r>
      <w:r w:rsidR="005E6528"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   </w:t>
      </w:r>
    </w:p>
    <w:p w:rsidR="001544FD" w:rsidRPr="0028108F" w:rsidRDefault="001544FD" w:rsidP="001544FD">
      <w:pPr>
        <w:tabs>
          <w:tab w:val="left" w:pos="851"/>
        </w:tabs>
        <w:adjustRightInd w:val="0"/>
        <w:snapToGrid w:val="0"/>
        <w:jc w:val="both"/>
        <w:rPr>
          <w:rFonts w:ascii="Arial" w:hAnsi="Arial" w:cs="Arial"/>
          <w:b/>
          <w:color w:val="000000" w:themeColor="text1"/>
          <w:szCs w:val="24"/>
          <w:lang w:val="en-GB"/>
        </w:rPr>
      </w:pPr>
      <w:r w:rsidRPr="0028108F">
        <w:rPr>
          <w:rFonts w:ascii="Arial" w:hAnsi="Arial" w:cs="Arial"/>
          <w:b/>
          <w:color w:val="000000" w:themeColor="text1"/>
          <w:sz w:val="28"/>
          <w:szCs w:val="28"/>
          <w:lang w:val="en-GB"/>
        </w:rPr>
        <w:t>A legislative scheme vs an administrative scheme</w:t>
      </w:r>
    </w:p>
    <w:p w:rsidR="001544FD" w:rsidRPr="0028108F" w:rsidRDefault="001544FD" w:rsidP="001544FD">
      <w:pPr>
        <w:tabs>
          <w:tab w:val="left" w:pos="851"/>
          <w:tab w:val="left" w:pos="1985"/>
        </w:tabs>
        <w:adjustRightInd w:val="0"/>
        <w:snapToGrid w:val="0"/>
        <w:jc w:val="both"/>
        <w:rPr>
          <w:rFonts w:ascii="Arial" w:hAnsi="Arial" w:cs="Arial"/>
          <w:color w:val="0000FF"/>
          <w:szCs w:val="24"/>
          <w:lang w:val="en-GB"/>
        </w:rPr>
      </w:pPr>
    </w:p>
    <w:p w:rsidR="00F37734" w:rsidRPr="0028108F" w:rsidRDefault="001544FD" w:rsidP="0028108F">
      <w:pPr>
        <w:pStyle w:val="ListParagraph"/>
        <w:numPr>
          <w:ilvl w:val="0"/>
          <w:numId w:val="105"/>
        </w:numPr>
        <w:tabs>
          <w:tab w:val="left" w:pos="1418"/>
        </w:tabs>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This section discusses the </w:t>
      </w:r>
      <w:r w:rsidR="0006282B" w:rsidRPr="0028108F">
        <w:rPr>
          <w:rFonts w:ascii="Arial" w:hAnsi="Arial" w:cs="Arial"/>
          <w:color w:val="000000" w:themeColor="text1"/>
          <w:szCs w:val="24"/>
          <w:lang w:val="en-GB"/>
        </w:rPr>
        <w:t>arguments for and against</w:t>
      </w:r>
      <w:r w:rsidRPr="00181CF2">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two options for a gender recognition scheme, namely a legislative scheme or an administrative scheme.  </w:t>
      </w:r>
      <w:r w:rsidR="001D1B27" w:rsidRPr="0028108F">
        <w:rPr>
          <w:rFonts w:ascii="Arial" w:hAnsi="Arial" w:cs="Arial"/>
          <w:color w:val="000000" w:themeColor="text1"/>
          <w:szCs w:val="24"/>
          <w:lang w:val="en-GB"/>
        </w:rPr>
        <w:t>It is presu</w:t>
      </w:r>
      <w:r w:rsidR="00F37734" w:rsidRPr="0028108F">
        <w:rPr>
          <w:rFonts w:ascii="Arial" w:hAnsi="Arial" w:cs="Arial"/>
          <w:color w:val="000000" w:themeColor="text1"/>
          <w:szCs w:val="24"/>
          <w:lang w:val="en-GB"/>
        </w:rPr>
        <w:t>m</w:t>
      </w:r>
      <w:r w:rsidR="001D1B27" w:rsidRPr="0028108F">
        <w:rPr>
          <w:rFonts w:ascii="Arial" w:hAnsi="Arial" w:cs="Arial"/>
          <w:color w:val="000000" w:themeColor="text1"/>
          <w:szCs w:val="24"/>
          <w:lang w:val="en-GB"/>
        </w:rPr>
        <w:t xml:space="preserve">ed </w:t>
      </w:r>
      <w:r w:rsidR="00F37734" w:rsidRPr="0028108F">
        <w:rPr>
          <w:rFonts w:ascii="Arial" w:hAnsi="Arial" w:cs="Arial"/>
          <w:color w:val="000000" w:themeColor="text1"/>
          <w:szCs w:val="24"/>
          <w:lang w:val="en-GB"/>
        </w:rPr>
        <w:t xml:space="preserve">that the two </w:t>
      </w:r>
      <w:r w:rsidRPr="0028108F">
        <w:rPr>
          <w:rFonts w:ascii="Arial" w:hAnsi="Arial" w:cs="Arial"/>
          <w:color w:val="000000" w:themeColor="text1"/>
          <w:szCs w:val="24"/>
          <w:lang w:val="en-GB"/>
        </w:rPr>
        <w:t>option</w:t>
      </w:r>
      <w:r w:rsidR="00B91972"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would have different formalities (</w:t>
      </w:r>
      <w:r w:rsidR="00D6311F" w:rsidRPr="0028108F">
        <w:rPr>
          <w:rFonts w:ascii="Arial" w:hAnsi="Arial" w:cs="Arial"/>
          <w:color w:val="000000" w:themeColor="text1"/>
          <w:szCs w:val="24"/>
          <w:lang w:val="en-GB"/>
        </w:rPr>
        <w:t>eg</w:t>
      </w:r>
      <w:r w:rsidRPr="0028108F">
        <w:rPr>
          <w:rFonts w:ascii="Arial" w:hAnsi="Arial" w:cs="Arial"/>
          <w:color w:val="000000" w:themeColor="text1"/>
          <w:szCs w:val="24"/>
          <w:lang w:val="en-GB"/>
        </w:rPr>
        <w:t>, a full</w:t>
      </w:r>
      <w:r w:rsidR="00F37734" w:rsidRPr="0028108F">
        <w:rPr>
          <w:rFonts w:ascii="Arial" w:hAnsi="Arial" w:cs="Arial"/>
          <w:color w:val="000000" w:themeColor="text1"/>
          <w:szCs w:val="24"/>
          <w:lang w:val="en-GB"/>
        </w:rPr>
        <w:t>y</w:t>
      </w:r>
      <w:r w:rsidRPr="0028108F">
        <w:rPr>
          <w:rFonts w:ascii="Arial" w:hAnsi="Arial" w:cs="Arial"/>
          <w:color w:val="000000" w:themeColor="text1"/>
          <w:szCs w:val="24"/>
          <w:lang w:val="en-GB"/>
        </w:rPr>
        <w:t xml:space="preserve">-fledged </w:t>
      </w:r>
      <w:r w:rsidR="00F37734" w:rsidRPr="0028108F">
        <w:rPr>
          <w:rFonts w:ascii="Arial" w:hAnsi="Arial" w:cs="Arial"/>
          <w:color w:val="000000" w:themeColor="text1"/>
          <w:szCs w:val="24"/>
          <w:lang w:val="en-GB"/>
        </w:rPr>
        <w:t xml:space="preserve">statute </w:t>
      </w:r>
      <w:r w:rsidRPr="0028108F">
        <w:rPr>
          <w:rFonts w:ascii="Arial" w:hAnsi="Arial" w:cs="Arial"/>
          <w:i/>
          <w:color w:val="000000" w:themeColor="text1"/>
          <w:szCs w:val="24"/>
          <w:lang w:val="en-GB"/>
        </w:rPr>
        <w:t>versus</w:t>
      </w:r>
      <w:r w:rsidRPr="0028108F">
        <w:rPr>
          <w:rFonts w:ascii="Arial" w:hAnsi="Arial" w:cs="Arial"/>
          <w:color w:val="000000" w:themeColor="text1"/>
          <w:szCs w:val="24"/>
          <w:lang w:val="en-GB"/>
        </w:rPr>
        <w:t xml:space="preserve"> administrative guidelines underpinning the scheme)</w:t>
      </w:r>
      <w:r w:rsidR="00B91972" w:rsidRPr="0028108F">
        <w:rPr>
          <w:rFonts w:ascii="Arial" w:hAnsi="Arial" w:cs="Arial"/>
          <w:color w:val="000000" w:themeColor="text1"/>
          <w:szCs w:val="24"/>
          <w:lang w:val="en-GB"/>
        </w:rPr>
        <w:t xml:space="preserve">, but </w:t>
      </w:r>
      <w:r w:rsidR="00F37734" w:rsidRPr="0028108F">
        <w:rPr>
          <w:rFonts w:ascii="Arial" w:hAnsi="Arial" w:cs="Arial"/>
          <w:color w:val="000000" w:themeColor="text1"/>
          <w:szCs w:val="24"/>
          <w:lang w:val="en-GB"/>
        </w:rPr>
        <w:t xml:space="preserve">each </w:t>
      </w:r>
      <w:r w:rsidRPr="0028108F">
        <w:rPr>
          <w:rFonts w:ascii="Arial" w:hAnsi="Arial" w:cs="Arial"/>
          <w:color w:val="000000" w:themeColor="text1"/>
          <w:szCs w:val="24"/>
          <w:lang w:val="en-GB"/>
        </w:rPr>
        <w:t xml:space="preserve">would </w:t>
      </w:r>
      <w:r w:rsidR="00B91972" w:rsidRPr="0028108F">
        <w:rPr>
          <w:rFonts w:ascii="Arial" w:hAnsi="Arial" w:cs="Arial"/>
          <w:color w:val="000000" w:themeColor="text1"/>
          <w:szCs w:val="24"/>
          <w:lang w:val="en-GB"/>
        </w:rPr>
        <w:t>aim to achieve the purpose of</w:t>
      </w:r>
      <w:r w:rsidRPr="0028108F">
        <w:rPr>
          <w:rFonts w:ascii="Arial" w:hAnsi="Arial" w:cs="Arial"/>
          <w:color w:val="000000" w:themeColor="text1"/>
          <w:szCs w:val="24"/>
          <w:lang w:val="en-GB"/>
        </w:rPr>
        <w:t xml:space="preserve"> </w:t>
      </w:r>
      <w:r w:rsidR="00B91972" w:rsidRPr="0028108F">
        <w:rPr>
          <w:rFonts w:ascii="Arial" w:hAnsi="Arial" w:cs="Arial"/>
          <w:i/>
          <w:color w:val="000000" w:themeColor="text1"/>
          <w:szCs w:val="24"/>
          <w:lang w:val="en-GB"/>
        </w:rPr>
        <w:t>“</w:t>
      </w:r>
      <w:r w:rsidRPr="0028108F">
        <w:rPr>
          <w:rFonts w:ascii="Arial" w:hAnsi="Arial" w:cs="Arial"/>
          <w:i/>
          <w:color w:val="000000" w:themeColor="text1"/>
          <w:szCs w:val="24"/>
          <w:lang w:val="en-GB"/>
        </w:rPr>
        <w:t>legal gender recognition</w:t>
      </w:r>
      <w:r w:rsidR="00B91972" w:rsidRPr="0028108F">
        <w:rPr>
          <w:rFonts w:ascii="Arial" w:hAnsi="Arial" w:cs="Arial"/>
          <w:i/>
          <w:color w:val="000000" w:themeColor="text1"/>
          <w:szCs w:val="24"/>
          <w:lang w:val="en-GB"/>
        </w:rPr>
        <w:t>”</w:t>
      </w:r>
      <w:r w:rsidRPr="00181CF2">
        <w:rPr>
          <w:rFonts w:ascii="Arial" w:hAnsi="Arial" w:cs="Arial"/>
          <w:color w:val="000000" w:themeColor="text1"/>
          <w:szCs w:val="24"/>
          <w:lang w:val="en-GB"/>
        </w:rPr>
        <w:t xml:space="preserve"> as defined in paragraph </w:t>
      </w:r>
      <w:r w:rsidRPr="008813DE">
        <w:rPr>
          <w:rFonts w:ascii="Arial" w:hAnsi="Arial" w:cs="Arial"/>
          <w:color w:val="000000" w:themeColor="text1"/>
          <w:szCs w:val="24"/>
          <w:lang w:val="en-GB"/>
        </w:rPr>
        <w:t>1.</w:t>
      </w:r>
      <w:r w:rsidR="00B52687" w:rsidRPr="008813DE">
        <w:rPr>
          <w:rFonts w:ascii="Arial" w:hAnsi="Arial" w:cs="Arial"/>
          <w:color w:val="000000" w:themeColor="text1"/>
          <w:szCs w:val="24"/>
          <w:lang w:val="en-GB"/>
        </w:rPr>
        <w:t>9</w:t>
      </w:r>
      <w:r w:rsidRPr="0028108F">
        <w:rPr>
          <w:rFonts w:ascii="Arial" w:hAnsi="Arial" w:cs="Arial"/>
          <w:color w:val="000000" w:themeColor="text1"/>
          <w:szCs w:val="24"/>
          <w:lang w:val="en-GB"/>
        </w:rPr>
        <w:t xml:space="preserve"> in Chapter 1 of this paper.  </w:t>
      </w:r>
    </w:p>
    <w:p w:rsidR="00F37734" w:rsidRPr="0028108F" w:rsidRDefault="00F37734" w:rsidP="0028108F">
      <w:pPr>
        <w:adjustRightInd w:val="0"/>
        <w:snapToGrid w:val="0"/>
        <w:jc w:val="both"/>
        <w:rPr>
          <w:rFonts w:ascii="Arial" w:hAnsi="Arial" w:cs="Arial"/>
          <w:i/>
          <w:color w:val="FF0000"/>
          <w:szCs w:val="24"/>
          <w:lang w:val="en-GB"/>
        </w:rPr>
      </w:pPr>
    </w:p>
    <w:p w:rsidR="001544FD" w:rsidRPr="009F74A9" w:rsidRDefault="00F37734" w:rsidP="0028108F">
      <w:pPr>
        <w:adjustRightInd w:val="0"/>
        <w:snapToGrid w:val="0"/>
        <w:jc w:val="both"/>
        <w:rPr>
          <w:rFonts w:ascii="Arial" w:hAnsi="Arial" w:cs="Arial"/>
          <w:i/>
          <w:color w:val="000000" w:themeColor="text1"/>
          <w:szCs w:val="24"/>
          <w:lang w:val="en-GB"/>
        </w:rPr>
      </w:pPr>
      <w:r w:rsidRPr="009F74A9">
        <w:rPr>
          <w:rFonts w:ascii="Arial" w:hAnsi="Arial" w:cs="Arial"/>
          <w:i/>
          <w:color w:val="000000" w:themeColor="text1"/>
          <w:szCs w:val="24"/>
          <w:lang w:val="en-GB"/>
        </w:rPr>
        <w:t xml:space="preserve">Arguments in </w:t>
      </w:r>
      <w:r w:rsidR="002B6B0D" w:rsidRPr="009F74A9">
        <w:rPr>
          <w:rFonts w:ascii="Arial" w:hAnsi="Arial" w:cs="Arial"/>
          <w:i/>
          <w:color w:val="000000" w:themeColor="text1"/>
          <w:szCs w:val="24"/>
          <w:lang w:val="en-GB"/>
        </w:rPr>
        <w:t>support of a legislative scheme</w:t>
      </w:r>
    </w:p>
    <w:p w:rsidR="00F37734" w:rsidRPr="0028108F" w:rsidRDefault="00F37734" w:rsidP="0028108F">
      <w:pPr>
        <w:adjustRightInd w:val="0"/>
        <w:snapToGrid w:val="0"/>
        <w:jc w:val="both"/>
        <w:rPr>
          <w:rFonts w:ascii="Arial" w:hAnsi="Arial" w:cs="Arial"/>
          <w:color w:val="FF0000"/>
          <w:szCs w:val="24"/>
          <w:lang w:val="en-GB"/>
        </w:rPr>
      </w:pPr>
    </w:p>
    <w:p w:rsidR="001544FD" w:rsidRPr="0028108F" w:rsidRDefault="00E84825"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C57CE1">
        <w:rPr>
          <w:rFonts w:ascii="Arial" w:hAnsi="Arial" w:cs="Arial"/>
          <w:color w:val="000000" w:themeColor="text1"/>
          <w:szCs w:val="24"/>
          <w:lang w:val="en-GB"/>
        </w:rPr>
        <w:t xml:space="preserve">Dr </w:t>
      </w:r>
      <w:r w:rsidR="001544FD" w:rsidRPr="0028108F">
        <w:rPr>
          <w:rFonts w:ascii="Arial" w:hAnsi="Arial" w:cs="Arial"/>
          <w:color w:val="000000" w:themeColor="text1"/>
          <w:szCs w:val="24"/>
          <w:lang w:val="en-GB"/>
        </w:rPr>
        <w:t xml:space="preserve">Scherpe took the view that specific legislation underpinning a gender recognition scheme is essential for Hong Kong, </w:t>
      </w:r>
      <w:r w:rsidR="00F37734" w:rsidRPr="0028108F">
        <w:rPr>
          <w:rFonts w:ascii="Arial" w:hAnsi="Arial" w:cs="Arial"/>
          <w:color w:val="000000" w:themeColor="text1"/>
          <w:szCs w:val="24"/>
          <w:lang w:val="en-GB"/>
        </w:rPr>
        <w:t>stating</w:t>
      </w:r>
      <w:r w:rsidR="001544FD" w:rsidRPr="0028108F">
        <w:rPr>
          <w:rFonts w:ascii="Arial" w:hAnsi="Arial" w:cs="Arial"/>
          <w:color w:val="000000" w:themeColor="text1"/>
          <w:szCs w:val="24"/>
          <w:lang w:val="en-GB"/>
        </w:rPr>
        <w:t xml:space="preserve"> that:</w:t>
      </w:r>
    </w:p>
    <w:p w:rsidR="001544FD" w:rsidRPr="0028108F" w:rsidRDefault="001544FD" w:rsidP="0028108F">
      <w:pPr>
        <w:adjustRightInd w:val="0"/>
        <w:snapToGrid w:val="0"/>
        <w:jc w:val="both"/>
        <w:rPr>
          <w:rFonts w:ascii="Arial" w:hAnsi="Arial" w:cs="Arial"/>
          <w:color w:val="000000"/>
          <w:kern w:val="0"/>
          <w:szCs w:val="24"/>
          <w:lang w:val="en-GB"/>
        </w:rPr>
      </w:pPr>
    </w:p>
    <w:p w:rsidR="006819D7" w:rsidRPr="0028108F" w:rsidRDefault="001544FD" w:rsidP="006819D7">
      <w:pPr>
        <w:pStyle w:val="ListParagraph"/>
        <w:tabs>
          <w:tab w:val="left" w:pos="851"/>
        </w:tabs>
        <w:adjustRightInd w:val="0"/>
        <w:snapToGrid w:val="0"/>
        <w:ind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“There is absolutely no doubt that the issues concerning the legal status of transsexual and transgender persons are complex.  That is why there is a clear trend towards specific legislation amongst the jurisdictions looked at. Where there were major court (or constitutional court) decisions, all these decisions have emphasised (e.g. in the U.K. and in Hong Kong) that the issues ought to be dealt with by the legislature and are not amenable to a ‘quick fix’. </w:t>
      </w:r>
      <w:r w:rsidR="00B91972"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 xml:space="preserve">As for Hong Kong, the mandate by the Court of Final Appeal is clear: legislation needs to be implemented.  </w:t>
      </w:r>
      <w:r w:rsidR="006819D7" w:rsidRPr="0028108F">
        <w:rPr>
          <w:rFonts w:ascii="Arial" w:hAnsi="Arial" w:cs="Arial"/>
          <w:i/>
          <w:color w:val="000000" w:themeColor="text1"/>
          <w:szCs w:val="24"/>
          <w:lang w:val="en-GB"/>
        </w:rPr>
        <w:t>A simple amendment (for example to allow only post-operative transsexual/transgender persons to fully change their legal sex/gender and thus marry accordingly) of the existing legislation</w:t>
      </w:r>
    </w:p>
    <w:p w:rsidR="006819D7" w:rsidRPr="0028108F" w:rsidRDefault="006819D7" w:rsidP="006819D7">
      <w:pPr>
        <w:pStyle w:val="ListParagraph"/>
        <w:tabs>
          <w:tab w:val="left" w:pos="851"/>
        </w:tabs>
        <w:adjustRightInd w:val="0"/>
        <w:snapToGrid w:val="0"/>
        <w:ind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ab/>
      </w:r>
    </w:p>
    <w:p w:rsidR="006819D7" w:rsidRPr="0028108F" w:rsidRDefault="006819D7" w:rsidP="002B6B0D">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1. </w:t>
      </w:r>
      <w:r w:rsidRPr="0028108F">
        <w:rPr>
          <w:rFonts w:ascii="Arial" w:hAnsi="Arial" w:cs="Arial"/>
          <w:i/>
          <w:color w:val="000000" w:themeColor="text1"/>
          <w:szCs w:val="24"/>
          <w:lang w:val="en-GB"/>
        </w:rPr>
        <w:tab/>
        <w:t>would be inappropriate to deal with the matters concerned;</w:t>
      </w:r>
    </w:p>
    <w:p w:rsidR="006819D7" w:rsidRPr="0028108F" w:rsidRDefault="006819D7" w:rsidP="006819D7">
      <w:pPr>
        <w:pStyle w:val="ListParagraph"/>
        <w:tabs>
          <w:tab w:val="left" w:pos="851"/>
        </w:tabs>
        <w:adjustRightInd w:val="0"/>
        <w:snapToGrid w:val="0"/>
        <w:ind w:rightChars="212" w:right="509"/>
        <w:jc w:val="both"/>
        <w:rPr>
          <w:rFonts w:ascii="Arial" w:hAnsi="Arial" w:cs="Arial"/>
          <w:i/>
          <w:color w:val="000000" w:themeColor="text1"/>
          <w:szCs w:val="24"/>
          <w:lang w:val="en-GB"/>
        </w:rPr>
      </w:pPr>
    </w:p>
    <w:p w:rsidR="006819D7" w:rsidRPr="0028108F" w:rsidRDefault="006819D7" w:rsidP="0028108F">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r w:rsidRPr="0028108F">
        <w:rPr>
          <w:rFonts w:ascii="Arial" w:hAnsi="Arial" w:cs="Arial"/>
          <w:i/>
          <w:color w:val="000000" w:themeColor="text1"/>
          <w:szCs w:val="24"/>
          <w:lang w:val="en-GB"/>
        </w:rPr>
        <w:t>2. would be contrary to what the W v Registrar of Marriages-decision requires,</w:t>
      </w:r>
    </w:p>
    <w:p w:rsidR="006819D7" w:rsidRPr="0028108F" w:rsidRDefault="006819D7" w:rsidP="0028108F">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p>
    <w:p w:rsidR="006819D7" w:rsidRPr="0028108F" w:rsidRDefault="006819D7" w:rsidP="0028108F">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3. </w:t>
      </w:r>
      <w:r w:rsidRPr="0028108F">
        <w:rPr>
          <w:rFonts w:ascii="Arial" w:hAnsi="Arial" w:cs="Arial"/>
          <w:i/>
          <w:color w:val="000000" w:themeColor="text1"/>
          <w:szCs w:val="24"/>
          <w:lang w:val="en-GB"/>
        </w:rPr>
        <w:tab/>
        <w:t>would aggravate the situation of those concerned who could not and or would not fulfil such narrow requirements; and</w:t>
      </w:r>
    </w:p>
    <w:p w:rsidR="006819D7" w:rsidRPr="0028108F" w:rsidRDefault="006819D7" w:rsidP="0028108F">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p>
    <w:p w:rsidR="006819D7" w:rsidRPr="0028108F" w:rsidRDefault="006819D7" w:rsidP="0028108F">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4. </w:t>
      </w:r>
      <w:r w:rsidRPr="0028108F">
        <w:rPr>
          <w:rFonts w:ascii="Arial" w:hAnsi="Arial" w:cs="Arial"/>
          <w:i/>
          <w:color w:val="000000" w:themeColor="text1"/>
          <w:szCs w:val="24"/>
          <w:lang w:val="en-GB"/>
        </w:rPr>
        <w:tab/>
        <w:t>would merely attract new litigation which eventually would lead to the new provisions being struck down as well as a violation of the Basic Law…</w:t>
      </w:r>
    </w:p>
    <w:p w:rsidR="006819D7" w:rsidRPr="0028108F" w:rsidRDefault="006819D7" w:rsidP="0028108F">
      <w:pPr>
        <w:pStyle w:val="ListParagraph"/>
        <w:tabs>
          <w:tab w:val="left" w:pos="851"/>
        </w:tabs>
        <w:adjustRightInd w:val="0"/>
        <w:snapToGrid w:val="0"/>
        <w:ind w:leftChars="413" w:left="1413" w:rightChars="212" w:right="509" w:hangingChars="176" w:hanging="422"/>
        <w:jc w:val="both"/>
        <w:rPr>
          <w:rFonts w:ascii="Arial" w:hAnsi="Arial" w:cs="Arial"/>
          <w:i/>
          <w:color w:val="000000" w:themeColor="text1"/>
          <w:szCs w:val="24"/>
          <w:lang w:val="en-GB"/>
        </w:rPr>
      </w:pPr>
    </w:p>
    <w:p w:rsidR="001544FD" w:rsidRPr="00181CF2" w:rsidRDefault="006819D7" w:rsidP="006819D7">
      <w:pPr>
        <w:pStyle w:val="ListParagraph"/>
        <w:tabs>
          <w:tab w:val="left" w:pos="851"/>
        </w:tabs>
        <w:adjustRightInd w:val="0"/>
        <w:snapToGrid w:val="0"/>
        <w:ind w:rightChars="212" w:right="509"/>
        <w:jc w:val="both"/>
        <w:rPr>
          <w:rFonts w:ascii="Arial" w:hAnsi="Arial" w:cs="Arial"/>
          <w:i/>
          <w:color w:val="000000" w:themeColor="text1"/>
          <w:szCs w:val="24"/>
          <w:lang w:val="en-GB"/>
        </w:rPr>
      </w:pPr>
      <w:r w:rsidRPr="0028108F">
        <w:rPr>
          <w:rFonts w:ascii="Arial" w:hAnsi="Arial" w:cs="Arial"/>
          <w:i/>
          <w:color w:val="000000" w:themeColor="text1"/>
          <w:szCs w:val="24"/>
          <w:lang w:val="en-GB"/>
        </w:rPr>
        <w:t xml:space="preserve">There is broad consensus amongst experts that what is required for Hong Kong is a fully-fledged Gender Recognition Ordinance. </w:t>
      </w:r>
      <w:r w:rsidR="00B91972" w:rsidRPr="0028108F">
        <w:rPr>
          <w:rFonts w:ascii="Arial" w:hAnsi="Arial" w:cs="Arial"/>
          <w:i/>
          <w:color w:val="000000" w:themeColor="text1"/>
          <w:szCs w:val="24"/>
          <w:lang w:val="en-GB"/>
        </w:rPr>
        <w:t xml:space="preserve"> </w:t>
      </w:r>
      <w:r w:rsidRPr="0028108F">
        <w:rPr>
          <w:rFonts w:ascii="Arial" w:hAnsi="Arial" w:cs="Arial"/>
          <w:i/>
          <w:color w:val="000000" w:themeColor="text1"/>
          <w:szCs w:val="24"/>
          <w:lang w:val="en-GB"/>
        </w:rPr>
        <w:t>Most experts agree with the Court of Final Appeal that that the UK’s Gender Recognition Act 2004 might serve as a useful starting point/comparator for any Hong Kong legislation, given the similarity of the legal systems.  However, there are some concerns about some parts/provisions of the Gender Recognition Act 2004; as is inevitable with new legislation, some of the provisions in practice turned out to be problematic, and so careful analysis of the UK Act would enable the Hong Kong legislature to avoid these problems, and also to draft an Ordinance suitable for the Hong Kong legal system</w:t>
      </w:r>
      <w:r w:rsidR="001544FD" w:rsidRPr="0028108F">
        <w:rPr>
          <w:rFonts w:ascii="Arial" w:hAnsi="Arial" w:cs="Arial"/>
          <w:i/>
          <w:color w:val="000000" w:themeColor="text1"/>
          <w:szCs w:val="24"/>
          <w:lang w:val="en-GB"/>
        </w:rPr>
        <w:t>.”</w:t>
      </w:r>
      <w:r w:rsidRPr="0028108F">
        <w:rPr>
          <w:rStyle w:val="FootnoteReference"/>
          <w:rFonts w:ascii="Arial" w:hAnsi="Arial" w:cs="Arial"/>
          <w:color w:val="000000" w:themeColor="text1"/>
          <w:szCs w:val="24"/>
          <w:lang w:val="en-GB"/>
        </w:rPr>
        <w:t xml:space="preserve"> </w:t>
      </w:r>
      <w:r w:rsidRPr="00181CF2">
        <w:rPr>
          <w:rStyle w:val="FootnoteReference"/>
          <w:rFonts w:ascii="Arial" w:hAnsi="Arial" w:cs="Arial"/>
          <w:color w:val="000000" w:themeColor="text1"/>
          <w:szCs w:val="24"/>
          <w:lang w:val="en-GB"/>
        </w:rPr>
        <w:footnoteReference w:id="810"/>
      </w:r>
      <w:r w:rsidR="001544FD" w:rsidRPr="00181CF2">
        <w:rPr>
          <w:rFonts w:ascii="Arial" w:hAnsi="Arial" w:cs="Arial"/>
          <w:i/>
          <w:color w:val="000000" w:themeColor="text1"/>
          <w:szCs w:val="24"/>
          <w:lang w:val="en-GB"/>
        </w:rPr>
        <w:t xml:space="preserve"> </w:t>
      </w:r>
    </w:p>
    <w:p w:rsidR="001544FD" w:rsidRPr="00C57CE1" w:rsidRDefault="001544FD" w:rsidP="001544FD">
      <w:pPr>
        <w:tabs>
          <w:tab w:val="left" w:pos="851"/>
          <w:tab w:val="left" w:pos="1985"/>
        </w:tabs>
        <w:adjustRightInd w:val="0"/>
        <w:snapToGrid w:val="0"/>
        <w:jc w:val="both"/>
        <w:rPr>
          <w:rFonts w:ascii="Arial" w:hAnsi="Arial" w:cs="Arial"/>
          <w:color w:val="0000FF"/>
          <w:szCs w:val="24"/>
          <w:lang w:val="en-GB"/>
        </w:rPr>
      </w:pPr>
    </w:p>
    <w:p w:rsidR="001544FD" w:rsidRPr="0028108F" w:rsidRDefault="00EA493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 xml:space="preserve">Another argument </w:t>
      </w:r>
      <w:r w:rsidR="002F1080" w:rsidRPr="0028108F">
        <w:rPr>
          <w:rFonts w:ascii="Arial" w:hAnsi="Arial" w:cs="Arial"/>
          <w:color w:val="000000" w:themeColor="text1"/>
          <w:szCs w:val="24"/>
          <w:lang w:val="en-GB"/>
        </w:rPr>
        <w:t>in support of</w:t>
      </w:r>
      <w:r w:rsidRPr="0028108F">
        <w:rPr>
          <w:rFonts w:ascii="Arial" w:hAnsi="Arial" w:cs="Arial"/>
          <w:color w:val="000000" w:themeColor="text1"/>
          <w:szCs w:val="24"/>
          <w:lang w:val="en-GB"/>
        </w:rPr>
        <w:t xml:space="preserve"> a legislative scheme is that it</w:t>
      </w:r>
      <w:r w:rsidR="001544FD" w:rsidRPr="0028108F">
        <w:rPr>
          <w:rFonts w:ascii="Arial" w:hAnsi="Arial" w:cs="Arial"/>
          <w:szCs w:val="24"/>
          <w:lang w:val="en-GB"/>
        </w:rPr>
        <w:t xml:space="preserve"> </w:t>
      </w:r>
      <w:r w:rsidRPr="0028108F">
        <w:rPr>
          <w:rFonts w:ascii="Arial" w:hAnsi="Arial" w:cs="Arial"/>
          <w:szCs w:val="24"/>
          <w:lang w:val="en-GB"/>
        </w:rPr>
        <w:t>could</w:t>
      </w:r>
      <w:r w:rsidR="001544FD" w:rsidRPr="0028108F">
        <w:rPr>
          <w:rFonts w:ascii="Arial" w:hAnsi="Arial" w:cs="Arial"/>
          <w:szCs w:val="24"/>
          <w:lang w:val="en-GB"/>
        </w:rPr>
        <w:t xml:space="preserve"> dispense with the need to amend all legislati</w:t>
      </w:r>
      <w:r w:rsidR="007665EF" w:rsidRPr="0028108F">
        <w:rPr>
          <w:rFonts w:ascii="Arial" w:hAnsi="Arial" w:cs="Arial"/>
          <w:szCs w:val="24"/>
          <w:lang w:val="en-GB"/>
        </w:rPr>
        <w:t>ve provisions which are affected by gender recognition (</w:t>
      </w:r>
      <w:r w:rsidR="00D6311F" w:rsidRPr="0028108F">
        <w:rPr>
          <w:rFonts w:ascii="Arial" w:hAnsi="Arial" w:cs="Arial"/>
          <w:szCs w:val="24"/>
          <w:lang w:val="en-GB"/>
        </w:rPr>
        <w:t>eg</w:t>
      </w:r>
      <w:r w:rsidR="00600471" w:rsidRPr="0028108F">
        <w:rPr>
          <w:rFonts w:ascii="Arial" w:hAnsi="Arial" w:cs="Arial"/>
          <w:szCs w:val="24"/>
          <w:lang w:val="en-GB"/>
        </w:rPr>
        <w:t>,</w:t>
      </w:r>
      <w:r w:rsidR="001544FD" w:rsidRPr="0028108F">
        <w:rPr>
          <w:rFonts w:ascii="Arial" w:hAnsi="Arial" w:cs="Arial"/>
          <w:szCs w:val="24"/>
          <w:lang w:val="en-GB"/>
        </w:rPr>
        <w:t xml:space="preserve"> new definitions of </w:t>
      </w:r>
      <w:r w:rsidR="001544FD" w:rsidRPr="0028108F">
        <w:rPr>
          <w:rFonts w:ascii="Arial" w:hAnsi="Arial" w:cs="Arial"/>
          <w:i/>
          <w:szCs w:val="24"/>
          <w:lang w:val="en-GB"/>
        </w:rPr>
        <w:t>“male”</w:t>
      </w:r>
      <w:r w:rsidR="001544FD" w:rsidRPr="0028108F">
        <w:rPr>
          <w:rFonts w:ascii="Arial" w:hAnsi="Arial" w:cs="Arial"/>
          <w:szCs w:val="24"/>
          <w:lang w:val="en-GB"/>
        </w:rPr>
        <w:t xml:space="preserve"> and </w:t>
      </w:r>
      <w:r w:rsidR="001544FD" w:rsidRPr="0028108F">
        <w:rPr>
          <w:rFonts w:ascii="Arial" w:hAnsi="Arial" w:cs="Arial"/>
          <w:i/>
          <w:szCs w:val="24"/>
          <w:lang w:val="en-GB"/>
        </w:rPr>
        <w:t>“female”</w:t>
      </w:r>
      <w:r w:rsidR="007665EF" w:rsidRPr="0028108F">
        <w:rPr>
          <w:rFonts w:ascii="Arial" w:hAnsi="Arial" w:cs="Arial"/>
          <w:szCs w:val="24"/>
          <w:lang w:val="en-GB"/>
        </w:rPr>
        <w:t xml:space="preserve"> might have to be added to the relevant legislation)</w:t>
      </w:r>
      <w:r w:rsidR="001544FD" w:rsidRPr="0028108F">
        <w:rPr>
          <w:rFonts w:ascii="Arial" w:hAnsi="Arial" w:cs="Arial"/>
          <w:szCs w:val="24"/>
          <w:lang w:val="en-GB"/>
        </w:rPr>
        <w:t xml:space="preserve">.  </w:t>
      </w:r>
      <w:r w:rsidRPr="0028108F">
        <w:rPr>
          <w:rFonts w:ascii="Arial" w:hAnsi="Arial" w:cs="Arial"/>
          <w:szCs w:val="24"/>
          <w:lang w:val="en-GB"/>
        </w:rPr>
        <w:t xml:space="preserve">Such </w:t>
      </w:r>
      <w:r w:rsidR="00600471" w:rsidRPr="0028108F">
        <w:rPr>
          <w:rFonts w:ascii="Arial" w:hAnsi="Arial" w:cs="Arial"/>
          <w:szCs w:val="24"/>
          <w:lang w:val="en-GB"/>
        </w:rPr>
        <w:t>a gender recognition statute</w:t>
      </w:r>
      <w:r w:rsidRPr="0028108F">
        <w:rPr>
          <w:rFonts w:ascii="Arial" w:hAnsi="Arial" w:cs="Arial"/>
          <w:szCs w:val="24"/>
          <w:lang w:val="en-GB"/>
        </w:rPr>
        <w:t xml:space="preserve"> </w:t>
      </w:r>
      <w:r w:rsidR="00FF3C3A" w:rsidRPr="0028108F">
        <w:rPr>
          <w:rFonts w:ascii="Arial" w:hAnsi="Arial" w:cs="Arial"/>
          <w:szCs w:val="24"/>
          <w:lang w:val="en-GB"/>
        </w:rPr>
        <w:t xml:space="preserve">would </w:t>
      </w:r>
      <w:r w:rsidRPr="0028108F">
        <w:rPr>
          <w:rFonts w:ascii="Arial" w:hAnsi="Arial" w:cs="Arial"/>
          <w:szCs w:val="24"/>
          <w:lang w:val="en-GB"/>
        </w:rPr>
        <w:t>ha</w:t>
      </w:r>
      <w:r w:rsidR="00FF3C3A" w:rsidRPr="0028108F">
        <w:rPr>
          <w:rFonts w:ascii="Arial" w:hAnsi="Arial" w:cs="Arial"/>
          <w:szCs w:val="24"/>
          <w:lang w:val="en-GB"/>
        </w:rPr>
        <w:t>ve</w:t>
      </w:r>
      <w:r w:rsidRPr="0028108F">
        <w:rPr>
          <w:rFonts w:ascii="Arial" w:hAnsi="Arial" w:cs="Arial"/>
          <w:szCs w:val="24"/>
          <w:lang w:val="en-GB"/>
        </w:rPr>
        <w:t xml:space="preserve"> to deal with legal issues consequent upon gender recognition (</w:t>
      </w:r>
      <w:r w:rsidR="00FF3C3A" w:rsidRPr="0028108F">
        <w:rPr>
          <w:rFonts w:ascii="Arial" w:hAnsi="Arial" w:cs="Arial"/>
          <w:szCs w:val="24"/>
          <w:lang w:val="en-GB"/>
        </w:rPr>
        <w:t xml:space="preserve">a list of the legal issues potentially affected can be found in paragraph 18 of the Preface of this Consultation Paper, </w:t>
      </w:r>
      <w:r w:rsidR="00600471" w:rsidRPr="0028108F">
        <w:rPr>
          <w:rFonts w:ascii="Arial" w:hAnsi="Arial" w:cs="Arial"/>
          <w:szCs w:val="24"/>
          <w:lang w:val="en-GB"/>
        </w:rPr>
        <w:t xml:space="preserve">as </w:t>
      </w:r>
      <w:r w:rsidR="001544FD" w:rsidRPr="0028108F">
        <w:rPr>
          <w:rFonts w:ascii="Arial" w:hAnsi="Arial" w:cs="Arial"/>
          <w:szCs w:val="24"/>
          <w:lang w:val="en-GB"/>
        </w:rPr>
        <w:t xml:space="preserve">the UK GRA </w:t>
      </w:r>
      <w:r w:rsidR="00FF3C3A" w:rsidRPr="0028108F">
        <w:rPr>
          <w:rFonts w:ascii="Arial" w:hAnsi="Arial" w:cs="Arial"/>
          <w:szCs w:val="24"/>
          <w:lang w:val="en-GB"/>
        </w:rPr>
        <w:t xml:space="preserve">does </w:t>
      </w:r>
      <w:r w:rsidR="001544FD" w:rsidRPr="0028108F">
        <w:rPr>
          <w:rFonts w:ascii="Arial" w:hAnsi="Arial" w:cs="Arial"/>
          <w:szCs w:val="24"/>
          <w:lang w:val="en-GB"/>
        </w:rPr>
        <w:t xml:space="preserve">(see sections 12 to 20 of the UK GRA).  </w:t>
      </w:r>
      <w:r w:rsidR="00FF3C3A" w:rsidRPr="0028108F">
        <w:rPr>
          <w:rFonts w:ascii="Arial" w:hAnsi="Arial" w:cs="Arial"/>
          <w:szCs w:val="24"/>
          <w:lang w:val="en-GB"/>
        </w:rPr>
        <w:t>It</w:t>
      </w:r>
      <w:r w:rsidR="001544FD" w:rsidRPr="0028108F">
        <w:rPr>
          <w:rFonts w:ascii="Arial" w:hAnsi="Arial" w:cs="Arial"/>
          <w:szCs w:val="24"/>
          <w:lang w:val="en-GB"/>
        </w:rPr>
        <w:t xml:space="preserve"> may </w:t>
      </w:r>
      <w:r w:rsidR="00FF3C3A" w:rsidRPr="0028108F">
        <w:rPr>
          <w:rFonts w:ascii="Arial" w:hAnsi="Arial" w:cs="Arial"/>
          <w:szCs w:val="24"/>
          <w:lang w:val="en-GB"/>
        </w:rPr>
        <w:t xml:space="preserve">also </w:t>
      </w:r>
      <w:r w:rsidR="001544FD" w:rsidRPr="0028108F">
        <w:rPr>
          <w:rFonts w:ascii="Arial" w:hAnsi="Arial" w:cs="Arial"/>
          <w:szCs w:val="24"/>
          <w:lang w:val="en-GB"/>
        </w:rPr>
        <w:t>involve the setting up of a statutory body (a panel or a board for gender recognition) to determine applications</w:t>
      </w:r>
      <w:r w:rsidR="00FF3C3A" w:rsidRPr="0028108F">
        <w:rPr>
          <w:rFonts w:ascii="Arial" w:hAnsi="Arial" w:cs="Arial"/>
          <w:szCs w:val="24"/>
          <w:lang w:val="en-GB"/>
        </w:rPr>
        <w:t xml:space="preserve"> for gender recognition</w:t>
      </w:r>
      <w:r w:rsidR="001544FD" w:rsidRPr="0028108F">
        <w:rPr>
          <w:rFonts w:ascii="Arial" w:hAnsi="Arial" w:cs="Arial"/>
          <w:szCs w:val="24"/>
          <w:lang w:val="en-GB"/>
        </w:rPr>
        <w:t xml:space="preserve"> </w:t>
      </w:r>
      <w:r w:rsidR="00FF3C3A" w:rsidRPr="0028108F">
        <w:rPr>
          <w:rFonts w:ascii="Arial" w:hAnsi="Arial" w:cs="Arial"/>
          <w:szCs w:val="24"/>
          <w:lang w:val="en-GB"/>
        </w:rPr>
        <w:t xml:space="preserve">(similar to the UK model) </w:t>
      </w:r>
      <w:r w:rsidR="001544FD" w:rsidRPr="0028108F">
        <w:rPr>
          <w:rFonts w:ascii="Arial" w:hAnsi="Arial" w:cs="Arial"/>
          <w:szCs w:val="24"/>
          <w:lang w:val="en-GB"/>
        </w:rPr>
        <w:t>or</w:t>
      </w:r>
      <w:r w:rsidR="00FF3C3A" w:rsidRPr="0028108F">
        <w:rPr>
          <w:rFonts w:ascii="Arial" w:hAnsi="Arial" w:cs="Arial"/>
          <w:szCs w:val="24"/>
          <w:lang w:val="en-GB"/>
        </w:rPr>
        <w:t xml:space="preserve"> empower the court</w:t>
      </w:r>
      <w:r w:rsidR="001544FD" w:rsidRPr="0028108F">
        <w:rPr>
          <w:rFonts w:ascii="Arial" w:hAnsi="Arial" w:cs="Arial"/>
          <w:szCs w:val="24"/>
          <w:lang w:val="en-GB"/>
        </w:rPr>
        <w:t xml:space="preserve"> to ma</w:t>
      </w:r>
      <w:r w:rsidR="00FF3C3A" w:rsidRPr="0028108F">
        <w:rPr>
          <w:rFonts w:ascii="Arial" w:hAnsi="Arial" w:cs="Arial"/>
          <w:szCs w:val="24"/>
          <w:lang w:val="en-GB"/>
        </w:rPr>
        <w:t>k</w:t>
      </w:r>
      <w:r w:rsidR="001544FD" w:rsidRPr="0028108F">
        <w:rPr>
          <w:rFonts w:ascii="Arial" w:hAnsi="Arial" w:cs="Arial"/>
          <w:szCs w:val="24"/>
          <w:lang w:val="en-GB"/>
        </w:rPr>
        <w:t>e the determination (similar to the model in New Zealand).</w:t>
      </w:r>
    </w:p>
    <w:p w:rsidR="00600471" w:rsidRPr="00181CF2" w:rsidRDefault="00600471" w:rsidP="0028108F">
      <w:pPr>
        <w:pStyle w:val="ListParagraph"/>
        <w:autoSpaceDE w:val="0"/>
        <w:autoSpaceDN w:val="0"/>
        <w:adjustRightInd w:val="0"/>
        <w:snapToGrid w:val="0"/>
        <w:ind w:leftChars="0" w:left="0"/>
        <w:rPr>
          <w:rFonts w:ascii="Arial" w:hAnsi="Arial" w:cs="Arial"/>
          <w:b/>
          <w:szCs w:val="24"/>
          <w:lang w:val="en-GB"/>
        </w:rPr>
      </w:pPr>
    </w:p>
    <w:p w:rsidR="0007351B" w:rsidRPr="009F74A9" w:rsidRDefault="0096729A" w:rsidP="0028108F">
      <w:pPr>
        <w:pStyle w:val="ListParagraph"/>
        <w:autoSpaceDE w:val="0"/>
        <w:autoSpaceDN w:val="0"/>
        <w:adjustRightInd w:val="0"/>
        <w:snapToGrid w:val="0"/>
        <w:ind w:leftChars="0" w:left="0"/>
        <w:jc w:val="both"/>
        <w:rPr>
          <w:rFonts w:ascii="Arial" w:hAnsi="Arial" w:cs="Arial"/>
          <w:i/>
          <w:szCs w:val="24"/>
          <w:lang w:val="en-GB"/>
        </w:rPr>
      </w:pPr>
      <w:r w:rsidRPr="009F74A9">
        <w:rPr>
          <w:rFonts w:ascii="Arial" w:hAnsi="Arial" w:cs="Arial"/>
          <w:i/>
          <w:szCs w:val="24"/>
          <w:lang w:val="en-GB"/>
        </w:rPr>
        <w:t>Arguments against a legislative scheme and in support of an administrative scheme</w:t>
      </w:r>
    </w:p>
    <w:p w:rsidR="00600471" w:rsidRPr="0028108F" w:rsidRDefault="00600471" w:rsidP="0028108F">
      <w:pPr>
        <w:pStyle w:val="ListParagraph"/>
        <w:tabs>
          <w:tab w:val="left" w:pos="1418"/>
          <w:tab w:val="left" w:pos="2552"/>
        </w:tabs>
        <w:autoSpaceDE w:val="0"/>
        <w:autoSpaceDN w:val="0"/>
        <w:adjustRightInd w:val="0"/>
        <w:snapToGrid w:val="0"/>
        <w:ind w:leftChars="0" w:left="0"/>
        <w:jc w:val="both"/>
        <w:rPr>
          <w:rFonts w:ascii="Arial" w:hAnsi="Arial" w:cs="Arial"/>
          <w:b/>
          <w:szCs w:val="24"/>
          <w:lang w:val="en-GB"/>
        </w:rPr>
      </w:pPr>
    </w:p>
    <w:p w:rsidR="00361677" w:rsidRPr="00C57CE1" w:rsidRDefault="00361677" w:rsidP="00361677">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181CF2">
        <w:rPr>
          <w:rFonts w:ascii="Arial" w:hAnsi="Arial" w:cs="Arial"/>
          <w:color w:val="000000" w:themeColor="text1"/>
          <w:szCs w:val="24"/>
          <w:lang w:val="en-GB"/>
        </w:rPr>
        <w:t>However, it m</w:t>
      </w:r>
      <w:r w:rsidRPr="00C57CE1">
        <w:rPr>
          <w:rFonts w:ascii="Arial" w:hAnsi="Arial" w:cs="Arial"/>
          <w:color w:val="000000" w:themeColor="text1"/>
          <w:szCs w:val="24"/>
          <w:lang w:val="en-GB"/>
        </w:rPr>
        <w:t>ight</w:t>
      </w:r>
      <w:r w:rsidRPr="0028108F">
        <w:rPr>
          <w:rFonts w:ascii="Arial" w:hAnsi="Arial" w:cs="Arial"/>
          <w:color w:val="000000" w:themeColor="text1"/>
          <w:szCs w:val="24"/>
          <w:lang w:val="en-GB"/>
        </w:rPr>
        <w:t xml:space="preserve"> be argued that it </w:t>
      </w:r>
      <w:r w:rsidR="00477459" w:rsidRPr="0028108F">
        <w:rPr>
          <w:rFonts w:ascii="Arial" w:hAnsi="Arial" w:cs="Arial"/>
          <w:color w:val="000000" w:themeColor="text1"/>
          <w:szCs w:val="24"/>
          <w:lang w:val="en-GB"/>
        </w:rPr>
        <w:t>would be</w:t>
      </w:r>
      <w:r w:rsidRPr="0028108F">
        <w:rPr>
          <w:rFonts w:ascii="Arial" w:hAnsi="Arial" w:cs="Arial"/>
          <w:color w:val="000000" w:themeColor="text1"/>
          <w:szCs w:val="24"/>
          <w:lang w:val="en-GB"/>
        </w:rPr>
        <w:t xml:space="preserve"> costly to set up and maintain a gender recognition board or panel</w:t>
      </w:r>
      <w:r w:rsidR="00477459"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or, if a statutory scheme via judicial proceedings is to be implemented, to involve judicial manpower and training in the field of transsexualism</w:t>
      </w:r>
      <w:r w:rsidR="00FD0116" w:rsidRPr="0028108F">
        <w:rPr>
          <w:rFonts w:ascii="Arial" w:hAnsi="Arial" w:cs="Arial"/>
          <w:color w:val="000000" w:themeColor="text1"/>
          <w:szCs w:val="24"/>
          <w:lang w:val="en-GB"/>
        </w:rPr>
        <w:t>.</w:t>
      </w:r>
      <w:r w:rsidRPr="00181CF2">
        <w:rPr>
          <w:rStyle w:val="FootnoteReference"/>
          <w:rFonts w:ascii="Arial" w:hAnsi="Arial" w:cs="Arial"/>
          <w:color w:val="000000" w:themeColor="text1"/>
          <w:lang w:val="en-GB"/>
        </w:rPr>
        <w:footnoteReference w:id="811"/>
      </w:r>
      <w:r w:rsidRPr="00181CF2">
        <w:rPr>
          <w:rFonts w:ascii="Arial" w:hAnsi="Arial" w:cs="Arial"/>
          <w:color w:val="000000" w:themeColor="text1"/>
          <w:szCs w:val="24"/>
          <w:lang w:val="en-GB"/>
        </w:rPr>
        <w:t xml:space="preserve">  Training of qualified clinical psychologists and psychiatrists fully cognizant with the pr</w:t>
      </w:r>
      <w:r w:rsidRPr="00C57CE1">
        <w:rPr>
          <w:rFonts w:ascii="Arial" w:hAnsi="Arial" w:cs="Arial"/>
          <w:color w:val="000000" w:themeColor="text1"/>
          <w:szCs w:val="24"/>
          <w:lang w:val="en-GB"/>
        </w:rPr>
        <w:t>ovision of counselling services to transsexual persons would also be necessary in order to keep the statutory scheme in place.</w:t>
      </w:r>
    </w:p>
    <w:p w:rsidR="001544FD" w:rsidRPr="0028108F" w:rsidRDefault="001544FD" w:rsidP="001544FD">
      <w:pPr>
        <w:pStyle w:val="ListParagraph"/>
        <w:tabs>
          <w:tab w:val="left" w:pos="851"/>
        </w:tabs>
        <w:adjustRightInd w:val="0"/>
        <w:snapToGrid w:val="0"/>
        <w:ind w:leftChars="0" w:left="1985"/>
        <w:jc w:val="both"/>
        <w:rPr>
          <w:rFonts w:ascii="Arial" w:hAnsi="Arial" w:cs="Arial"/>
          <w:color w:val="000000" w:themeColor="text1"/>
          <w:szCs w:val="24"/>
          <w:lang w:val="en-GB"/>
        </w:rPr>
      </w:pPr>
    </w:p>
    <w:p w:rsidR="009E0309" w:rsidRPr="0028108F" w:rsidRDefault="00361677"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szCs w:val="24"/>
          <w:lang w:val="en-GB"/>
        </w:rPr>
        <w:t>Another counter-</w:t>
      </w:r>
      <w:r w:rsidR="001544FD" w:rsidRPr="0028108F">
        <w:rPr>
          <w:rFonts w:ascii="Arial" w:hAnsi="Arial" w:cs="Arial"/>
          <w:szCs w:val="24"/>
          <w:lang w:val="en-GB"/>
        </w:rPr>
        <w:t xml:space="preserve">argument against introducing a new legislative scheme for gender recognition in Hong Kong is that </w:t>
      </w:r>
      <w:r w:rsidR="00FF3C3A" w:rsidRPr="0028108F">
        <w:rPr>
          <w:rFonts w:ascii="Arial" w:hAnsi="Arial" w:cs="Arial"/>
          <w:szCs w:val="24"/>
          <w:lang w:val="en-GB"/>
        </w:rPr>
        <w:t>it</w:t>
      </w:r>
      <w:r w:rsidR="001544FD" w:rsidRPr="0028108F">
        <w:rPr>
          <w:rFonts w:ascii="Arial" w:hAnsi="Arial" w:cs="Arial"/>
          <w:szCs w:val="24"/>
          <w:lang w:val="en-GB"/>
        </w:rPr>
        <w:t xml:space="preserve"> would be unnecessary for Hong Kong</w:t>
      </w:r>
      <w:r w:rsidR="00FF3C3A" w:rsidRPr="0028108F">
        <w:rPr>
          <w:rFonts w:ascii="Arial" w:hAnsi="Arial" w:cs="Arial"/>
          <w:szCs w:val="24"/>
          <w:lang w:val="en-GB"/>
        </w:rPr>
        <w:t xml:space="preserve"> whilst</w:t>
      </w:r>
      <w:r w:rsidR="001544FD" w:rsidRPr="0028108F">
        <w:rPr>
          <w:rFonts w:ascii="Arial" w:hAnsi="Arial" w:cs="Arial"/>
          <w:szCs w:val="24"/>
          <w:lang w:val="en-GB"/>
        </w:rPr>
        <w:t xml:space="preserve"> the existing administrative measures, or an improved system which utilises the existing </w:t>
      </w:r>
      <w:r w:rsidR="00FF3C3A" w:rsidRPr="0028108F">
        <w:rPr>
          <w:rFonts w:ascii="Arial" w:hAnsi="Arial" w:cs="Arial"/>
          <w:szCs w:val="24"/>
          <w:lang w:val="en-GB"/>
        </w:rPr>
        <w:t>HKIC</w:t>
      </w:r>
      <w:r w:rsidR="001544FD" w:rsidRPr="0028108F">
        <w:rPr>
          <w:rFonts w:ascii="Arial" w:hAnsi="Arial" w:cs="Arial"/>
          <w:szCs w:val="24"/>
          <w:lang w:val="en-GB"/>
        </w:rPr>
        <w:t xml:space="preserve"> system and builds on the current administrative practice in this area, would be more suitable for Hong Kong.  Most countries enacting specific gender recognition law do not have a document comparable to the H</w:t>
      </w:r>
      <w:r w:rsidR="00B40610" w:rsidRPr="0028108F">
        <w:rPr>
          <w:rFonts w:ascii="Arial" w:hAnsi="Arial" w:cs="Arial"/>
          <w:szCs w:val="24"/>
          <w:lang w:val="en-GB"/>
        </w:rPr>
        <w:t>KIC</w:t>
      </w:r>
      <w:r w:rsidR="001544FD" w:rsidRPr="0028108F">
        <w:rPr>
          <w:rFonts w:ascii="Arial" w:hAnsi="Arial" w:cs="Arial"/>
          <w:szCs w:val="24"/>
          <w:lang w:val="en-GB"/>
        </w:rPr>
        <w:t xml:space="preserve">, and </w:t>
      </w:r>
      <w:r w:rsidR="00B40610" w:rsidRPr="0028108F">
        <w:rPr>
          <w:rFonts w:ascii="Arial" w:hAnsi="Arial" w:cs="Arial"/>
          <w:szCs w:val="24"/>
          <w:lang w:val="en-GB"/>
        </w:rPr>
        <w:t>issue</w:t>
      </w:r>
      <w:r w:rsidR="001544FD" w:rsidRPr="0028108F">
        <w:rPr>
          <w:rFonts w:ascii="Arial" w:hAnsi="Arial" w:cs="Arial"/>
          <w:szCs w:val="24"/>
          <w:lang w:val="en-GB"/>
        </w:rPr>
        <w:t xml:space="preserve"> a separate document</w:t>
      </w:r>
      <w:r w:rsidR="00477459" w:rsidRPr="0028108F">
        <w:rPr>
          <w:rFonts w:ascii="Arial" w:hAnsi="Arial" w:cs="Arial"/>
          <w:szCs w:val="24"/>
          <w:lang w:val="en-GB"/>
        </w:rPr>
        <w:t>,</w:t>
      </w:r>
      <w:r w:rsidR="001544FD" w:rsidRPr="0028108F">
        <w:rPr>
          <w:rFonts w:ascii="Arial" w:hAnsi="Arial" w:cs="Arial"/>
          <w:szCs w:val="24"/>
          <w:lang w:val="en-GB"/>
        </w:rPr>
        <w:t xml:space="preserve"> such as a gender recognition certificate</w:t>
      </w:r>
      <w:r w:rsidR="00477459" w:rsidRPr="0028108F">
        <w:rPr>
          <w:rFonts w:ascii="Arial" w:hAnsi="Arial" w:cs="Arial"/>
          <w:szCs w:val="24"/>
          <w:lang w:val="en-GB"/>
        </w:rPr>
        <w:t>,</w:t>
      </w:r>
      <w:r w:rsidR="001544FD" w:rsidRPr="0028108F">
        <w:rPr>
          <w:rFonts w:ascii="Arial" w:hAnsi="Arial" w:cs="Arial"/>
          <w:szCs w:val="24"/>
          <w:lang w:val="en-GB"/>
        </w:rPr>
        <w:t xml:space="preserve"> to the applicant so as to enable a subsequent application for change of gender marker on other identification documents.  </w:t>
      </w:r>
      <w:r w:rsidR="00B40610" w:rsidRPr="0028108F">
        <w:rPr>
          <w:rFonts w:ascii="Arial" w:hAnsi="Arial" w:cs="Arial"/>
          <w:szCs w:val="24"/>
          <w:lang w:val="en-GB"/>
        </w:rPr>
        <w:t>Since a HKIC is the major identification document that is applicable in routine life</w:t>
      </w:r>
      <w:r w:rsidR="00477459" w:rsidRPr="0028108F">
        <w:rPr>
          <w:rFonts w:ascii="Arial" w:hAnsi="Arial" w:cs="Arial"/>
          <w:szCs w:val="24"/>
          <w:lang w:val="en-GB"/>
        </w:rPr>
        <w:t xml:space="preserve"> in Hong Kong</w:t>
      </w:r>
      <w:r w:rsidR="00B40610" w:rsidRPr="0028108F">
        <w:rPr>
          <w:rFonts w:ascii="Arial" w:hAnsi="Arial" w:cs="Arial"/>
          <w:szCs w:val="24"/>
          <w:lang w:val="en-GB"/>
        </w:rPr>
        <w:t xml:space="preserve">, to issue a new HKIC reflecting the successful applicant’s new gender identity would arguably be a more straightforward approach that could facilitate the person concerned to </w:t>
      </w:r>
      <w:r w:rsidR="00477459" w:rsidRPr="0028108F">
        <w:rPr>
          <w:rFonts w:ascii="Arial" w:hAnsi="Arial" w:cs="Arial"/>
          <w:szCs w:val="24"/>
          <w:lang w:val="en-GB"/>
        </w:rPr>
        <w:t xml:space="preserve">legally </w:t>
      </w:r>
      <w:r w:rsidR="00E02F4A" w:rsidRPr="0028108F">
        <w:rPr>
          <w:rFonts w:ascii="Arial" w:hAnsi="Arial" w:cs="Arial"/>
          <w:szCs w:val="24"/>
          <w:lang w:val="en-GB"/>
        </w:rPr>
        <w:t>express</w:t>
      </w:r>
      <w:r w:rsidR="00B40610" w:rsidRPr="0028108F">
        <w:rPr>
          <w:rFonts w:ascii="Arial" w:hAnsi="Arial" w:cs="Arial"/>
          <w:szCs w:val="24"/>
          <w:lang w:val="en-GB"/>
        </w:rPr>
        <w:t xml:space="preserve"> his/her new gender identity </w:t>
      </w:r>
      <w:r w:rsidR="001544FD" w:rsidRPr="0028108F">
        <w:rPr>
          <w:rFonts w:ascii="Arial" w:hAnsi="Arial" w:cs="Arial"/>
          <w:szCs w:val="24"/>
          <w:lang w:val="en-GB"/>
        </w:rPr>
        <w:t xml:space="preserve">. </w:t>
      </w:r>
      <w:r w:rsidR="00C71CE3" w:rsidRPr="0028108F">
        <w:rPr>
          <w:rFonts w:ascii="Arial" w:hAnsi="Arial" w:cs="Arial"/>
          <w:szCs w:val="24"/>
          <w:lang w:val="en-GB"/>
        </w:rPr>
        <w:t xml:space="preserve"> </w:t>
      </w:r>
      <w:r w:rsidR="007D7795" w:rsidRPr="0028108F">
        <w:rPr>
          <w:rFonts w:ascii="Arial" w:hAnsi="Arial" w:cs="Arial"/>
          <w:szCs w:val="24"/>
          <w:lang w:val="en-GB"/>
        </w:rPr>
        <w:t xml:space="preserve">In such a new administrative scheme, the authority that determines whether an application is </w:t>
      </w:r>
      <w:r w:rsidR="00477459" w:rsidRPr="0028108F">
        <w:rPr>
          <w:rFonts w:ascii="Arial" w:hAnsi="Arial" w:cs="Arial"/>
          <w:szCs w:val="24"/>
          <w:lang w:val="en-GB"/>
        </w:rPr>
        <w:t xml:space="preserve">granted </w:t>
      </w:r>
      <w:r w:rsidR="007D7795" w:rsidRPr="0028108F">
        <w:rPr>
          <w:rFonts w:ascii="Arial" w:hAnsi="Arial" w:cs="Arial"/>
          <w:szCs w:val="24"/>
          <w:lang w:val="en-GB"/>
        </w:rPr>
        <w:t>will be given a</w:t>
      </w:r>
      <w:r w:rsidR="00C71CE3" w:rsidRPr="0028108F">
        <w:rPr>
          <w:rFonts w:ascii="Arial" w:hAnsi="Arial" w:cs="Arial"/>
          <w:color w:val="000000" w:themeColor="text1"/>
          <w:szCs w:val="24"/>
          <w:lang w:val="en-GB"/>
        </w:rPr>
        <w:t xml:space="preserve"> set of guidelines and criteria for gender recognition</w:t>
      </w:r>
      <w:r w:rsidR="007D7795" w:rsidRPr="0028108F">
        <w:rPr>
          <w:rFonts w:ascii="Arial" w:hAnsi="Arial" w:cs="Arial"/>
          <w:color w:val="000000" w:themeColor="text1"/>
          <w:szCs w:val="24"/>
          <w:lang w:val="en-GB"/>
        </w:rPr>
        <w:t xml:space="preserve"> </w:t>
      </w:r>
      <w:r w:rsidR="00C71CE3" w:rsidRPr="0028108F">
        <w:rPr>
          <w:rFonts w:ascii="Arial" w:hAnsi="Arial" w:cs="Arial"/>
          <w:color w:val="000000" w:themeColor="text1"/>
          <w:szCs w:val="24"/>
          <w:lang w:val="en-GB"/>
        </w:rPr>
        <w:t xml:space="preserve">so </w:t>
      </w:r>
      <w:r w:rsidR="007D7795" w:rsidRPr="0028108F">
        <w:rPr>
          <w:rFonts w:ascii="Arial" w:hAnsi="Arial" w:cs="Arial"/>
          <w:color w:val="000000" w:themeColor="text1"/>
          <w:szCs w:val="24"/>
          <w:lang w:val="en-GB"/>
        </w:rPr>
        <w:t xml:space="preserve">as to prevent abuse of the system.  </w:t>
      </w:r>
      <w:r w:rsidR="007D7795" w:rsidRPr="0028108F">
        <w:rPr>
          <w:rFonts w:ascii="Arial" w:hAnsi="Arial" w:cs="Arial"/>
          <w:szCs w:val="24"/>
          <w:lang w:val="en-GB"/>
        </w:rPr>
        <w:t>T</w:t>
      </w:r>
      <w:r w:rsidR="009E0309" w:rsidRPr="0028108F">
        <w:rPr>
          <w:rFonts w:ascii="Arial" w:hAnsi="Arial" w:cs="Arial"/>
          <w:color w:val="000000" w:themeColor="text1"/>
          <w:szCs w:val="24"/>
          <w:lang w:val="en-GB"/>
        </w:rPr>
        <w:t>he procedures involved for implementing such an administrative scheme would</w:t>
      </w:r>
      <w:r w:rsidR="007D7795" w:rsidRPr="0028108F">
        <w:rPr>
          <w:rFonts w:ascii="Arial" w:hAnsi="Arial" w:cs="Arial"/>
          <w:color w:val="000000" w:themeColor="text1"/>
          <w:szCs w:val="24"/>
          <w:lang w:val="en-GB"/>
        </w:rPr>
        <w:t xml:space="preserve"> arguably</w:t>
      </w:r>
      <w:r w:rsidR="009E0309" w:rsidRPr="0028108F">
        <w:rPr>
          <w:rFonts w:ascii="Arial" w:hAnsi="Arial" w:cs="Arial"/>
          <w:color w:val="000000" w:themeColor="text1"/>
          <w:szCs w:val="24"/>
          <w:lang w:val="en-GB"/>
        </w:rPr>
        <w:t xml:space="preserve"> be simpler and the cost would be lower</w:t>
      </w:r>
      <w:r w:rsidR="00477459" w:rsidRPr="0028108F">
        <w:rPr>
          <w:rFonts w:ascii="Arial" w:hAnsi="Arial" w:cs="Arial"/>
          <w:color w:val="000000" w:themeColor="text1"/>
          <w:szCs w:val="24"/>
          <w:lang w:val="en-GB"/>
        </w:rPr>
        <w:t>, and the time to implement faster,</w:t>
      </w:r>
      <w:r w:rsidR="009E0309" w:rsidRPr="0028108F">
        <w:rPr>
          <w:rFonts w:ascii="Arial" w:hAnsi="Arial" w:cs="Arial"/>
          <w:color w:val="000000" w:themeColor="text1"/>
          <w:szCs w:val="24"/>
          <w:lang w:val="en-GB"/>
        </w:rPr>
        <w:t xml:space="preserve"> than legislation. </w:t>
      </w:r>
      <w:r w:rsidR="001544FD" w:rsidRPr="0028108F">
        <w:rPr>
          <w:rFonts w:ascii="Arial" w:hAnsi="Arial" w:cs="Arial"/>
          <w:szCs w:val="24"/>
          <w:lang w:val="en-GB"/>
        </w:rPr>
        <w:t xml:space="preserve"> </w:t>
      </w:r>
      <w:r w:rsidRPr="0028108F">
        <w:rPr>
          <w:rFonts w:ascii="Arial" w:hAnsi="Arial" w:cs="Arial"/>
          <w:color w:val="000000" w:themeColor="text1"/>
          <w:szCs w:val="24"/>
          <w:lang w:val="en-GB"/>
        </w:rPr>
        <w:t xml:space="preserve">  </w:t>
      </w:r>
    </w:p>
    <w:p w:rsidR="001544FD" w:rsidRPr="0028108F" w:rsidRDefault="001544FD" w:rsidP="008813DE">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9C2DCA" w:rsidRPr="009F74A9" w:rsidRDefault="009C2DCA">
      <w:pPr>
        <w:pStyle w:val="ListParagraph"/>
        <w:ind w:leftChars="0" w:left="0"/>
        <w:jc w:val="both"/>
        <w:rPr>
          <w:rFonts w:ascii="Arial" w:hAnsi="Arial" w:cs="Arial"/>
          <w:color w:val="000000" w:themeColor="text1"/>
          <w:szCs w:val="24"/>
          <w:lang w:val="en-GB"/>
        </w:rPr>
      </w:pPr>
      <w:r w:rsidRPr="009F74A9">
        <w:rPr>
          <w:rFonts w:ascii="Arial" w:hAnsi="Arial" w:cs="Arial"/>
          <w:i/>
          <w:szCs w:val="24"/>
          <w:lang w:val="en-GB"/>
        </w:rPr>
        <w:t>Arguments against an administrative scheme</w:t>
      </w:r>
    </w:p>
    <w:p w:rsidR="009C2DCA" w:rsidRPr="0028108F" w:rsidRDefault="009C2DCA" w:rsidP="008813DE">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1544FD" w:rsidRPr="0028108F" w:rsidRDefault="00B52687" w:rsidP="00E967AB">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Pr>
          <w:rFonts w:ascii="Arial" w:hAnsi="Arial" w:cs="Arial"/>
          <w:color w:val="000000" w:themeColor="text1"/>
          <w:szCs w:val="24"/>
          <w:lang w:val="en-GB"/>
        </w:rPr>
        <w:t xml:space="preserve">One view is </w:t>
      </w:r>
      <w:r w:rsidR="00040266">
        <w:rPr>
          <w:rFonts w:ascii="Arial" w:hAnsi="Arial" w:cs="Arial" w:hint="eastAsia"/>
          <w:color w:val="000000" w:themeColor="text1"/>
          <w:szCs w:val="24"/>
          <w:lang w:val="en-GB"/>
        </w:rPr>
        <w:t xml:space="preserve">that </w:t>
      </w:r>
      <w:r w:rsidR="001544FD" w:rsidRPr="0028108F">
        <w:rPr>
          <w:rFonts w:ascii="Arial" w:hAnsi="Arial" w:cs="Arial"/>
          <w:color w:val="000000" w:themeColor="text1"/>
          <w:szCs w:val="24"/>
          <w:lang w:val="en-GB"/>
        </w:rPr>
        <w:t xml:space="preserve">an administrative scheme similar to the current system adopted in Hong Kong may not have the </w:t>
      </w:r>
      <w:r w:rsidR="004213B9">
        <w:rPr>
          <w:rFonts w:ascii="Arial" w:hAnsi="Arial" w:cs="Arial"/>
          <w:color w:val="000000" w:themeColor="text1"/>
          <w:szCs w:val="24"/>
          <w:lang w:val="en-GB"/>
        </w:rPr>
        <w:t>desir</w:t>
      </w:r>
      <w:r>
        <w:rPr>
          <w:rFonts w:ascii="Arial" w:hAnsi="Arial" w:cs="Arial"/>
          <w:color w:val="000000" w:themeColor="text1"/>
          <w:szCs w:val="24"/>
          <w:lang w:val="en-GB"/>
        </w:rPr>
        <w:t>e</w:t>
      </w:r>
      <w:r w:rsidR="004213B9">
        <w:rPr>
          <w:rFonts w:ascii="Arial" w:hAnsi="Arial" w:cs="Arial"/>
          <w:color w:val="000000" w:themeColor="text1"/>
          <w:szCs w:val="24"/>
          <w:lang w:val="en-GB"/>
        </w:rPr>
        <w:t>d</w:t>
      </w:r>
      <w:r>
        <w:rPr>
          <w:rFonts w:ascii="Arial" w:hAnsi="Arial" w:cs="Arial"/>
          <w:color w:val="000000" w:themeColor="text1"/>
          <w:szCs w:val="24"/>
          <w:lang w:val="en-GB"/>
        </w:rPr>
        <w:t xml:space="preserve"> </w:t>
      </w:r>
      <w:r w:rsidR="001544FD" w:rsidRPr="0028108F">
        <w:rPr>
          <w:rFonts w:ascii="Arial" w:hAnsi="Arial" w:cs="Arial"/>
          <w:color w:val="000000" w:themeColor="text1"/>
          <w:szCs w:val="24"/>
          <w:lang w:val="en-GB"/>
        </w:rPr>
        <w:t xml:space="preserve">effect of recognising the concerned individuals’ acquired gender for all legal purposes.  </w:t>
      </w:r>
      <w:r w:rsidR="007D7795" w:rsidRPr="0028108F">
        <w:rPr>
          <w:rFonts w:ascii="Arial" w:hAnsi="Arial" w:cs="Arial"/>
          <w:color w:val="000000" w:themeColor="text1"/>
          <w:szCs w:val="24"/>
          <w:lang w:val="en-GB"/>
        </w:rPr>
        <w:t xml:space="preserve">After </w:t>
      </w:r>
      <w:r w:rsidR="009C2DCA" w:rsidRPr="0028108F">
        <w:rPr>
          <w:rFonts w:ascii="Arial" w:hAnsi="Arial" w:cs="Arial"/>
          <w:color w:val="000000" w:themeColor="text1"/>
          <w:szCs w:val="24"/>
          <w:lang w:val="en-GB"/>
        </w:rPr>
        <w:t>obtaining</w:t>
      </w:r>
      <w:r w:rsidR="007D7795" w:rsidRPr="0028108F">
        <w:rPr>
          <w:rFonts w:ascii="Arial" w:hAnsi="Arial" w:cs="Arial"/>
          <w:color w:val="000000" w:themeColor="text1"/>
          <w:szCs w:val="24"/>
          <w:lang w:val="en-GB"/>
        </w:rPr>
        <w:t xml:space="preserve"> a new HKIC, the</w:t>
      </w:r>
      <w:r w:rsidR="007D7795" w:rsidRPr="0028108F">
        <w:rPr>
          <w:rFonts w:ascii="Arial" w:hAnsi="Arial" w:cs="Arial"/>
          <w:szCs w:val="24"/>
          <w:lang w:val="en-GB"/>
        </w:rPr>
        <w:t xml:space="preserve"> transgender person concerned would have different gender identities </w:t>
      </w:r>
      <w:r w:rsidR="009C2DCA" w:rsidRPr="0028108F">
        <w:rPr>
          <w:rFonts w:ascii="Arial" w:hAnsi="Arial" w:cs="Arial"/>
          <w:szCs w:val="24"/>
          <w:lang w:val="en-GB"/>
        </w:rPr>
        <w:t xml:space="preserve">displayed </w:t>
      </w:r>
      <w:r w:rsidR="007D7795" w:rsidRPr="0028108F">
        <w:rPr>
          <w:rFonts w:ascii="Arial" w:hAnsi="Arial" w:cs="Arial"/>
          <w:szCs w:val="24"/>
          <w:lang w:val="en-GB"/>
        </w:rPr>
        <w:t>on different identification documents, which may lead to public confusion and even judicial disputes</w:t>
      </w:r>
      <w:r w:rsidR="009C2DCA" w:rsidRPr="0028108F">
        <w:rPr>
          <w:rFonts w:ascii="Arial" w:hAnsi="Arial" w:cs="Arial"/>
          <w:szCs w:val="24"/>
          <w:lang w:val="en-GB"/>
        </w:rPr>
        <w:t>, as in</w:t>
      </w:r>
      <w:r w:rsidR="007D7795" w:rsidRPr="0028108F">
        <w:rPr>
          <w:rFonts w:ascii="Arial" w:hAnsi="Arial" w:cs="Arial"/>
          <w:szCs w:val="24"/>
          <w:lang w:val="en-GB"/>
        </w:rPr>
        <w:t xml:space="preserve"> </w:t>
      </w:r>
      <w:r w:rsidR="007D7795" w:rsidRPr="0028108F">
        <w:rPr>
          <w:rFonts w:ascii="Arial" w:hAnsi="Arial" w:cs="Arial"/>
          <w:i/>
          <w:szCs w:val="24"/>
          <w:lang w:val="en-GB"/>
        </w:rPr>
        <w:t>W</w:t>
      </w:r>
      <w:r w:rsidR="007D7795" w:rsidRPr="0028108F">
        <w:rPr>
          <w:rFonts w:ascii="Arial" w:hAnsi="Arial" w:cs="Arial"/>
          <w:szCs w:val="24"/>
          <w:lang w:val="en-GB"/>
        </w:rPr>
        <w:t xml:space="preserve">’s case.  </w:t>
      </w:r>
      <w:r w:rsidR="007D7795" w:rsidRPr="0028108F">
        <w:rPr>
          <w:rFonts w:ascii="Arial" w:hAnsi="Arial" w:cs="Arial"/>
          <w:color w:val="000000" w:themeColor="text1"/>
          <w:szCs w:val="24"/>
          <w:lang w:val="en-GB"/>
        </w:rPr>
        <w:t>Other</w:t>
      </w:r>
      <w:r w:rsidR="001544FD" w:rsidRPr="0028108F">
        <w:rPr>
          <w:rFonts w:ascii="Arial" w:hAnsi="Arial" w:cs="Arial"/>
          <w:color w:val="000000" w:themeColor="text1"/>
          <w:szCs w:val="24"/>
          <w:lang w:val="en-GB"/>
        </w:rPr>
        <w:t xml:space="preserve"> difficult issues could arise in </w:t>
      </w:r>
      <w:r w:rsidR="00B459BB" w:rsidRPr="0028108F">
        <w:rPr>
          <w:rFonts w:ascii="Arial" w:hAnsi="Arial" w:cs="Arial"/>
          <w:color w:val="000000" w:themeColor="text1"/>
          <w:szCs w:val="24"/>
          <w:lang w:val="en-GB"/>
        </w:rPr>
        <w:t xml:space="preserve">relation to, for example, </w:t>
      </w:r>
      <w:r w:rsidR="001544FD" w:rsidRPr="0028108F">
        <w:rPr>
          <w:rFonts w:ascii="Arial" w:hAnsi="Arial" w:cs="Arial"/>
          <w:color w:val="000000" w:themeColor="text1"/>
          <w:szCs w:val="24"/>
          <w:lang w:val="en-GB"/>
        </w:rPr>
        <w:t>gender-specific offences</w:t>
      </w:r>
      <w:r w:rsidR="007D7795"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 </w:t>
      </w:r>
      <w:r w:rsidR="004213B9">
        <w:rPr>
          <w:rFonts w:ascii="Arial" w:hAnsi="Arial" w:cs="Arial"/>
          <w:color w:val="000000" w:themeColor="text1"/>
          <w:szCs w:val="24"/>
          <w:lang w:val="en-GB"/>
        </w:rPr>
        <w:t xml:space="preserve">the </w:t>
      </w:r>
      <w:r w:rsidR="001544FD" w:rsidRPr="0028108F">
        <w:rPr>
          <w:rFonts w:ascii="Arial" w:hAnsi="Arial" w:cs="Arial"/>
          <w:color w:val="000000" w:themeColor="text1"/>
          <w:szCs w:val="24"/>
          <w:lang w:val="en-GB"/>
        </w:rPr>
        <w:t>small house policy,</w:t>
      </w:r>
      <w:r w:rsidR="007D7795" w:rsidRPr="0028108F">
        <w:rPr>
          <w:rFonts w:ascii="Arial" w:hAnsi="Arial" w:cs="Arial"/>
          <w:color w:val="000000" w:themeColor="text1"/>
          <w:szCs w:val="24"/>
          <w:lang w:val="en-GB"/>
        </w:rPr>
        <w:t xml:space="preserve"> </w:t>
      </w:r>
      <w:r w:rsidR="00E967AB" w:rsidRPr="0028108F">
        <w:rPr>
          <w:rFonts w:ascii="Arial" w:hAnsi="Arial" w:cs="Arial"/>
          <w:color w:val="000000" w:themeColor="text1"/>
          <w:szCs w:val="24"/>
          <w:lang w:val="en-GB"/>
        </w:rPr>
        <w:t>property and succession matters</w:t>
      </w:r>
      <w:r w:rsidR="00B459BB" w:rsidRPr="0028108F">
        <w:rPr>
          <w:rFonts w:ascii="Arial" w:hAnsi="Arial" w:cs="Arial"/>
          <w:color w:val="000000" w:themeColor="text1"/>
          <w:szCs w:val="24"/>
          <w:lang w:val="en-GB"/>
        </w:rPr>
        <w:t>,</w:t>
      </w:r>
      <w:r w:rsidR="00E967AB" w:rsidRPr="0028108F">
        <w:rPr>
          <w:rFonts w:ascii="Arial" w:hAnsi="Arial" w:cs="Arial"/>
          <w:color w:val="000000" w:themeColor="text1"/>
          <w:szCs w:val="24"/>
          <w:lang w:val="en-GB"/>
        </w:rPr>
        <w:t xml:space="preserve"> etc</w:t>
      </w:r>
      <w:r w:rsidR="00B459BB" w:rsidRPr="0028108F">
        <w:rPr>
          <w:rFonts w:ascii="Arial" w:hAnsi="Arial" w:cs="Arial"/>
          <w:color w:val="000000" w:themeColor="text1"/>
          <w:szCs w:val="24"/>
          <w:lang w:val="en-GB"/>
        </w:rPr>
        <w:t>,</w:t>
      </w:r>
      <w:r w:rsidR="00E967AB" w:rsidRPr="0028108F">
        <w:rPr>
          <w:rFonts w:ascii="Arial" w:hAnsi="Arial" w:cs="Arial"/>
          <w:color w:val="000000" w:themeColor="text1"/>
          <w:szCs w:val="24"/>
          <w:lang w:val="en-GB"/>
        </w:rPr>
        <w:t xml:space="preserve"> </w:t>
      </w:r>
      <w:r w:rsidR="001544FD" w:rsidRPr="0028108F">
        <w:rPr>
          <w:rFonts w:ascii="Arial" w:hAnsi="Arial" w:cs="Arial"/>
          <w:color w:val="000000" w:themeColor="text1"/>
          <w:szCs w:val="24"/>
          <w:lang w:val="en-GB"/>
        </w:rPr>
        <w:t>and legal challenges might follow if those issues are not tackled clearly in law.  Arguably, th</w:t>
      </w:r>
      <w:r w:rsidR="00B459BB" w:rsidRPr="0028108F">
        <w:rPr>
          <w:rFonts w:ascii="Arial" w:hAnsi="Arial" w:cs="Arial"/>
          <w:color w:val="000000" w:themeColor="text1"/>
          <w:szCs w:val="24"/>
          <w:lang w:val="en-GB"/>
        </w:rPr>
        <w:t>e</w:t>
      </w:r>
      <w:r w:rsidR="001544FD" w:rsidRPr="0028108F">
        <w:rPr>
          <w:rFonts w:ascii="Arial" w:hAnsi="Arial" w:cs="Arial"/>
          <w:color w:val="000000" w:themeColor="text1"/>
          <w:szCs w:val="24"/>
          <w:lang w:val="en-GB"/>
        </w:rPr>
        <w:t xml:space="preserve">se </w:t>
      </w:r>
      <w:r w:rsidR="00B459BB" w:rsidRPr="0028108F">
        <w:rPr>
          <w:rFonts w:ascii="Arial" w:hAnsi="Arial" w:cs="Arial"/>
          <w:color w:val="000000" w:themeColor="text1"/>
          <w:szCs w:val="24"/>
          <w:lang w:val="en-GB"/>
        </w:rPr>
        <w:t xml:space="preserve">types of post-recognition </w:t>
      </w:r>
      <w:r w:rsidR="001544FD" w:rsidRPr="0028108F">
        <w:rPr>
          <w:rFonts w:ascii="Arial" w:hAnsi="Arial" w:cs="Arial"/>
          <w:color w:val="000000" w:themeColor="text1"/>
          <w:szCs w:val="24"/>
          <w:lang w:val="en-GB"/>
        </w:rPr>
        <w:t xml:space="preserve">issues </w:t>
      </w:r>
      <w:r w:rsidR="00B459BB"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which </w:t>
      </w:r>
      <w:r w:rsidR="00B459BB" w:rsidRPr="0028108F">
        <w:rPr>
          <w:rFonts w:ascii="Arial" w:hAnsi="Arial" w:cs="Arial"/>
          <w:color w:val="000000" w:themeColor="text1"/>
          <w:szCs w:val="24"/>
          <w:lang w:val="en-GB"/>
        </w:rPr>
        <w:t xml:space="preserve">will be addressed </w:t>
      </w:r>
      <w:r w:rsidR="001544FD" w:rsidRPr="0028108F">
        <w:rPr>
          <w:rFonts w:ascii="Arial" w:hAnsi="Arial" w:cs="Arial"/>
          <w:color w:val="000000" w:themeColor="text1"/>
          <w:szCs w:val="24"/>
          <w:lang w:val="en-GB"/>
        </w:rPr>
        <w:t xml:space="preserve">as </w:t>
      </w:r>
      <w:r w:rsidR="00B459BB" w:rsidRPr="0028108F">
        <w:rPr>
          <w:rFonts w:ascii="Arial" w:hAnsi="Arial" w:cs="Arial"/>
          <w:color w:val="000000" w:themeColor="text1"/>
          <w:szCs w:val="24"/>
          <w:lang w:val="en-GB"/>
        </w:rPr>
        <w:t>noted</w:t>
      </w:r>
      <w:r w:rsidR="001544FD" w:rsidRPr="0028108F">
        <w:rPr>
          <w:rFonts w:ascii="Arial" w:hAnsi="Arial" w:cs="Arial"/>
          <w:color w:val="000000" w:themeColor="text1"/>
          <w:szCs w:val="24"/>
          <w:lang w:val="en-GB"/>
        </w:rPr>
        <w:t xml:space="preserve"> earlier</w:t>
      </w:r>
      <w:r w:rsidR="00B459BB"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 in the second stage of the IWG’s study</w:t>
      </w:r>
      <w:r w:rsidR="00B459BB"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 will require legal intervention.  </w:t>
      </w:r>
      <w:r w:rsidR="00196CC7" w:rsidRPr="0028108F">
        <w:rPr>
          <w:rFonts w:ascii="Arial" w:hAnsi="Arial" w:cs="Arial"/>
          <w:color w:val="000000" w:themeColor="text1"/>
          <w:szCs w:val="24"/>
          <w:lang w:val="en-GB"/>
        </w:rPr>
        <w:t>A q</w:t>
      </w:r>
      <w:r w:rsidR="001544FD" w:rsidRPr="0028108F">
        <w:rPr>
          <w:rFonts w:ascii="Arial" w:hAnsi="Arial" w:cs="Arial"/>
          <w:color w:val="000000" w:themeColor="text1"/>
          <w:szCs w:val="24"/>
          <w:lang w:val="en-GB"/>
        </w:rPr>
        <w:t xml:space="preserve">uestion arises as to how an administrative scheme </w:t>
      </w:r>
      <w:r w:rsidR="00B459BB" w:rsidRPr="0028108F">
        <w:rPr>
          <w:rFonts w:ascii="Arial" w:hAnsi="Arial" w:cs="Arial"/>
          <w:color w:val="000000" w:themeColor="text1"/>
          <w:szCs w:val="24"/>
          <w:lang w:val="en-GB"/>
        </w:rPr>
        <w:t xml:space="preserve">would effectively </w:t>
      </w:r>
      <w:r w:rsidR="001544FD" w:rsidRPr="0028108F">
        <w:rPr>
          <w:rFonts w:ascii="Arial" w:hAnsi="Arial" w:cs="Arial"/>
          <w:color w:val="000000" w:themeColor="text1"/>
          <w:szCs w:val="24"/>
          <w:lang w:val="en-GB"/>
        </w:rPr>
        <w:t>regulate those matters</w:t>
      </w:r>
      <w:r w:rsidR="00BD02B0" w:rsidRPr="0028108F">
        <w:rPr>
          <w:rFonts w:ascii="Arial" w:hAnsi="Arial" w:cs="Arial"/>
          <w:color w:val="000000" w:themeColor="text1"/>
          <w:szCs w:val="24"/>
          <w:lang w:val="en-GB"/>
        </w:rPr>
        <w:t xml:space="preserve"> i</w:t>
      </w:r>
      <w:r w:rsidR="00B459BB" w:rsidRPr="0028108F">
        <w:rPr>
          <w:rFonts w:ascii="Arial" w:hAnsi="Arial" w:cs="Arial"/>
          <w:color w:val="000000" w:themeColor="text1"/>
          <w:szCs w:val="24"/>
          <w:lang w:val="en-GB"/>
        </w:rPr>
        <w:t xml:space="preserve">n contrast to </w:t>
      </w:r>
      <w:r w:rsidR="001544FD" w:rsidRPr="0028108F">
        <w:rPr>
          <w:rFonts w:ascii="Arial" w:hAnsi="Arial" w:cs="Arial"/>
          <w:color w:val="000000" w:themeColor="text1"/>
          <w:szCs w:val="24"/>
          <w:lang w:val="en-GB"/>
        </w:rPr>
        <w:t xml:space="preserve">fully-fledged legislation on gender recognition, </w:t>
      </w:r>
      <w:r w:rsidR="00B459BB" w:rsidRPr="0028108F">
        <w:rPr>
          <w:rFonts w:ascii="Arial" w:hAnsi="Arial" w:cs="Arial"/>
          <w:color w:val="000000" w:themeColor="text1"/>
          <w:szCs w:val="24"/>
          <w:lang w:val="en-GB"/>
        </w:rPr>
        <w:t xml:space="preserve">which </w:t>
      </w:r>
      <w:r w:rsidR="001544FD" w:rsidRPr="0028108F">
        <w:rPr>
          <w:rFonts w:ascii="Arial" w:hAnsi="Arial" w:cs="Arial"/>
          <w:color w:val="000000" w:themeColor="text1"/>
          <w:szCs w:val="24"/>
          <w:lang w:val="en-GB"/>
        </w:rPr>
        <w:t>is capable of addressing all th</w:t>
      </w:r>
      <w:r w:rsidR="00B459BB" w:rsidRPr="0028108F">
        <w:rPr>
          <w:rFonts w:ascii="Arial" w:hAnsi="Arial" w:cs="Arial"/>
          <w:color w:val="000000" w:themeColor="text1"/>
          <w:szCs w:val="24"/>
          <w:lang w:val="en-GB"/>
        </w:rPr>
        <w:t>e</w:t>
      </w:r>
      <w:r w:rsidR="001544FD" w:rsidRPr="0028108F">
        <w:rPr>
          <w:rFonts w:ascii="Arial" w:hAnsi="Arial" w:cs="Arial"/>
          <w:color w:val="000000" w:themeColor="text1"/>
          <w:szCs w:val="24"/>
          <w:lang w:val="en-GB"/>
        </w:rPr>
        <w:t xml:space="preserve">se </w:t>
      </w:r>
      <w:r w:rsidR="00B459BB" w:rsidRPr="0028108F">
        <w:rPr>
          <w:rFonts w:ascii="Arial" w:hAnsi="Arial" w:cs="Arial"/>
          <w:color w:val="000000" w:themeColor="text1"/>
          <w:szCs w:val="24"/>
          <w:lang w:val="en-GB"/>
        </w:rPr>
        <w:t xml:space="preserve">types of </w:t>
      </w:r>
      <w:r w:rsidR="001544FD" w:rsidRPr="0028108F">
        <w:rPr>
          <w:rFonts w:ascii="Arial" w:hAnsi="Arial" w:cs="Arial"/>
          <w:color w:val="000000" w:themeColor="text1"/>
          <w:szCs w:val="24"/>
          <w:lang w:val="en-GB"/>
        </w:rPr>
        <w:t>post-recognition issues</w:t>
      </w:r>
      <w:r w:rsidR="00B459BB" w:rsidRPr="0028108F">
        <w:rPr>
          <w:rFonts w:ascii="Arial" w:hAnsi="Arial" w:cs="Arial"/>
          <w:color w:val="000000" w:themeColor="text1"/>
          <w:szCs w:val="24"/>
          <w:lang w:val="en-GB"/>
        </w:rPr>
        <w:t>, and</w:t>
      </w:r>
      <w:r w:rsidR="001544FD" w:rsidRPr="0028108F">
        <w:rPr>
          <w:rFonts w:ascii="Arial" w:hAnsi="Arial" w:cs="Arial"/>
          <w:color w:val="000000" w:themeColor="text1"/>
          <w:szCs w:val="24"/>
          <w:lang w:val="en-GB"/>
        </w:rPr>
        <w:t xml:space="preserve"> for which the UK </w:t>
      </w:r>
      <w:r w:rsidR="00585F17" w:rsidRPr="0028108F">
        <w:rPr>
          <w:rFonts w:ascii="Arial" w:hAnsi="Arial" w:cs="Arial"/>
          <w:color w:val="000000" w:themeColor="text1"/>
          <w:szCs w:val="24"/>
          <w:lang w:val="en-GB"/>
        </w:rPr>
        <w:t>GRA</w:t>
      </w:r>
      <w:r w:rsidR="001544FD" w:rsidRPr="0028108F">
        <w:rPr>
          <w:rFonts w:ascii="Arial" w:hAnsi="Arial" w:cs="Arial"/>
          <w:color w:val="000000" w:themeColor="text1"/>
          <w:szCs w:val="24"/>
          <w:lang w:val="en-GB"/>
        </w:rPr>
        <w:t xml:space="preserve"> is a good example.  As </w:t>
      </w:r>
      <w:r w:rsidR="00241841">
        <w:rPr>
          <w:rFonts w:ascii="Arial" w:hAnsi="Arial" w:cs="Arial"/>
          <w:color w:val="000000" w:themeColor="text1"/>
          <w:szCs w:val="24"/>
          <w:lang w:val="en-GB"/>
        </w:rPr>
        <w:t xml:space="preserve">Dr </w:t>
      </w:r>
      <w:r w:rsidR="001544FD" w:rsidRPr="0028108F">
        <w:rPr>
          <w:rFonts w:ascii="Arial" w:hAnsi="Arial" w:cs="Arial"/>
          <w:color w:val="000000" w:themeColor="text1"/>
          <w:szCs w:val="24"/>
          <w:lang w:val="en-GB"/>
        </w:rPr>
        <w:t>Athena Liu has stated:</w:t>
      </w:r>
    </w:p>
    <w:p w:rsidR="001544FD" w:rsidRPr="0028108F" w:rsidRDefault="001544FD">
      <w:pPr>
        <w:pStyle w:val="ListParagraph"/>
        <w:tabs>
          <w:tab w:val="left" w:pos="1418"/>
          <w:tab w:val="left" w:pos="2552"/>
        </w:tabs>
        <w:autoSpaceDE w:val="0"/>
        <w:autoSpaceDN w:val="0"/>
        <w:adjustRightInd w:val="0"/>
        <w:snapToGrid w:val="0"/>
        <w:ind w:leftChars="0" w:left="0"/>
        <w:jc w:val="both"/>
        <w:rPr>
          <w:rFonts w:ascii="Arial" w:hAnsi="Arial" w:cs="Arial"/>
          <w:color w:val="000000" w:themeColor="text1"/>
          <w:szCs w:val="24"/>
          <w:lang w:val="en-GB"/>
        </w:rPr>
      </w:pPr>
    </w:p>
    <w:p w:rsidR="001544FD" w:rsidRPr="0028108F" w:rsidRDefault="001544FD" w:rsidP="002B6B0D">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i/>
          <w:color w:val="000000" w:themeColor="text1"/>
          <w:szCs w:val="24"/>
          <w:lang w:val="en-GB"/>
        </w:rPr>
        <w:t>“The Court of Final Appeal’s decision represents the dawn of a paradigm shift away from entrenched gender binaries.  We live in a world where sexual minority rights need to be taken seriously, and ad hoc law reform is unlikely to be the appropriate response.  Hong Kong now has a valuable opportunity to review and update its law.  In so doing, it will find that protecting the rights of sexual minorities liberates society and helps to realise a more tolerant and inclusive community.  This opportunity for reform should not be missed.”</w:t>
      </w:r>
      <w:r w:rsidRPr="00181CF2">
        <w:rPr>
          <w:rStyle w:val="FootnoteReference"/>
          <w:rFonts w:ascii="Arial" w:hAnsi="Arial" w:cs="Arial"/>
          <w:i/>
          <w:color w:val="000000" w:themeColor="text1"/>
          <w:lang w:val="en-GB"/>
        </w:rPr>
        <w:footnoteReference w:id="812"/>
      </w:r>
      <w:r w:rsidRPr="00181CF2">
        <w:rPr>
          <w:rFonts w:ascii="Arial" w:hAnsi="Arial" w:cs="Arial"/>
          <w:i/>
          <w:color w:val="000000" w:themeColor="text1"/>
          <w:szCs w:val="24"/>
          <w:lang w:val="en-GB"/>
        </w:rPr>
        <w:t xml:space="preserve"> </w:t>
      </w:r>
      <w:r w:rsidRPr="00C57CE1">
        <w:rPr>
          <w:rFonts w:ascii="Arial" w:hAnsi="Arial" w:cs="Arial"/>
          <w:color w:val="000000" w:themeColor="text1"/>
          <w:szCs w:val="24"/>
          <w:lang w:val="en-GB"/>
        </w:rPr>
        <w:t xml:space="preserve"> </w:t>
      </w:r>
    </w:p>
    <w:p w:rsidR="001544FD" w:rsidRDefault="001544FD">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F576DC" w:rsidRPr="0028108F" w:rsidRDefault="00F576DC">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A216E1" w:rsidRPr="0028108F" w:rsidRDefault="00A216E1" w:rsidP="0028108F">
      <w:pPr>
        <w:jc w:val="both"/>
        <w:rPr>
          <w:rFonts w:ascii="Arial" w:hAnsi="Arial" w:cs="Arial"/>
          <w:b/>
          <w:sz w:val="28"/>
          <w:szCs w:val="28"/>
          <w:lang w:val="en-GB"/>
        </w:rPr>
      </w:pPr>
      <w:r w:rsidRPr="0028108F">
        <w:rPr>
          <w:rFonts w:ascii="Arial" w:hAnsi="Arial" w:cs="Arial"/>
          <w:b/>
          <w:sz w:val="28"/>
          <w:szCs w:val="28"/>
          <w:lang w:val="en-GB"/>
        </w:rPr>
        <w:t>Issue for consultation</w:t>
      </w:r>
      <w:r w:rsidR="00AD21E2" w:rsidRPr="00181CF2">
        <w:rPr>
          <w:rFonts w:ascii="Arial" w:hAnsi="Arial" w:cs="Arial"/>
          <w:b/>
          <w:sz w:val="28"/>
          <w:szCs w:val="28"/>
          <w:lang w:val="en-GB"/>
        </w:rPr>
        <w:t xml:space="preserve"> o</w:t>
      </w:r>
      <w:r w:rsidR="00AD21E2" w:rsidRPr="00C57CE1">
        <w:rPr>
          <w:rFonts w:ascii="Arial" w:hAnsi="Arial" w:cs="Arial"/>
          <w:b/>
          <w:sz w:val="28"/>
          <w:szCs w:val="28"/>
          <w:lang w:val="en-GB"/>
        </w:rPr>
        <w:t>n</w:t>
      </w:r>
      <w:r w:rsidR="00AD21E2" w:rsidRPr="0028108F">
        <w:rPr>
          <w:rFonts w:ascii="Arial" w:hAnsi="Arial" w:cs="Arial"/>
          <w:b/>
          <w:sz w:val="28"/>
          <w:szCs w:val="28"/>
          <w:lang w:val="en-GB"/>
        </w:rPr>
        <w:t xml:space="preserve"> type of gender recognition scheme, if adopted</w:t>
      </w:r>
    </w:p>
    <w:p w:rsidR="00A216E1" w:rsidRPr="00C57CE1" w:rsidRDefault="00A216E1" w:rsidP="00A216E1">
      <w:pPr>
        <w:pStyle w:val="ListParagraph"/>
        <w:tabs>
          <w:tab w:val="left" w:pos="1418"/>
          <w:tab w:val="left" w:pos="2552"/>
        </w:tabs>
        <w:adjustRightInd w:val="0"/>
        <w:snapToGrid w:val="0"/>
        <w:ind w:leftChars="0" w:left="0"/>
        <w:jc w:val="both"/>
        <w:rPr>
          <w:rFonts w:ascii="Arial" w:hAnsi="Arial" w:cs="Arial"/>
          <w:szCs w:val="24"/>
          <w:lang w:val="en-GB"/>
        </w:rPr>
      </w:pPr>
    </w:p>
    <w:p w:rsidR="009D1B5A" w:rsidRDefault="00A216E1"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AD21E2"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AD21E2" w:rsidRPr="0028108F">
        <w:rPr>
          <w:rFonts w:ascii="Arial" w:hAnsi="Arial" w:cs="Arial"/>
          <w:b/>
          <w:color w:val="000000" w:themeColor="text1"/>
          <w:szCs w:val="24"/>
          <w:u w:val="single"/>
          <w:lang w:val="en-GB"/>
        </w:rPr>
        <w:t xml:space="preserve"> </w:t>
      </w:r>
      <w:r w:rsidR="00AD21E2" w:rsidRPr="008813DE">
        <w:rPr>
          <w:rFonts w:ascii="Arial" w:hAnsi="Arial" w:cs="Arial"/>
          <w:b/>
          <w:color w:val="000000" w:themeColor="text1"/>
          <w:szCs w:val="24"/>
          <w:u w:val="single"/>
          <w:lang w:val="en-GB"/>
        </w:rPr>
        <w:t>13</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Pr="0028108F">
        <w:rPr>
          <w:rFonts w:ascii="Arial" w:hAnsi="Arial" w:cs="Arial"/>
          <w:b/>
          <w:color w:val="000000" w:themeColor="text1"/>
          <w:szCs w:val="24"/>
          <w:lang w:val="en-GB"/>
        </w:rPr>
        <w:t xml:space="preserve">, in the event that a gender recognition scheme is </w:t>
      </w:r>
      <w:r w:rsidR="005E6528">
        <w:rPr>
          <w:rFonts w:ascii="Arial" w:hAnsi="Arial" w:cs="Arial" w:hint="eastAsia"/>
          <w:b/>
          <w:color w:val="000000" w:themeColor="text1"/>
          <w:szCs w:val="24"/>
          <w:lang w:val="en-GB"/>
        </w:rPr>
        <w:t xml:space="preserve">to be </w:t>
      </w:r>
      <w:r w:rsidRPr="0028108F">
        <w:rPr>
          <w:rFonts w:ascii="Arial" w:hAnsi="Arial" w:cs="Arial"/>
          <w:b/>
          <w:color w:val="000000" w:themeColor="text1"/>
          <w:szCs w:val="24"/>
          <w:lang w:val="en-GB"/>
        </w:rPr>
        <w:t>introduced in Hong Kong, whether the scheme should be</w:t>
      </w:r>
      <w:r w:rsidR="0020690D" w:rsidRPr="0028108F">
        <w:rPr>
          <w:rFonts w:ascii="Arial" w:hAnsi="Arial" w:cs="Arial"/>
          <w:b/>
          <w:color w:val="000000" w:themeColor="text1"/>
          <w:szCs w:val="24"/>
          <w:lang w:val="en-GB"/>
        </w:rPr>
        <w:t>:</w:t>
      </w:r>
    </w:p>
    <w:p w:rsidR="00B84297" w:rsidRDefault="00B84297"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9D1B5A" w:rsidRDefault="0020690D"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(a)</w:t>
      </w:r>
      <w:r w:rsidR="00A216E1" w:rsidRPr="0028108F">
        <w:rPr>
          <w:rFonts w:ascii="Arial" w:hAnsi="Arial" w:cs="Arial"/>
          <w:b/>
          <w:color w:val="000000" w:themeColor="text1"/>
          <w:szCs w:val="24"/>
          <w:lang w:val="en-GB"/>
        </w:rPr>
        <w:t xml:space="preserve">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 xml:space="preserve">a legislative scheme, based on a (new) specific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ordinance</w:t>
      </w:r>
      <w:r w:rsidRPr="0028108F">
        <w:rPr>
          <w:rFonts w:ascii="Arial" w:hAnsi="Arial" w:cs="Arial"/>
          <w:b/>
          <w:color w:val="000000" w:themeColor="text1"/>
          <w:szCs w:val="24"/>
          <w:lang w:val="en-GB"/>
        </w:rPr>
        <w:t>;</w:t>
      </w:r>
      <w:r w:rsidR="00B84297">
        <w:rPr>
          <w:rFonts w:ascii="Arial" w:hAnsi="Arial" w:cs="Arial"/>
          <w:b/>
          <w:color w:val="000000" w:themeColor="text1"/>
          <w:szCs w:val="24"/>
          <w:lang w:val="en-GB"/>
        </w:rPr>
        <w:br/>
      </w:r>
      <w:r w:rsidR="00A216E1" w:rsidRPr="0028108F">
        <w:rPr>
          <w:rFonts w:ascii="Arial" w:hAnsi="Arial" w:cs="Arial"/>
          <w:b/>
          <w:color w:val="000000" w:themeColor="text1"/>
          <w:szCs w:val="24"/>
          <w:lang w:val="en-GB"/>
        </w:rPr>
        <w:t xml:space="preserve"> </w:t>
      </w:r>
    </w:p>
    <w:p w:rsidR="00066B32" w:rsidRDefault="0020690D"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 xml:space="preserve">(b)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 xml:space="preserve">a judicial scheme, whereby issues related to gender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 xml:space="preserve">recognition are considered by the courts on a case by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case basis</w:t>
      </w:r>
      <w:r w:rsidRPr="0028108F">
        <w:rPr>
          <w:rFonts w:ascii="Arial" w:hAnsi="Arial" w:cs="Arial"/>
          <w:b/>
          <w:color w:val="000000" w:themeColor="text1"/>
          <w:szCs w:val="24"/>
          <w:lang w:val="en-GB"/>
        </w:rPr>
        <w:t>;</w:t>
      </w:r>
    </w:p>
    <w:p w:rsidR="009D1B5A" w:rsidRDefault="0020690D"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 xml:space="preserve"> </w:t>
      </w:r>
    </w:p>
    <w:p w:rsidR="009D1B5A" w:rsidRDefault="0020690D"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(c)</w:t>
      </w:r>
      <w:r w:rsidR="00A216E1" w:rsidRPr="0028108F">
        <w:rPr>
          <w:rFonts w:ascii="Arial" w:hAnsi="Arial" w:cs="Arial"/>
          <w:b/>
          <w:color w:val="000000" w:themeColor="text1"/>
          <w:szCs w:val="24"/>
          <w:lang w:val="en-GB"/>
        </w:rPr>
        <w:t xml:space="preserve">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 xml:space="preserve">a scheme involving non-statutory, administrative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measures only</w:t>
      </w:r>
      <w:r w:rsidRPr="0028108F">
        <w:rPr>
          <w:rFonts w:ascii="Arial" w:hAnsi="Arial" w:cs="Arial"/>
          <w:b/>
          <w:color w:val="000000" w:themeColor="text1"/>
          <w:szCs w:val="24"/>
          <w:lang w:val="en-GB"/>
        </w:rPr>
        <w:t>;</w:t>
      </w:r>
      <w:r w:rsidR="00A216E1" w:rsidRPr="0028108F">
        <w:rPr>
          <w:rFonts w:ascii="Arial" w:hAnsi="Arial" w:cs="Arial"/>
          <w:b/>
          <w:color w:val="000000" w:themeColor="text1"/>
          <w:szCs w:val="24"/>
          <w:lang w:val="en-GB"/>
        </w:rPr>
        <w:t xml:space="preserve"> or </w:t>
      </w:r>
    </w:p>
    <w:p w:rsidR="00066B32" w:rsidRPr="00066B32" w:rsidRDefault="00066B32"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AD21E2" w:rsidRPr="0028108F" w:rsidRDefault="0020690D"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lang w:val="en-GB"/>
        </w:rPr>
        <w:t xml:space="preserve">(d)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 xml:space="preserve">a scheme comprising some combination of these </w:t>
      </w:r>
      <w:r w:rsidR="009D1B5A">
        <w:rPr>
          <w:rFonts w:ascii="Arial" w:hAnsi="Arial" w:cs="Arial" w:hint="eastAsia"/>
          <w:b/>
          <w:color w:val="000000" w:themeColor="text1"/>
          <w:szCs w:val="24"/>
          <w:lang w:val="en-GB"/>
        </w:rPr>
        <w:tab/>
      </w:r>
      <w:r w:rsidR="00A216E1" w:rsidRPr="0028108F">
        <w:rPr>
          <w:rFonts w:ascii="Arial" w:hAnsi="Arial" w:cs="Arial"/>
          <w:b/>
          <w:color w:val="000000" w:themeColor="text1"/>
          <w:szCs w:val="24"/>
          <w:lang w:val="en-GB"/>
        </w:rPr>
        <w:t>approaches, and why.</w:t>
      </w:r>
    </w:p>
    <w:p w:rsidR="001544FD" w:rsidRPr="00181CF2" w:rsidRDefault="001544FD">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AD21E2" w:rsidRPr="00C57CE1" w:rsidRDefault="00AD21E2">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28108F" w:rsidRDefault="001544FD" w:rsidP="001544FD">
      <w:pPr>
        <w:tabs>
          <w:tab w:val="left" w:pos="851"/>
        </w:tabs>
        <w:adjustRightInd w:val="0"/>
        <w:snapToGrid w:val="0"/>
        <w:jc w:val="both"/>
        <w:rPr>
          <w:rFonts w:ascii="Arial" w:hAnsi="Arial" w:cs="Arial"/>
          <w:b/>
          <w:color w:val="000000" w:themeColor="text1"/>
          <w:sz w:val="28"/>
          <w:szCs w:val="28"/>
          <w:lang w:val="en-GB"/>
        </w:rPr>
      </w:pPr>
      <w:r w:rsidRPr="0028108F">
        <w:rPr>
          <w:rFonts w:ascii="Arial" w:hAnsi="Arial" w:cs="Arial"/>
          <w:b/>
          <w:sz w:val="28"/>
          <w:szCs w:val="28"/>
          <w:lang w:val="en-GB"/>
        </w:rPr>
        <w:t>Considerations</w:t>
      </w:r>
      <w:r w:rsidRPr="0028108F">
        <w:rPr>
          <w:rFonts w:ascii="Arial" w:hAnsi="Arial" w:cs="Arial"/>
          <w:b/>
          <w:color w:val="000000" w:themeColor="text1"/>
          <w:sz w:val="28"/>
          <w:szCs w:val="28"/>
          <w:lang w:val="en-GB"/>
        </w:rPr>
        <w:t xml:space="preserve"> for adopting a scheme that is similar to the UK gender recognition scheme</w:t>
      </w:r>
    </w:p>
    <w:p w:rsidR="001544FD" w:rsidRPr="00181CF2" w:rsidRDefault="001544FD" w:rsidP="001544FD">
      <w:pPr>
        <w:tabs>
          <w:tab w:val="left" w:pos="851"/>
        </w:tabs>
        <w:adjustRightInd w:val="0"/>
        <w:snapToGrid w:val="0"/>
        <w:jc w:val="both"/>
        <w:rPr>
          <w:rFonts w:ascii="Arial" w:hAnsi="Arial" w:cs="Arial"/>
          <w:i/>
          <w:color w:val="000000" w:themeColor="text1"/>
          <w:szCs w:val="24"/>
          <w:lang w:val="en-GB"/>
        </w:rPr>
      </w:pPr>
    </w:p>
    <w:p w:rsidR="001544FD" w:rsidRPr="0028108F"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C57CE1">
        <w:rPr>
          <w:rFonts w:ascii="Arial" w:hAnsi="Arial" w:cs="Arial"/>
          <w:szCs w:val="24"/>
          <w:lang w:val="en-GB"/>
        </w:rPr>
        <w:t xml:space="preserve">As noted in Chapter </w:t>
      </w:r>
      <w:r w:rsidR="00F6768B">
        <w:rPr>
          <w:rFonts w:ascii="Arial" w:hAnsi="Arial" w:cs="Arial" w:hint="eastAsia"/>
          <w:szCs w:val="24"/>
          <w:lang w:val="en-GB"/>
        </w:rPr>
        <w:t>3</w:t>
      </w:r>
      <w:r w:rsidRPr="0028108F">
        <w:rPr>
          <w:rFonts w:ascii="Arial" w:hAnsi="Arial" w:cs="Arial"/>
          <w:szCs w:val="24"/>
          <w:lang w:val="en-GB"/>
        </w:rPr>
        <w:t xml:space="preserve"> of this paper (at paragraph </w:t>
      </w:r>
      <w:r w:rsidR="00F6768B" w:rsidRPr="008813DE">
        <w:rPr>
          <w:rFonts w:ascii="Arial" w:hAnsi="Arial" w:cs="Arial"/>
          <w:szCs w:val="24"/>
          <w:lang w:val="en-GB"/>
        </w:rPr>
        <w:t>3.1</w:t>
      </w:r>
      <w:r w:rsidRPr="00B52687">
        <w:rPr>
          <w:rFonts w:ascii="Arial" w:hAnsi="Arial" w:cs="Arial"/>
          <w:szCs w:val="24"/>
          <w:lang w:val="en-GB"/>
        </w:rPr>
        <w:t>)</w:t>
      </w:r>
      <w:r w:rsidRPr="0028108F">
        <w:rPr>
          <w:rFonts w:ascii="Arial" w:hAnsi="Arial" w:cs="Arial"/>
          <w:szCs w:val="24"/>
          <w:lang w:val="en-GB"/>
        </w:rPr>
        <w:t>, the C</w:t>
      </w:r>
      <w:r w:rsidR="005C43B6" w:rsidRPr="0028108F">
        <w:rPr>
          <w:rFonts w:ascii="Arial" w:hAnsi="Arial" w:cs="Arial"/>
          <w:szCs w:val="24"/>
          <w:lang w:val="en-GB"/>
        </w:rPr>
        <w:t>FA</w:t>
      </w:r>
      <w:r w:rsidRPr="0028108F">
        <w:rPr>
          <w:rFonts w:ascii="Arial" w:hAnsi="Arial" w:cs="Arial"/>
          <w:szCs w:val="24"/>
          <w:lang w:val="en-GB"/>
        </w:rPr>
        <w:t xml:space="preserve"> in </w:t>
      </w:r>
      <w:r w:rsidR="00334997" w:rsidRPr="0028108F">
        <w:rPr>
          <w:rFonts w:ascii="Arial" w:hAnsi="Arial" w:cs="Arial"/>
          <w:i/>
          <w:szCs w:val="24"/>
          <w:lang w:val="en-GB"/>
        </w:rPr>
        <w:t>W</w:t>
      </w:r>
      <w:r w:rsidR="00334997" w:rsidRPr="00181CF2">
        <w:rPr>
          <w:rFonts w:ascii="Arial" w:hAnsi="Arial" w:cs="Arial"/>
          <w:szCs w:val="24"/>
          <w:lang w:val="en-GB"/>
        </w:rPr>
        <w:t>’s case</w:t>
      </w:r>
      <w:r w:rsidRPr="00C57CE1">
        <w:rPr>
          <w:rFonts w:ascii="Arial" w:hAnsi="Arial" w:cs="Arial"/>
          <w:szCs w:val="24"/>
          <w:lang w:val="en-GB"/>
        </w:rPr>
        <w:t xml:space="preserve"> described the UK gender recognition scheme as a “</w:t>
      </w:r>
      <w:r w:rsidRPr="0028108F">
        <w:rPr>
          <w:rFonts w:ascii="Arial" w:hAnsi="Arial" w:cs="Arial"/>
          <w:i/>
          <w:szCs w:val="24"/>
          <w:lang w:val="en-GB"/>
        </w:rPr>
        <w:t>compelling model</w:t>
      </w:r>
      <w:r w:rsidRPr="0028108F">
        <w:rPr>
          <w:rFonts w:ascii="Arial" w:hAnsi="Arial" w:cs="Arial"/>
          <w:szCs w:val="24"/>
          <w:lang w:val="en-GB"/>
        </w:rPr>
        <w:t xml:space="preserve">” for consideration of the legislation in Hong Kong.  </w:t>
      </w:r>
      <w:r w:rsidR="0020690D" w:rsidRPr="0028108F">
        <w:rPr>
          <w:rFonts w:ascii="Arial" w:hAnsi="Arial" w:cs="Arial"/>
          <w:szCs w:val="24"/>
          <w:lang w:val="en-GB"/>
        </w:rPr>
        <w:t>It has been argued, however, that w</w:t>
      </w:r>
      <w:r w:rsidR="005C43B6" w:rsidRPr="0028108F">
        <w:rPr>
          <w:rFonts w:ascii="Arial" w:hAnsi="Arial" w:cs="Arial"/>
          <w:szCs w:val="24"/>
          <w:lang w:val="en-GB"/>
        </w:rPr>
        <w:t xml:space="preserve">hen considering whether </w:t>
      </w:r>
      <w:r w:rsidRPr="0028108F">
        <w:rPr>
          <w:rFonts w:ascii="Arial" w:hAnsi="Arial" w:cs="Arial"/>
          <w:szCs w:val="24"/>
          <w:lang w:val="en-GB"/>
        </w:rPr>
        <w:t xml:space="preserve">a gender recognition law </w:t>
      </w:r>
      <w:r w:rsidR="005C43B6" w:rsidRPr="0028108F">
        <w:rPr>
          <w:rFonts w:ascii="Arial" w:hAnsi="Arial" w:cs="Arial"/>
          <w:szCs w:val="24"/>
          <w:lang w:val="en-GB"/>
        </w:rPr>
        <w:t xml:space="preserve">should be </w:t>
      </w:r>
      <w:r w:rsidRPr="0028108F">
        <w:rPr>
          <w:rFonts w:ascii="Arial" w:hAnsi="Arial" w:cs="Arial"/>
          <w:szCs w:val="24"/>
          <w:lang w:val="en-GB"/>
        </w:rPr>
        <w:t>styled on the UK GRA</w:t>
      </w:r>
      <w:r w:rsidR="005C43B6" w:rsidRPr="0028108F">
        <w:rPr>
          <w:rFonts w:ascii="Arial" w:hAnsi="Arial" w:cs="Arial"/>
          <w:szCs w:val="24"/>
          <w:lang w:val="en-GB"/>
        </w:rPr>
        <w:t xml:space="preserve">, one should pay heed to </w:t>
      </w:r>
      <w:r w:rsidR="00465E7E" w:rsidRPr="0028108F">
        <w:rPr>
          <w:rFonts w:ascii="Arial" w:hAnsi="Arial" w:cs="Arial"/>
          <w:szCs w:val="24"/>
          <w:lang w:val="en-GB"/>
        </w:rPr>
        <w:t>the differences between the laws in the UK and Hong Kong.</w:t>
      </w:r>
      <w:r w:rsidRPr="0028108F">
        <w:rPr>
          <w:rFonts w:ascii="Arial" w:hAnsi="Arial" w:cs="Arial"/>
          <w:szCs w:val="24"/>
          <w:lang w:val="en-GB"/>
        </w:rPr>
        <w:t xml:space="preserve"> </w:t>
      </w:r>
      <w:r w:rsidR="00465E7E" w:rsidRPr="0028108F">
        <w:rPr>
          <w:rFonts w:ascii="Arial" w:hAnsi="Arial" w:cs="Arial"/>
          <w:szCs w:val="24"/>
          <w:lang w:val="en-GB"/>
        </w:rPr>
        <w:t xml:space="preserve"> F</w:t>
      </w:r>
      <w:r w:rsidRPr="0028108F">
        <w:rPr>
          <w:rFonts w:ascii="Arial" w:hAnsi="Arial" w:cs="Arial"/>
          <w:szCs w:val="24"/>
          <w:lang w:val="en-GB"/>
        </w:rPr>
        <w:t>or example</w:t>
      </w:r>
      <w:r w:rsidR="00465E7E" w:rsidRPr="0028108F">
        <w:rPr>
          <w:rFonts w:ascii="Arial" w:hAnsi="Arial" w:cs="Arial"/>
          <w:szCs w:val="24"/>
          <w:lang w:val="en-GB"/>
        </w:rPr>
        <w:t>,</w:t>
      </w:r>
      <w:r w:rsidRPr="0028108F">
        <w:rPr>
          <w:rFonts w:ascii="Arial" w:hAnsi="Arial" w:cs="Arial"/>
          <w:szCs w:val="24"/>
          <w:lang w:val="en-GB"/>
        </w:rPr>
        <w:t xml:space="preserve"> the </w:t>
      </w:r>
      <w:r w:rsidR="00465E7E" w:rsidRPr="0028108F">
        <w:rPr>
          <w:rFonts w:ascii="Arial" w:hAnsi="Arial" w:cs="Arial"/>
          <w:szCs w:val="24"/>
          <w:lang w:val="en-GB"/>
        </w:rPr>
        <w:t xml:space="preserve">UK </w:t>
      </w:r>
      <w:r w:rsidRPr="0028108F">
        <w:rPr>
          <w:rFonts w:ascii="Arial" w:hAnsi="Arial" w:cs="Arial"/>
          <w:szCs w:val="24"/>
          <w:lang w:val="en-GB"/>
        </w:rPr>
        <w:t xml:space="preserve">law </w:t>
      </w:r>
      <w:r w:rsidR="00465E7E" w:rsidRPr="0028108F">
        <w:rPr>
          <w:rFonts w:ascii="Arial" w:hAnsi="Arial" w:cs="Arial"/>
          <w:szCs w:val="24"/>
          <w:lang w:val="en-GB"/>
        </w:rPr>
        <w:t xml:space="preserve">legalises civil unions and </w:t>
      </w:r>
      <w:r w:rsidRPr="0028108F">
        <w:rPr>
          <w:rFonts w:ascii="Arial" w:hAnsi="Arial" w:cs="Arial"/>
          <w:szCs w:val="24"/>
          <w:lang w:val="en-GB"/>
        </w:rPr>
        <w:t xml:space="preserve">same-sex marriage whereas no similar law has been </w:t>
      </w:r>
      <w:r w:rsidR="0020690D" w:rsidRPr="0028108F">
        <w:rPr>
          <w:rFonts w:ascii="Arial" w:hAnsi="Arial" w:cs="Arial"/>
          <w:szCs w:val="24"/>
          <w:lang w:val="en-GB"/>
        </w:rPr>
        <w:t xml:space="preserve">passed </w:t>
      </w:r>
      <w:r w:rsidRPr="0028108F">
        <w:rPr>
          <w:rFonts w:ascii="Arial" w:hAnsi="Arial" w:cs="Arial"/>
          <w:szCs w:val="24"/>
          <w:lang w:val="en-GB"/>
        </w:rPr>
        <w:t>in Hong Kong.</w:t>
      </w:r>
    </w:p>
    <w:p w:rsidR="001544FD" w:rsidRPr="0028108F"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1544FD" w:rsidRPr="00181CF2"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Another</w:t>
      </w:r>
      <w:r w:rsidRPr="00181CF2">
        <w:rPr>
          <w:rFonts w:ascii="Arial" w:hAnsi="Arial" w:cs="Arial"/>
          <w:szCs w:val="24"/>
          <w:lang w:val="en-GB"/>
        </w:rPr>
        <w:t xml:space="preserve"> problem of the UK </w:t>
      </w:r>
      <w:r w:rsidR="00465E7E" w:rsidRPr="0028108F">
        <w:rPr>
          <w:rFonts w:ascii="Arial" w:hAnsi="Arial" w:cs="Arial"/>
          <w:szCs w:val="24"/>
          <w:lang w:val="en-GB"/>
        </w:rPr>
        <w:t xml:space="preserve">GRA </w:t>
      </w:r>
      <w:r w:rsidRPr="0028108F">
        <w:rPr>
          <w:rFonts w:ascii="Arial" w:hAnsi="Arial" w:cs="Arial"/>
          <w:szCs w:val="24"/>
          <w:lang w:val="en-GB"/>
        </w:rPr>
        <w:t xml:space="preserve">is arguably the low </w:t>
      </w:r>
      <w:r w:rsidR="00A216E1" w:rsidRPr="0028108F">
        <w:rPr>
          <w:rFonts w:ascii="Arial" w:hAnsi="Arial" w:cs="Arial"/>
          <w:szCs w:val="24"/>
          <w:lang w:val="en-GB"/>
        </w:rPr>
        <w:t xml:space="preserve">utilisation </w:t>
      </w:r>
      <w:r w:rsidRPr="0028108F">
        <w:rPr>
          <w:rFonts w:ascii="Arial" w:hAnsi="Arial" w:cs="Arial"/>
          <w:szCs w:val="24"/>
          <w:lang w:val="en-GB"/>
        </w:rPr>
        <w:t xml:space="preserve">rate.  A possible explanation for this phenomenon is that </w:t>
      </w:r>
      <w:r w:rsidR="0020690D" w:rsidRPr="0028108F">
        <w:rPr>
          <w:rFonts w:ascii="Arial" w:hAnsi="Arial" w:cs="Arial"/>
          <w:szCs w:val="24"/>
          <w:lang w:val="en-GB"/>
        </w:rPr>
        <w:t>many</w:t>
      </w:r>
      <w:r w:rsidRPr="0028108F">
        <w:rPr>
          <w:rFonts w:ascii="Arial" w:hAnsi="Arial" w:cs="Arial"/>
          <w:szCs w:val="24"/>
          <w:lang w:val="en-GB"/>
        </w:rPr>
        <w:t xml:space="preserve"> transgender persons </w:t>
      </w:r>
      <w:r w:rsidR="006F4063" w:rsidRPr="0028108F">
        <w:rPr>
          <w:rFonts w:ascii="Arial" w:hAnsi="Arial" w:cs="Arial"/>
          <w:szCs w:val="24"/>
          <w:lang w:val="en-GB"/>
        </w:rPr>
        <w:t>in the UK may</w:t>
      </w:r>
      <w:r w:rsidRPr="0028108F">
        <w:rPr>
          <w:rFonts w:ascii="Arial" w:hAnsi="Arial" w:cs="Arial"/>
          <w:szCs w:val="24"/>
          <w:lang w:val="en-GB"/>
        </w:rPr>
        <w:t xml:space="preserve"> not have an imperative need to acquire the gender recognition certificate until they </w:t>
      </w:r>
      <w:r w:rsidR="006F4063" w:rsidRPr="0028108F">
        <w:rPr>
          <w:rFonts w:ascii="Arial" w:hAnsi="Arial" w:cs="Arial"/>
          <w:szCs w:val="24"/>
          <w:lang w:val="en-GB"/>
        </w:rPr>
        <w:t xml:space="preserve">wish </w:t>
      </w:r>
      <w:r w:rsidRPr="0028108F">
        <w:rPr>
          <w:rFonts w:ascii="Arial" w:hAnsi="Arial" w:cs="Arial"/>
          <w:szCs w:val="24"/>
          <w:lang w:val="en-GB"/>
        </w:rPr>
        <w:t xml:space="preserve">to marry (and this motive may be </w:t>
      </w:r>
      <w:r w:rsidR="006F4063" w:rsidRPr="0028108F">
        <w:rPr>
          <w:rFonts w:ascii="Arial" w:hAnsi="Arial" w:cs="Arial"/>
          <w:szCs w:val="24"/>
          <w:lang w:val="en-GB"/>
        </w:rPr>
        <w:t xml:space="preserve">less </w:t>
      </w:r>
      <w:r w:rsidRPr="0028108F">
        <w:rPr>
          <w:rFonts w:ascii="Arial" w:hAnsi="Arial" w:cs="Arial"/>
          <w:szCs w:val="24"/>
          <w:lang w:val="en-GB"/>
        </w:rPr>
        <w:t xml:space="preserve">relevant </w:t>
      </w:r>
      <w:r w:rsidR="006F4063" w:rsidRPr="0028108F">
        <w:rPr>
          <w:rFonts w:ascii="Arial" w:hAnsi="Arial" w:cs="Arial"/>
          <w:szCs w:val="24"/>
          <w:lang w:val="en-GB"/>
        </w:rPr>
        <w:t>since</w:t>
      </w:r>
      <w:r w:rsidRPr="0028108F">
        <w:rPr>
          <w:rFonts w:ascii="Arial" w:hAnsi="Arial" w:cs="Arial"/>
          <w:szCs w:val="24"/>
          <w:lang w:val="en-GB"/>
        </w:rPr>
        <w:t xml:space="preserve"> the enactment of the Marriage (Same Sex Couples) Act 2013) or </w:t>
      </w:r>
      <w:r w:rsidR="009F79C4">
        <w:rPr>
          <w:rFonts w:ascii="Arial" w:hAnsi="Arial" w:cs="Arial"/>
          <w:szCs w:val="24"/>
          <w:lang w:val="en-GB"/>
        </w:rPr>
        <w:t xml:space="preserve">to </w:t>
      </w:r>
      <w:r w:rsidR="00845175">
        <w:rPr>
          <w:rFonts w:ascii="Arial" w:hAnsi="Arial" w:cs="Arial"/>
          <w:szCs w:val="24"/>
          <w:lang w:val="en-GB"/>
        </w:rPr>
        <w:t xml:space="preserve">qualify </w:t>
      </w:r>
      <w:r w:rsidR="006F4063" w:rsidRPr="0028108F">
        <w:rPr>
          <w:rFonts w:ascii="Arial" w:hAnsi="Arial" w:cs="Arial"/>
          <w:szCs w:val="24"/>
          <w:lang w:val="en-GB"/>
        </w:rPr>
        <w:t>for</w:t>
      </w:r>
      <w:r w:rsidRPr="0028108F">
        <w:rPr>
          <w:rFonts w:ascii="Arial" w:hAnsi="Arial" w:cs="Arial"/>
          <w:szCs w:val="24"/>
          <w:lang w:val="en-GB"/>
        </w:rPr>
        <w:t xml:space="preserve"> the related social security benefits and entitlement to pensions enjoyed by people of the opposite sex.  Many transgender persons may live comfortably without gender recognition, largely attributed to the protection afforded under the equal protection and employment protection laws</w:t>
      </w:r>
      <w:r w:rsidR="006F4063" w:rsidRPr="0028108F">
        <w:rPr>
          <w:rFonts w:ascii="Arial" w:hAnsi="Arial" w:cs="Arial"/>
          <w:szCs w:val="24"/>
          <w:lang w:val="en-GB"/>
        </w:rPr>
        <w:t xml:space="preserve"> applicable in the UK</w:t>
      </w:r>
      <w:r w:rsidRPr="0028108F">
        <w:rPr>
          <w:rFonts w:ascii="Arial" w:hAnsi="Arial" w:cs="Arial"/>
          <w:szCs w:val="24"/>
          <w:lang w:val="en-GB"/>
        </w:rPr>
        <w:t xml:space="preserve">.  Chapter </w:t>
      </w:r>
      <w:r w:rsidRPr="008813DE">
        <w:rPr>
          <w:rFonts w:ascii="Arial" w:hAnsi="Arial" w:cs="Arial"/>
          <w:szCs w:val="24"/>
          <w:lang w:val="en-GB"/>
        </w:rPr>
        <w:t>3</w:t>
      </w:r>
      <w:r w:rsidRPr="0028108F">
        <w:rPr>
          <w:rFonts w:ascii="Arial" w:hAnsi="Arial" w:cs="Arial"/>
          <w:szCs w:val="24"/>
          <w:lang w:val="en-GB"/>
        </w:rPr>
        <w:t xml:space="preserve"> of this paper also illustrates other </w:t>
      </w:r>
      <w:r w:rsidR="006F4063" w:rsidRPr="0028108F">
        <w:rPr>
          <w:rFonts w:ascii="Arial" w:hAnsi="Arial" w:cs="Arial"/>
          <w:szCs w:val="24"/>
          <w:lang w:val="en-GB"/>
        </w:rPr>
        <w:t xml:space="preserve">reasons for the low level </w:t>
      </w:r>
      <w:r w:rsidRPr="0028108F">
        <w:rPr>
          <w:rFonts w:ascii="Arial" w:hAnsi="Arial" w:cs="Arial"/>
          <w:szCs w:val="24"/>
          <w:lang w:val="en-GB"/>
        </w:rPr>
        <w:t>of application</w:t>
      </w:r>
      <w:r w:rsidR="006F4063" w:rsidRPr="0028108F">
        <w:rPr>
          <w:rFonts w:ascii="Arial" w:hAnsi="Arial" w:cs="Arial"/>
          <w:szCs w:val="24"/>
          <w:lang w:val="en-GB"/>
        </w:rPr>
        <w:t>s</w:t>
      </w:r>
      <w:r w:rsidRPr="0028108F">
        <w:rPr>
          <w:rFonts w:ascii="Arial" w:hAnsi="Arial" w:cs="Arial"/>
          <w:szCs w:val="24"/>
          <w:lang w:val="en-GB"/>
        </w:rPr>
        <w:t xml:space="preserve"> under the </w:t>
      </w:r>
      <w:r w:rsidR="00465E7E" w:rsidRPr="0028108F">
        <w:rPr>
          <w:rFonts w:ascii="Arial" w:hAnsi="Arial" w:cs="Arial"/>
          <w:szCs w:val="24"/>
          <w:lang w:val="en-GB"/>
        </w:rPr>
        <w:t xml:space="preserve">UK </w:t>
      </w:r>
      <w:r w:rsidRPr="0028108F">
        <w:rPr>
          <w:rFonts w:ascii="Arial" w:hAnsi="Arial" w:cs="Arial"/>
          <w:szCs w:val="24"/>
          <w:lang w:val="en-GB"/>
        </w:rPr>
        <w:t>GRA.</w:t>
      </w:r>
      <w:r w:rsidRPr="00181CF2">
        <w:rPr>
          <w:rStyle w:val="FootnoteReference"/>
          <w:rFonts w:ascii="Arial" w:hAnsi="Arial" w:cs="Arial"/>
          <w:lang w:val="en-GB"/>
        </w:rPr>
        <w:footnoteReference w:id="813"/>
      </w:r>
    </w:p>
    <w:p w:rsidR="001544FD" w:rsidRPr="00C57CE1"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181CF2" w:rsidRDefault="001544FD" w:rsidP="00EC02E9">
      <w:pPr>
        <w:pStyle w:val="ListParagraph"/>
        <w:numPr>
          <w:ilvl w:val="0"/>
          <w:numId w:val="105"/>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There have been calls in recent years for reform of the UK GRA.  As commented by </w:t>
      </w:r>
      <w:r w:rsidR="00A216E1" w:rsidRPr="0028108F">
        <w:rPr>
          <w:rFonts w:ascii="Arial" w:hAnsi="Arial" w:cs="Arial"/>
          <w:szCs w:val="24"/>
          <w:lang w:val="en-GB"/>
        </w:rPr>
        <w:t xml:space="preserve">the </w:t>
      </w:r>
      <w:r w:rsidRPr="0028108F">
        <w:rPr>
          <w:rFonts w:ascii="Arial" w:hAnsi="Arial" w:cs="Arial"/>
          <w:szCs w:val="24"/>
          <w:lang w:val="en-GB"/>
        </w:rPr>
        <w:t>Women and Equalities Committee</w:t>
      </w:r>
      <w:r w:rsidRPr="00181CF2">
        <w:rPr>
          <w:rStyle w:val="FootnoteReference"/>
          <w:rFonts w:ascii="Arial" w:hAnsi="Arial" w:cs="Arial"/>
          <w:szCs w:val="24"/>
          <w:lang w:val="en-GB"/>
        </w:rPr>
        <w:footnoteReference w:id="814"/>
      </w:r>
      <w:r w:rsidRPr="00181CF2">
        <w:rPr>
          <w:rFonts w:ascii="Arial" w:hAnsi="Arial" w:cs="Arial"/>
          <w:szCs w:val="24"/>
          <w:lang w:val="en-GB"/>
        </w:rPr>
        <w:t xml:space="preserve"> in its report </w:t>
      </w:r>
      <w:r w:rsidRPr="0028108F">
        <w:rPr>
          <w:rFonts w:ascii="Arial" w:hAnsi="Arial" w:cs="Arial"/>
          <w:szCs w:val="24"/>
          <w:lang w:val="en-GB"/>
        </w:rPr>
        <w:t xml:space="preserve">published in January 2016, the UK GRA is now </w:t>
      </w:r>
      <w:r w:rsidR="00546B51" w:rsidRPr="0028108F">
        <w:rPr>
          <w:rFonts w:ascii="Arial" w:hAnsi="Arial" w:cs="Arial"/>
          <w:i/>
          <w:szCs w:val="24"/>
          <w:lang w:val="en-GB"/>
        </w:rPr>
        <w:t>“</w:t>
      </w:r>
      <w:r w:rsidRPr="0028108F">
        <w:rPr>
          <w:rFonts w:ascii="Arial" w:hAnsi="Arial" w:cs="Arial"/>
          <w:i/>
          <w:szCs w:val="24"/>
          <w:lang w:val="en-GB"/>
        </w:rPr>
        <w:t>dated</w:t>
      </w:r>
      <w:r w:rsidR="00546B51" w:rsidRPr="0028108F">
        <w:rPr>
          <w:rFonts w:ascii="Arial" w:hAnsi="Arial" w:cs="Arial"/>
          <w:i/>
          <w:szCs w:val="24"/>
          <w:lang w:val="en-GB"/>
        </w:rPr>
        <w:t>”</w:t>
      </w:r>
      <w:r w:rsidRPr="00181CF2">
        <w:rPr>
          <w:rFonts w:ascii="Arial" w:hAnsi="Arial" w:cs="Arial"/>
          <w:szCs w:val="24"/>
          <w:lang w:val="en-GB"/>
        </w:rPr>
        <w:t xml:space="preserve"> as “</w:t>
      </w:r>
      <w:r w:rsidRPr="00C57CE1">
        <w:rPr>
          <w:rFonts w:ascii="Arial" w:hAnsi="Arial" w:cs="Arial"/>
          <w:i/>
          <w:szCs w:val="24"/>
          <w:lang w:val="en-GB"/>
        </w:rPr>
        <w:t>its medicalised approach pathologises trans identities and runs contrary to the dignity and personal autonomy of applicants</w:t>
      </w:r>
      <w:r w:rsidR="00546B51" w:rsidRPr="0028108F">
        <w:rPr>
          <w:rFonts w:ascii="Arial" w:hAnsi="Arial" w:cs="Arial"/>
          <w:i/>
          <w:szCs w:val="24"/>
          <w:lang w:val="en-GB"/>
        </w:rPr>
        <w:t>.</w:t>
      </w:r>
      <w:r w:rsidRPr="0028108F">
        <w:rPr>
          <w:rFonts w:ascii="Arial" w:hAnsi="Arial" w:cs="Arial"/>
          <w:szCs w:val="24"/>
          <w:lang w:val="en-GB"/>
        </w:rPr>
        <w:t>”</w:t>
      </w:r>
      <w:r w:rsidRPr="00181CF2">
        <w:rPr>
          <w:rStyle w:val="FootnoteReference"/>
          <w:rFonts w:ascii="Arial" w:hAnsi="Arial" w:cs="Arial"/>
          <w:szCs w:val="24"/>
          <w:lang w:val="en-GB"/>
        </w:rPr>
        <w:footnoteReference w:id="815"/>
      </w:r>
      <w:r w:rsidRPr="00181CF2">
        <w:rPr>
          <w:rFonts w:ascii="Arial" w:hAnsi="Arial" w:cs="Arial"/>
          <w:szCs w:val="24"/>
          <w:lang w:val="en-GB"/>
        </w:rPr>
        <w:t xml:space="preserve">  The Committee urged the UK Government to update the Act, in line wit</w:t>
      </w:r>
      <w:r w:rsidRPr="00C57CE1">
        <w:rPr>
          <w:rFonts w:ascii="Arial" w:hAnsi="Arial" w:cs="Arial"/>
          <w:szCs w:val="24"/>
          <w:lang w:val="en-GB"/>
        </w:rPr>
        <w:t>h the principle of gender self-declaration that ha</w:t>
      </w:r>
      <w:r w:rsidR="002E5871" w:rsidRPr="0028108F">
        <w:rPr>
          <w:rFonts w:ascii="Arial" w:hAnsi="Arial" w:cs="Arial"/>
          <w:szCs w:val="24"/>
          <w:lang w:val="en-GB"/>
        </w:rPr>
        <w:t>s</w:t>
      </w:r>
      <w:r w:rsidRPr="0028108F">
        <w:rPr>
          <w:rFonts w:ascii="Arial" w:hAnsi="Arial" w:cs="Arial"/>
          <w:szCs w:val="24"/>
          <w:lang w:val="en-GB"/>
        </w:rPr>
        <w:t xml:space="preserve"> developed in other jurisdictions, and </w:t>
      </w:r>
      <w:r w:rsidR="002E5871" w:rsidRPr="0028108F">
        <w:rPr>
          <w:rFonts w:ascii="Arial" w:hAnsi="Arial" w:cs="Arial"/>
          <w:szCs w:val="24"/>
          <w:lang w:val="en-GB"/>
        </w:rPr>
        <w:t xml:space="preserve">noting that </w:t>
      </w:r>
      <w:r w:rsidRPr="0028108F">
        <w:rPr>
          <w:rFonts w:ascii="Arial" w:hAnsi="Arial" w:cs="Arial"/>
          <w:szCs w:val="24"/>
          <w:lang w:val="en-GB"/>
        </w:rPr>
        <w:t>“</w:t>
      </w:r>
      <w:r w:rsidRPr="0028108F">
        <w:rPr>
          <w:rFonts w:ascii="Arial" w:hAnsi="Arial" w:cs="Arial"/>
          <w:i/>
          <w:szCs w:val="24"/>
          <w:lang w:val="en-GB"/>
        </w:rPr>
        <w:t>an administrative process must be developed, centred on the wishes of the individual applicant, rather than on intensive analysis by doctors and lawyers</w:t>
      </w:r>
      <w:r w:rsidR="002E5871" w:rsidRPr="0028108F">
        <w:rPr>
          <w:rFonts w:ascii="Arial" w:hAnsi="Arial" w:cs="Arial"/>
          <w:i/>
          <w:szCs w:val="24"/>
          <w:lang w:val="en-GB"/>
        </w:rPr>
        <w:t>.</w:t>
      </w:r>
      <w:r w:rsidRPr="0028108F">
        <w:rPr>
          <w:rFonts w:ascii="Arial" w:hAnsi="Arial" w:cs="Arial"/>
          <w:szCs w:val="24"/>
          <w:lang w:val="en-GB"/>
        </w:rPr>
        <w:t>”</w:t>
      </w:r>
      <w:r w:rsidRPr="00181CF2">
        <w:rPr>
          <w:rStyle w:val="FootnoteReference"/>
          <w:rFonts w:ascii="Arial" w:hAnsi="Arial" w:cs="Arial"/>
          <w:szCs w:val="24"/>
          <w:lang w:val="en-GB"/>
        </w:rPr>
        <w:footnoteReference w:id="816"/>
      </w:r>
    </w:p>
    <w:p w:rsidR="001544FD" w:rsidRPr="00C57CE1"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1544FD" w:rsidRPr="0028108F" w:rsidRDefault="001544FD" w:rsidP="00F532D8">
      <w:pPr>
        <w:pStyle w:val="ListParagraph"/>
        <w:numPr>
          <w:ilvl w:val="0"/>
          <w:numId w:val="105"/>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Nevertheless, it has been argued that the UK model provides a </w:t>
      </w:r>
      <w:r w:rsidRPr="0028108F">
        <w:rPr>
          <w:rFonts w:ascii="Arial" w:hAnsi="Arial" w:cs="Arial"/>
          <w:color w:val="000000" w:themeColor="text1"/>
          <w:szCs w:val="24"/>
          <w:lang w:val="en-GB"/>
        </w:rPr>
        <w:t>comprehensive</w:t>
      </w:r>
      <w:r w:rsidRPr="0028108F">
        <w:rPr>
          <w:rFonts w:ascii="Arial" w:hAnsi="Arial" w:cs="Arial"/>
          <w:szCs w:val="24"/>
          <w:lang w:val="en-GB"/>
        </w:rPr>
        <w:t xml:space="preserve"> system for gender recognition, </w:t>
      </w:r>
      <w:r w:rsidR="002E5871" w:rsidRPr="0028108F">
        <w:rPr>
          <w:rFonts w:ascii="Arial" w:hAnsi="Arial" w:cs="Arial"/>
          <w:szCs w:val="24"/>
          <w:lang w:val="en-GB"/>
        </w:rPr>
        <w:t xml:space="preserve">applying </w:t>
      </w:r>
      <w:r w:rsidRPr="0028108F">
        <w:rPr>
          <w:rFonts w:ascii="Arial" w:hAnsi="Arial" w:cs="Arial"/>
          <w:szCs w:val="24"/>
          <w:lang w:val="en-GB"/>
        </w:rPr>
        <w:t>clear and transparent procedures and cater</w:t>
      </w:r>
      <w:r w:rsidR="002E5871" w:rsidRPr="0028108F">
        <w:rPr>
          <w:rFonts w:ascii="Arial" w:hAnsi="Arial" w:cs="Arial"/>
          <w:szCs w:val="24"/>
          <w:lang w:val="en-GB"/>
        </w:rPr>
        <w:t>ing</w:t>
      </w:r>
      <w:r w:rsidRPr="0028108F">
        <w:rPr>
          <w:rFonts w:ascii="Arial" w:hAnsi="Arial" w:cs="Arial"/>
          <w:szCs w:val="24"/>
          <w:lang w:val="en-GB"/>
        </w:rPr>
        <w:t xml:space="preserve"> for post-recognition issues as well.</w:t>
      </w:r>
      <w:r w:rsidRPr="0028108F">
        <w:rPr>
          <w:rStyle w:val="FootnoteReference"/>
          <w:rFonts w:ascii="Arial" w:hAnsi="Arial" w:cs="Arial"/>
          <w:color w:val="000000" w:themeColor="text1"/>
          <w:lang w:val="en-GB"/>
        </w:rPr>
        <w:footnoteReference w:id="817"/>
      </w:r>
      <w:r w:rsidRPr="0028108F">
        <w:rPr>
          <w:rFonts w:ascii="Arial" w:hAnsi="Arial" w:cs="Arial"/>
          <w:szCs w:val="24"/>
          <w:lang w:val="en-GB"/>
        </w:rPr>
        <w:t xml:space="preserve">  As noted by </w:t>
      </w:r>
      <w:r w:rsidR="00B73144" w:rsidRPr="0028108F">
        <w:rPr>
          <w:rFonts w:ascii="Arial" w:hAnsi="Arial" w:cs="Arial"/>
          <w:szCs w:val="24"/>
          <w:lang w:val="en-GB"/>
        </w:rPr>
        <w:t>Dr</w:t>
      </w:r>
      <w:r w:rsidR="000C2B10" w:rsidRPr="0028108F">
        <w:rPr>
          <w:rFonts w:ascii="Arial" w:hAnsi="Arial" w:cs="Arial"/>
          <w:szCs w:val="24"/>
          <w:lang w:val="en-GB"/>
        </w:rPr>
        <w:t xml:space="preserve"> </w:t>
      </w:r>
      <w:r w:rsidRPr="0028108F">
        <w:rPr>
          <w:rFonts w:ascii="Arial" w:hAnsi="Arial" w:cs="Arial"/>
          <w:szCs w:val="24"/>
          <w:lang w:val="en-GB"/>
        </w:rPr>
        <w:t xml:space="preserve">Sam Winter, the UK GRA </w:t>
      </w:r>
      <w:r w:rsidR="00D82574">
        <w:rPr>
          <w:rFonts w:ascii="Arial" w:hAnsi="Arial" w:cs="Arial"/>
          <w:szCs w:val="24"/>
          <w:lang w:val="en-GB"/>
        </w:rPr>
        <w:t xml:space="preserve"> has the following features</w:t>
      </w:r>
      <w:r w:rsidRPr="0028108F">
        <w:rPr>
          <w:rFonts w:ascii="Arial" w:hAnsi="Arial" w:cs="Arial"/>
          <w:szCs w:val="24"/>
          <w:lang w:val="en-GB"/>
        </w:rPr>
        <w:t xml:space="preserve">: (a) the voluntary aspect: with those choosing not to have a gender recognition certificate free not to have one; (b) the broad scope: extending into a range of legal areas in which one’s status as male or female has legal importance; </w:t>
      </w:r>
      <w:r w:rsidR="002E5871" w:rsidRPr="0028108F">
        <w:rPr>
          <w:rFonts w:ascii="Arial" w:hAnsi="Arial" w:cs="Arial"/>
          <w:szCs w:val="24"/>
          <w:lang w:val="en-GB"/>
        </w:rPr>
        <w:t xml:space="preserve">and </w:t>
      </w:r>
      <w:r w:rsidRPr="0028108F">
        <w:rPr>
          <w:rFonts w:ascii="Arial" w:hAnsi="Arial" w:cs="Arial"/>
          <w:szCs w:val="24"/>
          <w:lang w:val="en-GB"/>
        </w:rPr>
        <w:t>(c) the inclusiveness: with all those trans people covered who identify in a gender other than that assigned to them at birth.</w:t>
      </w:r>
      <w:r w:rsidRPr="0028108F">
        <w:rPr>
          <w:rStyle w:val="FootnoteReference"/>
          <w:rFonts w:ascii="Arial" w:hAnsi="Arial" w:cs="Arial"/>
          <w:szCs w:val="24"/>
          <w:lang w:val="en-GB"/>
        </w:rPr>
        <w:footnoteReference w:id="818"/>
      </w:r>
    </w:p>
    <w:p w:rsidR="001544FD" w:rsidRPr="0028108F"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C57CE1"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 xml:space="preserve">Some </w:t>
      </w:r>
      <w:r w:rsidR="005C43B6" w:rsidRPr="0028108F">
        <w:rPr>
          <w:rFonts w:ascii="Arial" w:hAnsi="Arial" w:cs="Arial"/>
          <w:szCs w:val="24"/>
          <w:lang w:val="en-GB"/>
        </w:rPr>
        <w:t xml:space="preserve">people </w:t>
      </w:r>
      <w:r w:rsidRPr="0028108F">
        <w:rPr>
          <w:rFonts w:ascii="Arial" w:hAnsi="Arial" w:cs="Arial"/>
          <w:szCs w:val="24"/>
          <w:lang w:val="en-GB"/>
        </w:rPr>
        <w:t xml:space="preserve">also consider that the line to be drawn for gender recognition should be set at the applicant’s desire to live in the opposite gender permanently, and the evidential requirements under the UK GRA are sufficient.  </w:t>
      </w:r>
      <w:r w:rsidR="005C43B6" w:rsidRPr="0028108F">
        <w:rPr>
          <w:rFonts w:ascii="Arial" w:hAnsi="Arial" w:cs="Arial"/>
          <w:szCs w:val="24"/>
          <w:lang w:val="en-GB"/>
        </w:rPr>
        <w:t xml:space="preserve">They also argue that </w:t>
      </w:r>
      <w:r w:rsidRPr="0028108F">
        <w:rPr>
          <w:rFonts w:ascii="Arial" w:hAnsi="Arial" w:cs="Arial"/>
          <w:szCs w:val="24"/>
          <w:lang w:val="en-GB"/>
        </w:rPr>
        <w:t xml:space="preserve">the UK model is a realistic approach </w:t>
      </w:r>
      <w:r w:rsidR="005C43B6" w:rsidRPr="0028108F">
        <w:rPr>
          <w:rFonts w:ascii="Arial" w:hAnsi="Arial" w:cs="Arial"/>
          <w:szCs w:val="24"/>
          <w:lang w:val="en-GB"/>
        </w:rPr>
        <w:t xml:space="preserve">for Hong Kong as it would be too far-fetched for the community to accept a </w:t>
      </w:r>
      <w:r w:rsidRPr="0028108F">
        <w:rPr>
          <w:rFonts w:ascii="Arial" w:hAnsi="Arial" w:cs="Arial"/>
          <w:szCs w:val="24"/>
          <w:lang w:val="en-GB"/>
        </w:rPr>
        <w:t xml:space="preserve">self-determination </w:t>
      </w:r>
      <w:r w:rsidR="005C43B6" w:rsidRPr="0028108F">
        <w:rPr>
          <w:rFonts w:ascii="Arial" w:hAnsi="Arial" w:cs="Arial"/>
          <w:szCs w:val="24"/>
          <w:lang w:val="en-GB"/>
        </w:rPr>
        <w:t>model</w:t>
      </w:r>
      <w:r w:rsidR="00345612" w:rsidRPr="0028108F">
        <w:rPr>
          <w:rFonts w:ascii="Arial" w:hAnsi="Arial" w:cs="Arial"/>
          <w:szCs w:val="24"/>
          <w:lang w:val="en-GB"/>
        </w:rPr>
        <w:t xml:space="preserve"> at this stage</w:t>
      </w:r>
      <w:r w:rsidRPr="0028108F">
        <w:rPr>
          <w:rFonts w:ascii="Arial" w:hAnsi="Arial" w:cs="Arial"/>
          <w:szCs w:val="24"/>
          <w:lang w:val="en-GB"/>
        </w:rPr>
        <w:t xml:space="preserve">.  </w:t>
      </w:r>
      <w:r w:rsidR="00F36C72" w:rsidRPr="0028108F">
        <w:rPr>
          <w:rFonts w:ascii="Arial" w:hAnsi="Arial" w:cs="Arial"/>
          <w:szCs w:val="24"/>
          <w:lang w:val="en-GB"/>
        </w:rPr>
        <w:t xml:space="preserve">Yet, </w:t>
      </w:r>
      <w:r w:rsidR="00345612" w:rsidRPr="00181CF2">
        <w:rPr>
          <w:rFonts w:ascii="Arial" w:hAnsi="Arial" w:cs="Arial"/>
          <w:szCs w:val="24"/>
          <w:lang w:val="en-GB"/>
        </w:rPr>
        <w:t xml:space="preserve">it has also been observed by some that </w:t>
      </w:r>
      <w:r w:rsidRPr="0028108F">
        <w:rPr>
          <w:rFonts w:ascii="Arial" w:hAnsi="Arial" w:cs="Arial"/>
          <w:szCs w:val="24"/>
          <w:lang w:val="en-GB"/>
        </w:rPr>
        <w:t xml:space="preserve">the UK </w:t>
      </w:r>
      <w:r w:rsidR="00345612" w:rsidRPr="0028108F">
        <w:rPr>
          <w:rFonts w:ascii="Arial" w:hAnsi="Arial" w:cs="Arial"/>
          <w:szCs w:val="24"/>
          <w:lang w:val="en-GB"/>
        </w:rPr>
        <w:t xml:space="preserve">GRA is no longer the </w:t>
      </w:r>
      <w:r w:rsidRPr="0028108F">
        <w:rPr>
          <w:rFonts w:ascii="Arial" w:hAnsi="Arial" w:cs="Arial"/>
          <w:szCs w:val="24"/>
          <w:lang w:val="en-GB"/>
        </w:rPr>
        <w:t>global lead</w:t>
      </w:r>
      <w:r w:rsidR="00345612" w:rsidRPr="0028108F">
        <w:rPr>
          <w:rFonts w:ascii="Arial" w:hAnsi="Arial" w:cs="Arial"/>
          <w:szCs w:val="24"/>
          <w:lang w:val="en-GB"/>
        </w:rPr>
        <w:t>ing model</w:t>
      </w:r>
      <w:r w:rsidRPr="0028108F">
        <w:rPr>
          <w:rFonts w:ascii="Arial" w:hAnsi="Arial" w:cs="Arial"/>
          <w:szCs w:val="24"/>
          <w:lang w:val="en-GB"/>
        </w:rPr>
        <w:t xml:space="preserve"> in protecting gender identity rights</w:t>
      </w:r>
      <w:r w:rsidR="005C43B6" w:rsidRPr="0028108F">
        <w:rPr>
          <w:rFonts w:ascii="Arial" w:hAnsi="Arial" w:cs="Arial"/>
          <w:szCs w:val="24"/>
          <w:lang w:val="en-GB"/>
        </w:rPr>
        <w:t xml:space="preserve"> in light of the </w:t>
      </w:r>
      <w:r w:rsidR="00345612" w:rsidRPr="0028108F">
        <w:rPr>
          <w:rFonts w:ascii="Arial" w:hAnsi="Arial" w:cs="Arial"/>
          <w:szCs w:val="24"/>
          <w:lang w:val="en-GB"/>
        </w:rPr>
        <w:t>more recent</w:t>
      </w:r>
      <w:r w:rsidR="005C43B6" w:rsidRPr="0028108F">
        <w:rPr>
          <w:rFonts w:ascii="Arial" w:hAnsi="Arial" w:cs="Arial"/>
          <w:szCs w:val="24"/>
          <w:lang w:val="en-GB"/>
        </w:rPr>
        <w:t xml:space="preserve"> developments </w:t>
      </w:r>
      <w:r w:rsidR="00345612" w:rsidRPr="0028108F">
        <w:rPr>
          <w:rFonts w:ascii="Arial" w:hAnsi="Arial" w:cs="Arial"/>
          <w:szCs w:val="24"/>
          <w:lang w:val="en-GB"/>
        </w:rPr>
        <w:t xml:space="preserve">elsewhere </w:t>
      </w:r>
      <w:r w:rsidR="005C43B6" w:rsidRPr="0028108F">
        <w:rPr>
          <w:rFonts w:ascii="Arial" w:hAnsi="Arial" w:cs="Arial"/>
          <w:szCs w:val="24"/>
          <w:lang w:val="en-GB"/>
        </w:rPr>
        <w:t>in this area</w:t>
      </w:r>
      <w:r w:rsidRPr="0028108F">
        <w:rPr>
          <w:rFonts w:ascii="Arial" w:hAnsi="Arial" w:cs="Arial"/>
          <w:szCs w:val="24"/>
          <w:lang w:val="en-GB"/>
        </w:rPr>
        <w:t>.</w:t>
      </w:r>
      <w:r w:rsidRPr="00181CF2">
        <w:rPr>
          <w:rStyle w:val="FootnoteReference"/>
          <w:rFonts w:ascii="Arial" w:hAnsi="Arial" w:cs="Arial"/>
          <w:lang w:val="en-GB"/>
        </w:rPr>
        <w:footnoteReference w:id="819"/>
      </w:r>
      <w:r w:rsidRPr="00181CF2">
        <w:rPr>
          <w:rFonts w:ascii="Arial" w:hAnsi="Arial" w:cs="Arial"/>
          <w:szCs w:val="24"/>
          <w:lang w:val="en-GB"/>
        </w:rPr>
        <w:t xml:space="preserve">  </w:t>
      </w:r>
    </w:p>
    <w:p w:rsidR="001544FD" w:rsidRPr="0028108F"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28108F"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FF"/>
          <w:szCs w:val="24"/>
          <w:lang w:val="en-GB"/>
        </w:rPr>
      </w:pPr>
      <w:r w:rsidRPr="0028108F">
        <w:rPr>
          <w:rFonts w:ascii="Arial" w:hAnsi="Arial" w:cs="Arial"/>
          <w:szCs w:val="24"/>
          <w:lang w:val="en-GB"/>
        </w:rPr>
        <w:t xml:space="preserve">Even if </w:t>
      </w:r>
      <w:r w:rsidR="00DC4FCF" w:rsidRPr="0028108F">
        <w:rPr>
          <w:rFonts w:ascii="Arial" w:hAnsi="Arial" w:cs="Arial"/>
          <w:szCs w:val="24"/>
          <w:lang w:val="en-GB"/>
        </w:rPr>
        <w:t>a scheme along the</w:t>
      </w:r>
      <w:r w:rsidR="004C48D0" w:rsidRPr="0028108F">
        <w:rPr>
          <w:rFonts w:ascii="Arial" w:hAnsi="Arial" w:cs="Arial"/>
          <w:szCs w:val="24"/>
          <w:lang w:val="en-GB"/>
        </w:rPr>
        <w:t xml:space="preserve"> lines</w:t>
      </w:r>
      <w:r w:rsidR="00DC4FCF" w:rsidRPr="0028108F">
        <w:rPr>
          <w:rFonts w:ascii="Arial" w:hAnsi="Arial" w:cs="Arial"/>
          <w:szCs w:val="24"/>
          <w:lang w:val="en-GB"/>
        </w:rPr>
        <w:t xml:space="preserve"> of </w:t>
      </w:r>
      <w:r w:rsidRPr="0028108F">
        <w:rPr>
          <w:rFonts w:ascii="Arial" w:hAnsi="Arial" w:cs="Arial"/>
          <w:szCs w:val="24"/>
          <w:lang w:val="en-GB"/>
        </w:rPr>
        <w:t xml:space="preserve">the UK model </w:t>
      </w:r>
      <w:r w:rsidR="00DC4FCF" w:rsidRPr="0028108F">
        <w:rPr>
          <w:rFonts w:ascii="Arial" w:hAnsi="Arial" w:cs="Arial"/>
          <w:szCs w:val="24"/>
          <w:lang w:val="en-GB"/>
        </w:rPr>
        <w:t>were</w:t>
      </w:r>
      <w:r w:rsidRPr="0028108F">
        <w:rPr>
          <w:rFonts w:ascii="Arial" w:hAnsi="Arial" w:cs="Arial"/>
          <w:szCs w:val="24"/>
          <w:lang w:val="en-GB"/>
        </w:rPr>
        <w:t xml:space="preserve"> to be </w:t>
      </w:r>
      <w:r w:rsidR="00DC4FCF" w:rsidRPr="0028108F">
        <w:rPr>
          <w:rFonts w:ascii="Arial" w:hAnsi="Arial" w:cs="Arial"/>
          <w:szCs w:val="24"/>
          <w:lang w:val="en-GB"/>
        </w:rPr>
        <w:t>introduced</w:t>
      </w:r>
      <w:r w:rsidRPr="0028108F">
        <w:rPr>
          <w:rFonts w:ascii="Arial" w:hAnsi="Arial" w:cs="Arial"/>
          <w:szCs w:val="24"/>
          <w:lang w:val="en-GB"/>
        </w:rPr>
        <w:t xml:space="preserve"> in Hong Kong, certain modifications </w:t>
      </w:r>
      <w:r w:rsidR="00DC4FCF" w:rsidRPr="0028108F">
        <w:rPr>
          <w:rFonts w:ascii="Arial" w:hAnsi="Arial" w:cs="Arial"/>
          <w:szCs w:val="24"/>
          <w:lang w:val="en-GB"/>
        </w:rPr>
        <w:t xml:space="preserve">would need </w:t>
      </w:r>
      <w:r w:rsidR="005C43B6" w:rsidRPr="0028108F">
        <w:rPr>
          <w:rFonts w:ascii="Arial" w:hAnsi="Arial" w:cs="Arial"/>
          <w:szCs w:val="24"/>
          <w:lang w:val="en-GB"/>
        </w:rPr>
        <w:t>to be made</w:t>
      </w:r>
      <w:r w:rsidR="00DC4FCF" w:rsidRPr="0028108F">
        <w:rPr>
          <w:rFonts w:ascii="Arial" w:hAnsi="Arial" w:cs="Arial"/>
          <w:szCs w:val="24"/>
          <w:lang w:val="en-GB"/>
        </w:rPr>
        <w:t>,</w:t>
      </w:r>
      <w:r w:rsidR="005C43B6" w:rsidRPr="0028108F">
        <w:rPr>
          <w:rFonts w:ascii="Arial" w:hAnsi="Arial" w:cs="Arial"/>
          <w:szCs w:val="24"/>
          <w:lang w:val="en-GB"/>
        </w:rPr>
        <w:t xml:space="preserve"> </w:t>
      </w:r>
      <w:r w:rsidR="00DC4FCF" w:rsidRPr="0028108F">
        <w:rPr>
          <w:rFonts w:ascii="Arial" w:hAnsi="Arial" w:cs="Arial"/>
          <w:szCs w:val="24"/>
          <w:lang w:val="en-GB"/>
        </w:rPr>
        <w:t xml:space="preserve">in particular, regarding </w:t>
      </w:r>
      <w:r w:rsidRPr="0028108F">
        <w:rPr>
          <w:rFonts w:ascii="Arial" w:hAnsi="Arial" w:cs="Arial"/>
          <w:szCs w:val="24"/>
          <w:lang w:val="en-GB"/>
        </w:rPr>
        <w:t xml:space="preserve">the provisions relating to marital status of the applicants.  Also, it remains to be determined, given the specific circumstances </w:t>
      </w:r>
      <w:r w:rsidR="00DC4FCF" w:rsidRPr="0028108F">
        <w:rPr>
          <w:rFonts w:ascii="Arial" w:hAnsi="Arial" w:cs="Arial"/>
          <w:szCs w:val="24"/>
          <w:lang w:val="en-GB"/>
        </w:rPr>
        <w:t>of</w:t>
      </w:r>
      <w:r w:rsidRPr="0028108F">
        <w:rPr>
          <w:rFonts w:ascii="Arial" w:hAnsi="Arial" w:cs="Arial"/>
          <w:szCs w:val="24"/>
          <w:lang w:val="en-GB"/>
        </w:rPr>
        <w:t xml:space="preserve"> Hong Kong, whether or not a gender recognition certificate or a replacement identity card or a new birth certificate or any other identification documentation </w:t>
      </w:r>
      <w:r w:rsidR="00DC4FCF" w:rsidRPr="0028108F">
        <w:rPr>
          <w:rFonts w:ascii="Arial" w:hAnsi="Arial" w:cs="Arial"/>
          <w:szCs w:val="24"/>
          <w:lang w:val="en-GB"/>
        </w:rPr>
        <w:t>would</w:t>
      </w:r>
      <w:r w:rsidRPr="0028108F">
        <w:rPr>
          <w:rFonts w:ascii="Arial" w:hAnsi="Arial" w:cs="Arial"/>
          <w:szCs w:val="24"/>
          <w:lang w:val="en-GB"/>
        </w:rPr>
        <w:t xml:space="preserve"> be issued to a successful applicant.</w:t>
      </w: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6167D0" w:rsidRPr="006167D0" w:rsidRDefault="006167D0"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A216E1" w:rsidRPr="0028108F" w:rsidRDefault="00A216E1" w:rsidP="0028108F">
      <w:pPr>
        <w:jc w:val="both"/>
        <w:rPr>
          <w:rFonts w:ascii="Arial" w:hAnsi="Arial" w:cs="Arial"/>
          <w:b/>
          <w:sz w:val="28"/>
          <w:szCs w:val="28"/>
          <w:lang w:val="en-GB"/>
        </w:rPr>
      </w:pPr>
      <w:r w:rsidRPr="0028108F">
        <w:rPr>
          <w:rFonts w:ascii="Arial" w:hAnsi="Arial" w:cs="Arial"/>
          <w:b/>
          <w:sz w:val="28"/>
          <w:szCs w:val="28"/>
          <w:lang w:val="en-GB"/>
        </w:rPr>
        <w:t>Issue for consultation</w:t>
      </w:r>
      <w:r w:rsidR="00AD21E2" w:rsidRPr="0028108F">
        <w:rPr>
          <w:rFonts w:ascii="Arial" w:hAnsi="Arial" w:cs="Arial"/>
          <w:b/>
          <w:sz w:val="28"/>
          <w:szCs w:val="28"/>
          <w:lang w:val="en-GB"/>
        </w:rPr>
        <w:t xml:space="preserve"> on adopting </w:t>
      </w:r>
      <w:r w:rsidR="00DC4FCF" w:rsidRPr="00181CF2">
        <w:rPr>
          <w:rFonts w:ascii="Arial" w:hAnsi="Arial" w:cs="Arial"/>
          <w:b/>
          <w:sz w:val="28"/>
          <w:szCs w:val="28"/>
          <w:lang w:val="en-GB"/>
        </w:rPr>
        <w:t xml:space="preserve">a </w:t>
      </w:r>
      <w:r w:rsidR="00AD21E2" w:rsidRPr="0028108F">
        <w:rPr>
          <w:rFonts w:ascii="Arial" w:hAnsi="Arial" w:cs="Arial"/>
          <w:b/>
          <w:sz w:val="28"/>
          <w:szCs w:val="28"/>
          <w:lang w:val="en-GB"/>
        </w:rPr>
        <w:t xml:space="preserve">scheme similar to </w:t>
      </w:r>
      <w:r w:rsidR="00DC4FCF" w:rsidRPr="00181CF2">
        <w:rPr>
          <w:rFonts w:ascii="Arial" w:hAnsi="Arial" w:cs="Arial"/>
          <w:b/>
          <w:sz w:val="28"/>
          <w:szCs w:val="28"/>
          <w:lang w:val="en-GB"/>
        </w:rPr>
        <w:t xml:space="preserve">the </w:t>
      </w:r>
      <w:r w:rsidR="00AD21E2" w:rsidRPr="0028108F">
        <w:rPr>
          <w:rFonts w:ascii="Arial" w:hAnsi="Arial" w:cs="Arial"/>
          <w:b/>
          <w:sz w:val="28"/>
          <w:szCs w:val="28"/>
          <w:lang w:val="en-GB"/>
        </w:rPr>
        <w:t xml:space="preserve">UK </w:t>
      </w:r>
      <w:r w:rsidR="00DC4FCF" w:rsidRPr="00181CF2">
        <w:rPr>
          <w:rFonts w:ascii="Arial" w:hAnsi="Arial" w:cs="Arial"/>
          <w:b/>
          <w:sz w:val="28"/>
          <w:szCs w:val="28"/>
          <w:lang w:val="en-GB"/>
        </w:rPr>
        <w:t xml:space="preserve">or another jurisdiction’s </w:t>
      </w:r>
      <w:r w:rsidR="00AD21E2" w:rsidRPr="0028108F">
        <w:rPr>
          <w:rFonts w:ascii="Arial" w:hAnsi="Arial" w:cs="Arial"/>
          <w:b/>
          <w:sz w:val="28"/>
          <w:szCs w:val="28"/>
          <w:lang w:val="en-GB"/>
        </w:rPr>
        <w:t>gender recognition scheme</w:t>
      </w:r>
    </w:p>
    <w:p w:rsidR="00A216E1" w:rsidRPr="0028108F" w:rsidRDefault="00A216E1" w:rsidP="00A216E1">
      <w:pPr>
        <w:pStyle w:val="ListParagraph"/>
        <w:tabs>
          <w:tab w:val="left" w:pos="1418"/>
          <w:tab w:val="left" w:pos="2552"/>
        </w:tabs>
        <w:adjustRightInd w:val="0"/>
        <w:snapToGrid w:val="0"/>
        <w:ind w:leftChars="0" w:left="0"/>
        <w:jc w:val="both"/>
        <w:rPr>
          <w:rFonts w:ascii="Arial" w:hAnsi="Arial" w:cs="Arial"/>
          <w:szCs w:val="24"/>
          <w:lang w:val="en-GB"/>
        </w:rPr>
      </w:pPr>
    </w:p>
    <w:p w:rsidR="00A216E1" w:rsidRPr="0028108F" w:rsidRDefault="00A216E1"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AD21E2"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AD21E2" w:rsidRPr="0028108F">
        <w:rPr>
          <w:rFonts w:ascii="Arial" w:hAnsi="Arial" w:cs="Arial"/>
          <w:b/>
          <w:color w:val="000000" w:themeColor="text1"/>
          <w:szCs w:val="24"/>
          <w:u w:val="single"/>
          <w:lang w:val="en-GB"/>
        </w:rPr>
        <w:t xml:space="preserve"> </w:t>
      </w:r>
      <w:r w:rsidR="00AD21E2" w:rsidRPr="008813DE">
        <w:rPr>
          <w:rFonts w:ascii="Arial" w:hAnsi="Arial" w:cs="Arial"/>
          <w:b/>
          <w:color w:val="000000" w:themeColor="text1"/>
          <w:szCs w:val="24"/>
          <w:u w:val="single"/>
          <w:lang w:val="en-GB"/>
        </w:rPr>
        <w:t>14</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005A0374"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005A0374" w:rsidRPr="00C57CE1">
        <w:rPr>
          <w:rFonts w:ascii="Arial" w:hAnsi="Arial" w:cs="Arial"/>
          <w:b/>
          <w:color w:val="000000" w:themeColor="text1"/>
          <w:szCs w:val="24"/>
          <w:lang w:val="en-GB"/>
        </w:rPr>
        <w:t xml:space="preserve"> views from the public on</w:t>
      </w:r>
      <w:r w:rsidR="00AD21E2" w:rsidRPr="0028108F">
        <w:rPr>
          <w:rFonts w:ascii="Arial" w:hAnsi="Arial" w:cs="Arial"/>
          <w:b/>
          <w:color w:val="000000" w:themeColor="text1"/>
          <w:szCs w:val="24"/>
          <w:lang w:val="en-GB"/>
        </w:rPr>
        <w:t xml:space="preserve"> the following matters.</w:t>
      </w:r>
    </w:p>
    <w:p w:rsidR="005A0374" w:rsidRPr="0028108F" w:rsidRDefault="005A0374" w:rsidP="005A0374">
      <w:pPr>
        <w:pBdr>
          <w:top w:val="single" w:sz="4" w:space="8" w:color="auto"/>
          <w:left w:val="single" w:sz="4" w:space="8" w:color="auto"/>
          <w:bottom w:val="single" w:sz="4" w:space="8" w:color="auto"/>
          <w:right w:val="single" w:sz="4" w:space="8" w:color="auto"/>
        </w:pBdr>
        <w:snapToGrid w:val="0"/>
        <w:ind w:left="720" w:right="720"/>
        <w:rPr>
          <w:rFonts w:ascii="Arial" w:hAnsi="Arial" w:cs="Arial"/>
          <w:b/>
          <w:color w:val="000000" w:themeColor="text1"/>
          <w:szCs w:val="24"/>
          <w:lang w:val="en-GB"/>
        </w:rPr>
      </w:pPr>
    </w:p>
    <w:p w:rsidR="005A0374" w:rsidRPr="00181CF2"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AD21E2"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n the event that a gender recognition scheme is </w:t>
      </w:r>
      <w:r w:rsidR="005E6528">
        <w:rPr>
          <w:rFonts w:ascii="Arial" w:hAnsi="Arial" w:cs="Arial" w:hint="eastAsia"/>
          <w:b/>
          <w:color w:val="000000" w:themeColor="text1"/>
          <w:szCs w:val="24"/>
          <w:lang w:val="en-GB"/>
        </w:rPr>
        <w:t xml:space="preserve">to be </w:t>
      </w:r>
      <w:r w:rsidRPr="0028108F">
        <w:rPr>
          <w:rFonts w:ascii="Arial" w:hAnsi="Arial" w:cs="Arial"/>
          <w:b/>
          <w:color w:val="000000" w:themeColor="text1"/>
          <w:szCs w:val="24"/>
          <w:lang w:val="en-GB"/>
        </w:rPr>
        <w:t xml:space="preserve">introduced in Hong Kong, whether the UK </w:t>
      </w:r>
      <w:r w:rsidR="00F36C72" w:rsidRPr="0028108F">
        <w:rPr>
          <w:rFonts w:ascii="Arial" w:hAnsi="Arial" w:cs="Arial"/>
          <w:b/>
          <w:color w:val="000000" w:themeColor="text1"/>
          <w:szCs w:val="24"/>
          <w:lang w:val="en-GB"/>
        </w:rPr>
        <w:t>g</w:t>
      </w:r>
      <w:r w:rsidRPr="00181CF2">
        <w:rPr>
          <w:rFonts w:ascii="Arial" w:hAnsi="Arial" w:cs="Arial"/>
          <w:b/>
          <w:color w:val="000000" w:themeColor="text1"/>
          <w:szCs w:val="24"/>
          <w:lang w:val="en-GB"/>
        </w:rPr>
        <w:t xml:space="preserve">ender </w:t>
      </w:r>
      <w:r w:rsidR="00F36C72" w:rsidRPr="0028108F">
        <w:rPr>
          <w:rFonts w:ascii="Arial" w:hAnsi="Arial" w:cs="Arial"/>
          <w:b/>
          <w:color w:val="000000" w:themeColor="text1"/>
          <w:szCs w:val="24"/>
          <w:lang w:val="en-GB"/>
        </w:rPr>
        <w:t>r</w:t>
      </w:r>
      <w:r w:rsidRPr="00181CF2">
        <w:rPr>
          <w:rFonts w:ascii="Arial" w:hAnsi="Arial" w:cs="Arial"/>
          <w:b/>
          <w:color w:val="000000" w:themeColor="text1"/>
          <w:szCs w:val="24"/>
          <w:lang w:val="en-GB"/>
        </w:rPr>
        <w:t xml:space="preserve">ecognition </w:t>
      </w:r>
      <w:r w:rsidR="00F36C72" w:rsidRPr="0028108F">
        <w:rPr>
          <w:rFonts w:ascii="Arial" w:hAnsi="Arial" w:cs="Arial"/>
          <w:b/>
          <w:color w:val="000000" w:themeColor="text1"/>
          <w:szCs w:val="24"/>
          <w:lang w:val="en-GB"/>
        </w:rPr>
        <w:t>s</w:t>
      </w:r>
      <w:r w:rsidRPr="00181CF2">
        <w:rPr>
          <w:rFonts w:ascii="Arial" w:hAnsi="Arial" w:cs="Arial"/>
          <w:b/>
          <w:color w:val="000000" w:themeColor="text1"/>
          <w:szCs w:val="24"/>
          <w:lang w:val="en-GB"/>
        </w:rPr>
        <w:t>cheme is a suitable model to be adopted in Hong Kong, and why.</w:t>
      </w:r>
    </w:p>
    <w:p w:rsidR="005A0374" w:rsidRPr="00C57CE1"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AD21E2" w:rsidRPr="0028108F">
        <w:rPr>
          <w:rFonts w:ascii="Arial" w:hAnsi="Arial" w:cs="Arial"/>
          <w:b/>
          <w:color w:val="000000" w:themeColor="text1"/>
          <w:szCs w:val="24"/>
          <w:lang w:val="en-GB"/>
        </w:rPr>
        <w:t>W</w:t>
      </w:r>
      <w:r w:rsidRPr="0028108F">
        <w:rPr>
          <w:rFonts w:ascii="Arial" w:hAnsi="Arial" w:cs="Arial"/>
          <w:b/>
          <w:color w:val="000000" w:themeColor="text1"/>
          <w:szCs w:val="24"/>
          <w:lang w:val="en-GB"/>
        </w:rPr>
        <w:t xml:space="preserve">hether there </w:t>
      </w:r>
      <w:r w:rsidR="00DC4FCF" w:rsidRPr="0028108F">
        <w:rPr>
          <w:rFonts w:ascii="Arial" w:hAnsi="Arial" w:cs="Arial"/>
          <w:b/>
          <w:color w:val="000000" w:themeColor="text1"/>
          <w:szCs w:val="24"/>
          <w:lang w:val="en-GB"/>
        </w:rPr>
        <w:t xml:space="preserve">are </w:t>
      </w:r>
      <w:r w:rsidRPr="0028108F">
        <w:rPr>
          <w:rFonts w:ascii="Arial" w:hAnsi="Arial" w:cs="Arial"/>
          <w:b/>
          <w:color w:val="000000" w:themeColor="text1"/>
          <w:szCs w:val="24"/>
          <w:lang w:val="en-GB"/>
        </w:rPr>
        <w:t>any particular aspects of the UK model that should be adopted, or not adopted, or modified to suit the circumstances of Hong Kong, and why.</w:t>
      </w: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(3)</w:t>
      </w:r>
      <w:r w:rsidRPr="0028108F">
        <w:rPr>
          <w:rFonts w:ascii="Arial" w:hAnsi="Arial" w:cs="Arial"/>
          <w:b/>
          <w:color w:val="000000" w:themeColor="text1"/>
          <w:szCs w:val="24"/>
          <w:lang w:val="en-GB"/>
        </w:rPr>
        <w:tab/>
      </w:r>
      <w:r w:rsidR="00AD21E2" w:rsidRPr="0028108F">
        <w:rPr>
          <w:rFonts w:ascii="Arial" w:hAnsi="Arial" w:cs="Arial"/>
          <w:b/>
          <w:color w:val="000000" w:themeColor="text1"/>
          <w:szCs w:val="24"/>
          <w:lang w:val="en-GB"/>
        </w:rPr>
        <w:t>W</w:t>
      </w:r>
      <w:r w:rsidRPr="0028108F">
        <w:rPr>
          <w:rFonts w:ascii="Arial" w:hAnsi="Arial" w:cs="Arial"/>
          <w:b/>
          <w:color w:val="000000" w:themeColor="text1"/>
          <w:szCs w:val="24"/>
          <w:lang w:val="en-GB"/>
        </w:rPr>
        <w:t>hether another jurisdiction’s gender recognition scheme (or any particular feature or features of any such scheme) would be more suitable to be adopted in Hong Kong than the UK model, and why.</w:t>
      </w: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AD21E2" w:rsidRPr="00C57CE1"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(4)</w:t>
      </w:r>
      <w:r w:rsidRPr="0028108F">
        <w:rPr>
          <w:rFonts w:ascii="Arial" w:hAnsi="Arial" w:cs="Arial"/>
          <w:b/>
          <w:color w:val="000000" w:themeColor="text1"/>
          <w:szCs w:val="24"/>
          <w:lang w:val="en-GB"/>
        </w:rPr>
        <w:tab/>
      </w:r>
      <w:r w:rsidR="00AD21E2" w:rsidRPr="0028108F">
        <w:rPr>
          <w:rFonts w:ascii="Arial" w:hAnsi="Arial" w:cs="Arial"/>
          <w:b/>
          <w:color w:val="000000" w:themeColor="text1"/>
          <w:szCs w:val="24"/>
          <w:lang w:val="en-GB"/>
        </w:rPr>
        <w:t>W</w:t>
      </w:r>
      <w:r w:rsidRPr="0028108F">
        <w:rPr>
          <w:rFonts w:ascii="Arial" w:hAnsi="Arial" w:cs="Arial"/>
          <w:b/>
          <w:color w:val="000000" w:themeColor="text1"/>
          <w:szCs w:val="24"/>
          <w:lang w:val="en-GB"/>
        </w:rPr>
        <w:t>hether there is any particular gender recognition</w:t>
      </w:r>
      <w:r w:rsidR="00F73575" w:rsidRPr="0028108F">
        <w:rPr>
          <w:rFonts w:ascii="Arial" w:hAnsi="Arial" w:cs="Arial"/>
          <w:b/>
          <w:color w:val="000000" w:themeColor="text1"/>
          <w:szCs w:val="24"/>
          <w:lang w:val="en-GB"/>
        </w:rPr>
        <w:t xml:space="preserve"> scheme in another jurisdiction (</w:t>
      </w:r>
      <w:r w:rsidRPr="00181CF2">
        <w:rPr>
          <w:rFonts w:ascii="Arial" w:hAnsi="Arial" w:cs="Arial"/>
          <w:b/>
          <w:color w:val="000000" w:themeColor="text1"/>
          <w:szCs w:val="24"/>
          <w:lang w:val="en-GB"/>
        </w:rPr>
        <w:t>or any particular feature or features of any such scheme) that should not be adopted in Hong Kong, and why.</w:t>
      </w:r>
    </w:p>
    <w:p w:rsidR="001544FD" w:rsidRPr="0028108F" w:rsidRDefault="001544FD" w:rsidP="001544FD">
      <w:pPr>
        <w:tabs>
          <w:tab w:val="left" w:pos="851"/>
        </w:tabs>
        <w:adjustRightInd w:val="0"/>
        <w:snapToGrid w:val="0"/>
        <w:jc w:val="both"/>
        <w:rPr>
          <w:rFonts w:ascii="Arial" w:hAnsi="Arial" w:cs="Arial"/>
          <w:i/>
          <w:color w:val="000000" w:themeColor="text1"/>
          <w:szCs w:val="24"/>
          <w:lang w:val="en-GB"/>
        </w:rPr>
      </w:pPr>
    </w:p>
    <w:p w:rsidR="001544FD" w:rsidRPr="0028108F" w:rsidRDefault="001544FD" w:rsidP="001544FD">
      <w:pPr>
        <w:tabs>
          <w:tab w:val="left" w:pos="851"/>
        </w:tabs>
        <w:adjustRightInd w:val="0"/>
        <w:snapToGrid w:val="0"/>
        <w:jc w:val="both"/>
        <w:rPr>
          <w:rFonts w:ascii="Arial" w:hAnsi="Arial" w:cs="Arial"/>
          <w:b/>
          <w:i/>
          <w:color w:val="000000" w:themeColor="text1"/>
          <w:szCs w:val="24"/>
          <w:lang w:val="en-GB"/>
        </w:rPr>
      </w:pPr>
    </w:p>
    <w:p w:rsidR="001544FD" w:rsidRPr="0028108F" w:rsidRDefault="001544FD" w:rsidP="001544FD">
      <w:pPr>
        <w:tabs>
          <w:tab w:val="left" w:pos="851"/>
        </w:tabs>
        <w:adjustRightInd w:val="0"/>
        <w:snapToGrid w:val="0"/>
        <w:jc w:val="both"/>
        <w:rPr>
          <w:rFonts w:ascii="Arial" w:hAnsi="Arial" w:cs="Arial"/>
          <w:b/>
          <w:color w:val="000000" w:themeColor="text1"/>
          <w:sz w:val="28"/>
          <w:szCs w:val="28"/>
          <w:lang w:val="en-GB"/>
        </w:rPr>
      </w:pPr>
      <w:r w:rsidRPr="0028108F">
        <w:rPr>
          <w:rFonts w:ascii="Arial" w:hAnsi="Arial" w:cs="Arial"/>
          <w:b/>
          <w:color w:val="000000" w:themeColor="text1"/>
          <w:sz w:val="28"/>
          <w:szCs w:val="28"/>
          <w:lang w:val="en-GB"/>
        </w:rPr>
        <w:t xml:space="preserve">Considerations for setting up a panel to perform quasi-judicial or judicial functions (similar to the UK’s GRP) to determine applications for gender recognition </w:t>
      </w:r>
    </w:p>
    <w:p w:rsidR="001544FD" w:rsidRPr="00181CF2"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1544FD" w:rsidRPr="0028108F"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C57CE1">
        <w:rPr>
          <w:rFonts w:ascii="Arial" w:hAnsi="Arial" w:cs="Arial"/>
          <w:szCs w:val="24"/>
          <w:lang w:val="en-GB"/>
        </w:rPr>
        <w:t xml:space="preserve">The UK GRP could be said to be performing </w:t>
      </w:r>
      <w:r w:rsidRPr="0028108F">
        <w:rPr>
          <w:rFonts w:ascii="Arial" w:hAnsi="Arial" w:cs="Arial"/>
          <w:szCs w:val="24"/>
          <w:lang w:val="en-GB"/>
        </w:rPr>
        <w:t xml:space="preserve">quasi-judicial or judicial functions because it is empowered to make a final decision on recognising an applicant’s acquired gender under the GRA.  It has been argued that such a specific authority for gender recognition, which would make an assessment on the evidence submitted by the applicants, could serve as a </w:t>
      </w:r>
      <w:r w:rsidRPr="0028108F">
        <w:rPr>
          <w:rFonts w:ascii="Arial" w:hAnsi="Arial" w:cs="Arial"/>
          <w:i/>
          <w:szCs w:val="24"/>
          <w:lang w:val="en-GB"/>
        </w:rPr>
        <w:t>“gate-keeper”</w:t>
      </w:r>
      <w:r w:rsidRPr="00181CF2">
        <w:rPr>
          <w:rFonts w:ascii="Arial" w:hAnsi="Arial" w:cs="Arial"/>
          <w:szCs w:val="24"/>
          <w:lang w:val="en-GB"/>
        </w:rPr>
        <w:t xml:space="preserve"> to safeguard against premature or frivolous applic</w:t>
      </w:r>
      <w:r w:rsidRPr="00C57CE1">
        <w:rPr>
          <w:rFonts w:ascii="Arial" w:hAnsi="Arial" w:cs="Arial"/>
          <w:szCs w:val="24"/>
          <w:lang w:val="en-GB"/>
        </w:rPr>
        <w:t xml:space="preserve">ations, especially </w:t>
      </w:r>
      <w:r w:rsidR="00636967" w:rsidRPr="0028108F">
        <w:rPr>
          <w:rFonts w:ascii="Arial" w:hAnsi="Arial" w:cs="Arial"/>
          <w:szCs w:val="24"/>
          <w:lang w:val="en-GB"/>
        </w:rPr>
        <w:t xml:space="preserve">in jurisdictions </w:t>
      </w:r>
      <w:r w:rsidRPr="0028108F">
        <w:rPr>
          <w:rFonts w:ascii="Arial" w:hAnsi="Arial" w:cs="Arial"/>
          <w:szCs w:val="24"/>
          <w:lang w:val="en-GB"/>
        </w:rPr>
        <w:t xml:space="preserve">where the criteria for gender recognition are more flexible (for example, </w:t>
      </w:r>
      <w:r w:rsidR="00A17EB3" w:rsidRPr="0028108F">
        <w:rPr>
          <w:rFonts w:ascii="Arial" w:hAnsi="Arial" w:cs="Arial"/>
          <w:szCs w:val="24"/>
          <w:lang w:val="en-GB"/>
        </w:rPr>
        <w:t xml:space="preserve">where </w:t>
      </w:r>
      <w:r w:rsidRPr="0028108F">
        <w:rPr>
          <w:rFonts w:ascii="Arial" w:hAnsi="Arial" w:cs="Arial"/>
          <w:szCs w:val="24"/>
          <w:lang w:val="en-GB"/>
        </w:rPr>
        <w:t>SRS is not required).</w:t>
      </w:r>
    </w:p>
    <w:p w:rsidR="001544FD" w:rsidRPr="0028108F"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1544FD" w:rsidRPr="0028108F" w:rsidRDefault="00636967" w:rsidP="00F532D8">
      <w:pPr>
        <w:pStyle w:val="ListParagraph"/>
        <w:numPr>
          <w:ilvl w:val="0"/>
          <w:numId w:val="105"/>
        </w:numPr>
        <w:tabs>
          <w:tab w:val="left" w:pos="1418"/>
        </w:tabs>
        <w:adjustRightInd w:val="0"/>
        <w:snapToGrid w:val="0"/>
        <w:ind w:leftChars="0" w:left="0" w:firstLine="0"/>
        <w:jc w:val="both"/>
        <w:rPr>
          <w:rFonts w:ascii="Arial" w:hAnsi="Arial" w:cs="Arial"/>
          <w:szCs w:val="24"/>
          <w:lang w:val="en-GB"/>
        </w:rPr>
      </w:pPr>
      <w:r w:rsidRPr="00C57CE1">
        <w:rPr>
          <w:rFonts w:ascii="Arial" w:hAnsi="Arial" w:cs="Arial"/>
          <w:color w:val="000000" w:themeColor="text1"/>
          <w:szCs w:val="24"/>
          <w:lang w:val="en-GB"/>
        </w:rPr>
        <w:t>A</w:t>
      </w:r>
      <w:r w:rsidR="001544FD" w:rsidRPr="0028108F">
        <w:rPr>
          <w:rFonts w:ascii="Arial" w:hAnsi="Arial" w:cs="Arial"/>
          <w:color w:val="000000" w:themeColor="text1"/>
          <w:szCs w:val="24"/>
          <w:lang w:val="en-GB"/>
        </w:rPr>
        <w:t>ssum</w:t>
      </w:r>
      <w:r w:rsidRPr="0028108F">
        <w:rPr>
          <w:rFonts w:ascii="Arial" w:hAnsi="Arial" w:cs="Arial"/>
          <w:color w:val="000000" w:themeColor="text1"/>
          <w:szCs w:val="24"/>
          <w:lang w:val="en-GB"/>
        </w:rPr>
        <w:t>ing</w:t>
      </w:r>
      <w:r w:rsidR="001D0C3A"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a</w:t>
      </w:r>
      <w:r w:rsidR="001544FD" w:rsidRPr="0028108F">
        <w:rPr>
          <w:rFonts w:ascii="Arial" w:hAnsi="Arial" w:cs="Arial"/>
          <w:color w:val="000000" w:themeColor="text1"/>
          <w:szCs w:val="24"/>
          <w:lang w:val="en-GB"/>
        </w:rPr>
        <w:t xml:space="preserve"> gender recognition scheme</w:t>
      </w:r>
      <w:r w:rsidRPr="0028108F">
        <w:rPr>
          <w:rFonts w:ascii="Arial" w:hAnsi="Arial" w:cs="Arial"/>
          <w:color w:val="000000" w:themeColor="text1"/>
          <w:szCs w:val="24"/>
          <w:lang w:val="en-GB"/>
        </w:rPr>
        <w:t xml:space="preserve"> is</w:t>
      </w:r>
      <w:r w:rsidR="001544FD" w:rsidRPr="0028108F">
        <w:rPr>
          <w:rFonts w:ascii="Arial" w:hAnsi="Arial" w:cs="Arial"/>
          <w:color w:val="000000" w:themeColor="text1"/>
          <w:szCs w:val="24"/>
          <w:lang w:val="en-GB"/>
        </w:rPr>
        <w:t xml:space="preserve"> to be introduced</w:t>
      </w:r>
      <w:r w:rsidRPr="0028108F">
        <w:rPr>
          <w:rFonts w:ascii="Arial" w:hAnsi="Arial" w:cs="Arial"/>
          <w:color w:val="000000" w:themeColor="text1"/>
          <w:szCs w:val="24"/>
          <w:lang w:val="en-GB"/>
        </w:rPr>
        <w:t xml:space="preserve"> in Hong Kong</w:t>
      </w:r>
      <w:r w:rsidR="001544FD"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and it </w:t>
      </w:r>
      <w:r w:rsidR="001544FD" w:rsidRPr="0028108F">
        <w:rPr>
          <w:rFonts w:ascii="Arial" w:hAnsi="Arial" w:cs="Arial"/>
          <w:color w:val="000000" w:themeColor="text1"/>
          <w:szCs w:val="24"/>
          <w:lang w:val="en-GB"/>
        </w:rPr>
        <w:t xml:space="preserve">includes medical pre-conditions, the involvement of </w:t>
      </w:r>
      <w:r w:rsidR="001544FD" w:rsidRPr="0028108F">
        <w:rPr>
          <w:rFonts w:ascii="Arial" w:hAnsi="Arial" w:cs="Arial"/>
          <w:szCs w:val="24"/>
          <w:lang w:val="en-GB"/>
        </w:rPr>
        <w:t>medical</w:t>
      </w:r>
      <w:r w:rsidR="001544FD" w:rsidRPr="0028108F">
        <w:rPr>
          <w:rFonts w:ascii="Arial" w:hAnsi="Arial" w:cs="Arial"/>
          <w:color w:val="000000" w:themeColor="text1"/>
          <w:szCs w:val="24"/>
          <w:lang w:val="en-GB"/>
        </w:rPr>
        <w:t xml:space="preserve"> members in such a statutory authority would</w:t>
      </w:r>
      <w:r w:rsidRPr="0028108F">
        <w:rPr>
          <w:rFonts w:ascii="Arial" w:hAnsi="Arial" w:cs="Arial"/>
          <w:color w:val="000000" w:themeColor="text1"/>
          <w:szCs w:val="24"/>
          <w:lang w:val="en-GB"/>
        </w:rPr>
        <w:t xml:space="preserve"> </w:t>
      </w:r>
      <w:r w:rsidR="001544FD" w:rsidRPr="0028108F">
        <w:rPr>
          <w:rFonts w:ascii="Arial" w:hAnsi="Arial" w:cs="Arial"/>
          <w:color w:val="000000" w:themeColor="text1"/>
          <w:szCs w:val="24"/>
          <w:lang w:val="en-GB"/>
        </w:rPr>
        <w:t>be significant,</w:t>
      </w:r>
      <w:r w:rsidR="001544FD" w:rsidRPr="0028108F">
        <w:rPr>
          <w:rFonts w:ascii="Arial" w:hAnsi="Arial" w:cs="Arial"/>
          <w:lang w:val="en-GB"/>
        </w:rPr>
        <w:t xml:space="preserve"> </w:t>
      </w:r>
      <w:r w:rsidR="001544FD" w:rsidRPr="0028108F">
        <w:rPr>
          <w:rFonts w:ascii="Arial" w:hAnsi="Arial" w:cs="Arial"/>
          <w:color w:val="000000" w:themeColor="text1"/>
          <w:szCs w:val="24"/>
          <w:lang w:val="en-GB"/>
        </w:rPr>
        <w:t xml:space="preserve">not for making a diagnosis (this would be provided by the person </w:t>
      </w:r>
      <w:r w:rsidR="001544FD" w:rsidRPr="0028108F">
        <w:rPr>
          <w:rFonts w:ascii="Arial" w:hAnsi="Arial" w:cs="Arial"/>
          <w:szCs w:val="24"/>
          <w:lang w:val="en-GB"/>
        </w:rPr>
        <w:t>practising</w:t>
      </w:r>
      <w:r w:rsidR="001544FD" w:rsidRPr="0028108F">
        <w:rPr>
          <w:rFonts w:ascii="Arial" w:hAnsi="Arial" w:cs="Arial"/>
          <w:color w:val="000000" w:themeColor="text1"/>
          <w:szCs w:val="24"/>
          <w:lang w:val="en-GB"/>
        </w:rPr>
        <w:t xml:space="preserve"> in the field of gender dysphoria) but </w:t>
      </w:r>
      <w:r w:rsidR="000F05FB" w:rsidRPr="0028108F">
        <w:rPr>
          <w:rFonts w:ascii="Arial" w:hAnsi="Arial" w:cs="Arial"/>
          <w:color w:val="000000" w:themeColor="text1"/>
          <w:szCs w:val="24"/>
          <w:lang w:val="en-GB"/>
        </w:rPr>
        <w:t>ensuring</w:t>
      </w:r>
      <w:r w:rsidR="001544FD" w:rsidRPr="0028108F">
        <w:rPr>
          <w:rFonts w:ascii="Arial" w:hAnsi="Arial" w:cs="Arial"/>
          <w:color w:val="000000" w:themeColor="text1"/>
          <w:szCs w:val="24"/>
          <w:lang w:val="en-GB"/>
        </w:rPr>
        <w:t xml:space="preserve"> that the medical evidence could be properly understood</w:t>
      </w:r>
      <w:r w:rsidR="000F05FB" w:rsidRPr="0028108F">
        <w:rPr>
          <w:rFonts w:ascii="Arial" w:hAnsi="Arial" w:cs="Arial"/>
          <w:color w:val="000000" w:themeColor="text1"/>
          <w:szCs w:val="24"/>
          <w:lang w:val="en-GB"/>
        </w:rPr>
        <w:t xml:space="preserve"> by the authority</w:t>
      </w:r>
      <w:r w:rsidRPr="0028108F">
        <w:rPr>
          <w:rFonts w:ascii="Arial" w:hAnsi="Arial" w:cs="Arial"/>
          <w:color w:val="000000" w:themeColor="text1"/>
          <w:szCs w:val="24"/>
          <w:lang w:val="en-GB"/>
        </w:rPr>
        <w:t>.  This view was made</w:t>
      </w:r>
      <w:r w:rsidR="001544FD" w:rsidRPr="0028108F">
        <w:rPr>
          <w:rFonts w:ascii="Arial" w:hAnsi="Arial" w:cs="Arial"/>
          <w:color w:val="000000" w:themeColor="text1"/>
          <w:szCs w:val="24"/>
          <w:lang w:val="en-GB"/>
        </w:rPr>
        <w:t xml:space="preserve"> by Lord Filkin in the House of Lords second reading debate upon the UK Gender Recognition Bill in early 2004.</w:t>
      </w:r>
      <w:r w:rsidR="001544FD" w:rsidRPr="0028108F">
        <w:rPr>
          <w:rStyle w:val="FootnoteReference"/>
          <w:rFonts w:ascii="Arial" w:hAnsi="Arial" w:cs="Arial"/>
          <w:color w:val="000000" w:themeColor="text1"/>
          <w:szCs w:val="24"/>
          <w:lang w:val="en-GB"/>
        </w:rPr>
        <w:footnoteReference w:id="820"/>
      </w:r>
      <w:r w:rsidR="001544FD" w:rsidRPr="0028108F">
        <w:rPr>
          <w:rFonts w:ascii="Arial" w:hAnsi="Arial" w:cs="Arial"/>
          <w:color w:val="000000" w:themeColor="text1"/>
          <w:szCs w:val="24"/>
          <w:lang w:val="en-GB"/>
        </w:rPr>
        <w:t xml:space="preserve">  In t</w:t>
      </w:r>
      <w:r w:rsidR="001544FD" w:rsidRPr="0028108F">
        <w:rPr>
          <w:rFonts w:ascii="Arial" w:hAnsi="Arial" w:cs="Arial"/>
          <w:szCs w:val="24"/>
          <w:lang w:val="en-GB"/>
        </w:rPr>
        <w:t xml:space="preserve">he UK, the size of the GRP could be as small as </w:t>
      </w:r>
      <w:r w:rsidR="00A17EB3" w:rsidRPr="0028108F">
        <w:rPr>
          <w:rFonts w:ascii="Arial" w:hAnsi="Arial" w:cs="Arial"/>
          <w:szCs w:val="24"/>
          <w:lang w:val="en-GB"/>
        </w:rPr>
        <w:t>comprising</w:t>
      </w:r>
      <w:r w:rsidR="001544FD" w:rsidRPr="0028108F">
        <w:rPr>
          <w:rFonts w:ascii="Arial" w:hAnsi="Arial" w:cs="Arial"/>
          <w:szCs w:val="24"/>
          <w:lang w:val="en-GB"/>
        </w:rPr>
        <w:t xml:space="preserve"> only one </w:t>
      </w:r>
      <w:r w:rsidR="007C51FA">
        <w:rPr>
          <w:rFonts w:ascii="Arial" w:hAnsi="Arial" w:cs="Arial"/>
          <w:szCs w:val="24"/>
          <w:lang w:val="en-GB"/>
        </w:rPr>
        <w:t>legal member (</w:t>
      </w:r>
      <w:r w:rsidR="00944774">
        <w:rPr>
          <w:rFonts w:ascii="Arial" w:hAnsi="Arial" w:cs="Arial"/>
          <w:szCs w:val="24"/>
          <w:lang w:val="en-GB"/>
        </w:rPr>
        <w:t xml:space="preserve">eg, </w:t>
      </w:r>
      <w:r w:rsidR="007C51FA">
        <w:rPr>
          <w:rFonts w:ascii="Arial" w:hAnsi="Arial" w:cs="Arial"/>
          <w:szCs w:val="24"/>
          <w:lang w:val="en-GB"/>
        </w:rPr>
        <w:t xml:space="preserve">lawyer or judge) </w:t>
      </w:r>
      <w:r w:rsidR="001544FD" w:rsidRPr="0028108F">
        <w:rPr>
          <w:rFonts w:ascii="Arial" w:hAnsi="Arial" w:cs="Arial"/>
          <w:szCs w:val="24"/>
          <w:lang w:val="en-GB"/>
        </w:rPr>
        <w:t xml:space="preserve">and one </w:t>
      </w:r>
      <w:r w:rsidR="007C51FA">
        <w:rPr>
          <w:rFonts w:ascii="Arial" w:hAnsi="Arial" w:cs="Arial"/>
          <w:szCs w:val="24"/>
          <w:lang w:val="en-GB"/>
        </w:rPr>
        <w:t>medical member (</w:t>
      </w:r>
      <w:r w:rsidR="00944774">
        <w:rPr>
          <w:rFonts w:ascii="Arial" w:hAnsi="Arial" w:cs="Arial"/>
          <w:szCs w:val="24"/>
          <w:lang w:val="en-GB"/>
        </w:rPr>
        <w:t xml:space="preserve">eg, </w:t>
      </w:r>
      <w:r w:rsidR="007C51FA">
        <w:rPr>
          <w:rFonts w:ascii="Arial" w:hAnsi="Arial" w:cs="Arial"/>
          <w:szCs w:val="24"/>
          <w:lang w:val="en-GB"/>
        </w:rPr>
        <w:t>doctor or psychiatrist)</w:t>
      </w:r>
      <w:r w:rsidR="001544FD" w:rsidRPr="0028108F">
        <w:rPr>
          <w:rFonts w:ascii="Arial" w:hAnsi="Arial" w:cs="Arial"/>
          <w:szCs w:val="24"/>
          <w:lang w:val="en-GB"/>
        </w:rPr>
        <w:t>, provided that they had long-term experience of sitting on the Panel for the assessment</w:t>
      </w:r>
      <w:r w:rsidR="00A17EB3" w:rsidRPr="0028108F">
        <w:rPr>
          <w:rFonts w:ascii="Arial" w:hAnsi="Arial" w:cs="Arial"/>
          <w:szCs w:val="24"/>
          <w:lang w:val="en-GB"/>
        </w:rPr>
        <w:t>,</w:t>
      </w:r>
      <w:r w:rsidR="001544FD" w:rsidRPr="0028108F">
        <w:rPr>
          <w:rFonts w:ascii="Arial" w:hAnsi="Arial" w:cs="Arial"/>
          <w:szCs w:val="24"/>
          <w:lang w:val="en-GB"/>
        </w:rPr>
        <w:t xml:space="preserve"> and the applications concerned were relatively straightforward (</w:t>
      </w:r>
      <w:r w:rsidR="00D6311F" w:rsidRPr="0028108F">
        <w:rPr>
          <w:rFonts w:ascii="Arial" w:hAnsi="Arial" w:cs="Arial"/>
          <w:szCs w:val="24"/>
          <w:lang w:val="en-GB"/>
        </w:rPr>
        <w:t>eg</w:t>
      </w:r>
      <w:r w:rsidR="00940215" w:rsidRPr="0028108F">
        <w:rPr>
          <w:rFonts w:ascii="Arial" w:hAnsi="Arial" w:cs="Arial"/>
          <w:szCs w:val="24"/>
          <w:lang w:val="en-GB"/>
        </w:rPr>
        <w:t>,</w:t>
      </w:r>
      <w:r w:rsidR="001544FD" w:rsidRPr="0028108F">
        <w:rPr>
          <w:rFonts w:ascii="Arial" w:hAnsi="Arial" w:cs="Arial"/>
          <w:szCs w:val="24"/>
          <w:lang w:val="en-GB"/>
        </w:rPr>
        <w:t xml:space="preserve"> where the applicant had undergone full SRS).  For more complex cases, the </w:t>
      </w:r>
      <w:r w:rsidRPr="0028108F">
        <w:rPr>
          <w:rFonts w:ascii="Arial" w:hAnsi="Arial" w:cs="Arial"/>
          <w:szCs w:val="24"/>
          <w:lang w:val="en-GB"/>
        </w:rPr>
        <w:t xml:space="preserve">GPR </w:t>
      </w:r>
      <w:r w:rsidR="001544FD" w:rsidRPr="0028108F">
        <w:rPr>
          <w:rFonts w:ascii="Arial" w:hAnsi="Arial" w:cs="Arial"/>
          <w:szCs w:val="24"/>
          <w:lang w:val="en-GB"/>
        </w:rPr>
        <w:t xml:space="preserve">would usually consist of at least a lawyer, a doctor and a psychiatrist with expertise in the subject area.    </w:t>
      </w:r>
    </w:p>
    <w:p w:rsidR="001544FD" w:rsidRPr="0028108F"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28108F" w:rsidRDefault="001544FD" w:rsidP="00F532D8">
      <w:pPr>
        <w:pStyle w:val="ListParagraph"/>
        <w:numPr>
          <w:ilvl w:val="0"/>
          <w:numId w:val="105"/>
        </w:numPr>
        <w:tabs>
          <w:tab w:val="left" w:pos="1418"/>
        </w:tabs>
        <w:adjustRightInd w:val="0"/>
        <w:snapToGrid w:val="0"/>
        <w:ind w:leftChars="0" w:left="0" w:firstLine="0"/>
        <w:jc w:val="both"/>
        <w:rPr>
          <w:rFonts w:ascii="Arial" w:hAnsi="Arial" w:cs="Arial"/>
          <w:szCs w:val="24"/>
          <w:lang w:val="en-GB"/>
        </w:rPr>
      </w:pPr>
      <w:r w:rsidRPr="0028108F">
        <w:rPr>
          <w:rFonts w:ascii="Arial" w:hAnsi="Arial" w:cs="Arial"/>
          <w:szCs w:val="24"/>
          <w:lang w:val="en-GB"/>
        </w:rPr>
        <w:t>However, a</w:t>
      </w:r>
      <w:r w:rsidRPr="0028108F">
        <w:rPr>
          <w:rFonts w:ascii="Arial" w:hAnsi="Arial" w:cs="Arial"/>
          <w:color w:val="000000" w:themeColor="text1"/>
          <w:szCs w:val="24"/>
          <w:lang w:val="en-GB"/>
        </w:rPr>
        <w:t xml:space="preserve"> potential stumbling block of establishing a similar authority as the UK’s GRP in Hong Kong is the foreseeable difficulty of engaging sufficient </w:t>
      </w:r>
      <w:r w:rsidRPr="0028108F">
        <w:rPr>
          <w:rFonts w:ascii="Arial" w:hAnsi="Arial" w:cs="Arial"/>
          <w:szCs w:val="24"/>
          <w:lang w:val="en-GB"/>
        </w:rPr>
        <w:t>medical</w:t>
      </w:r>
      <w:r w:rsidRPr="0028108F">
        <w:rPr>
          <w:rFonts w:ascii="Arial" w:hAnsi="Arial" w:cs="Arial"/>
          <w:color w:val="000000" w:themeColor="text1"/>
          <w:szCs w:val="24"/>
          <w:lang w:val="en-GB"/>
        </w:rPr>
        <w:t xml:space="preserve"> experts with expertise in the field of transgenderism to sit on such an authority.  </w:t>
      </w:r>
      <w:r w:rsidR="00636967" w:rsidRPr="0028108F">
        <w:rPr>
          <w:rFonts w:ascii="Arial" w:hAnsi="Arial" w:cs="Arial"/>
          <w:color w:val="000000" w:themeColor="text1"/>
          <w:szCs w:val="24"/>
          <w:lang w:val="en-GB"/>
        </w:rPr>
        <w:t>M</w:t>
      </w:r>
      <w:r w:rsidRPr="0028108F">
        <w:rPr>
          <w:rFonts w:ascii="Arial" w:hAnsi="Arial" w:cs="Arial"/>
          <w:color w:val="000000" w:themeColor="text1"/>
          <w:szCs w:val="24"/>
          <w:lang w:val="en-GB"/>
        </w:rPr>
        <w:t xml:space="preserve">any medical experts </w:t>
      </w:r>
      <w:r w:rsidR="00A17EB3" w:rsidRPr="0028108F">
        <w:rPr>
          <w:rFonts w:ascii="Arial" w:hAnsi="Arial" w:cs="Arial"/>
          <w:color w:val="000000" w:themeColor="text1"/>
          <w:szCs w:val="24"/>
          <w:lang w:val="en-GB"/>
        </w:rPr>
        <w:t xml:space="preserve">with </w:t>
      </w:r>
      <w:r w:rsidRPr="0028108F">
        <w:rPr>
          <w:rFonts w:ascii="Arial" w:hAnsi="Arial" w:cs="Arial"/>
          <w:color w:val="000000" w:themeColor="text1"/>
          <w:szCs w:val="24"/>
          <w:lang w:val="en-GB"/>
        </w:rPr>
        <w:t xml:space="preserve">such expertise are </w:t>
      </w:r>
      <w:r w:rsidR="00A17EB3" w:rsidRPr="0028108F">
        <w:rPr>
          <w:rFonts w:ascii="Arial" w:hAnsi="Arial" w:cs="Arial"/>
          <w:color w:val="000000" w:themeColor="text1"/>
          <w:szCs w:val="24"/>
          <w:lang w:val="en-GB"/>
        </w:rPr>
        <w:t xml:space="preserve">active </w:t>
      </w:r>
      <w:r w:rsidRPr="0028108F">
        <w:rPr>
          <w:rFonts w:ascii="Arial" w:hAnsi="Arial" w:cs="Arial"/>
          <w:color w:val="000000" w:themeColor="text1"/>
          <w:szCs w:val="24"/>
          <w:lang w:val="en-GB"/>
        </w:rPr>
        <w:t xml:space="preserve">medical practitioners, </w:t>
      </w:r>
      <w:r w:rsidR="00A17EB3" w:rsidRPr="0028108F">
        <w:rPr>
          <w:rFonts w:ascii="Arial" w:hAnsi="Arial" w:cs="Arial"/>
          <w:color w:val="000000" w:themeColor="text1"/>
          <w:szCs w:val="24"/>
          <w:lang w:val="en-GB"/>
        </w:rPr>
        <w:t>who</w:t>
      </w:r>
      <w:r w:rsidR="00636967" w:rsidRPr="0028108F">
        <w:rPr>
          <w:rFonts w:ascii="Arial" w:hAnsi="Arial" w:cs="Arial"/>
          <w:color w:val="000000" w:themeColor="text1"/>
          <w:szCs w:val="24"/>
          <w:lang w:val="en-GB"/>
        </w:rPr>
        <w:t xml:space="preserve"> </w:t>
      </w:r>
      <w:r w:rsidRPr="0028108F">
        <w:rPr>
          <w:rFonts w:ascii="Arial" w:hAnsi="Arial" w:cs="Arial"/>
          <w:color w:val="000000" w:themeColor="text1"/>
          <w:szCs w:val="24"/>
          <w:lang w:val="en-GB"/>
        </w:rPr>
        <w:t xml:space="preserve">they might </w:t>
      </w:r>
      <w:r w:rsidR="00A17EB3" w:rsidRPr="0028108F">
        <w:rPr>
          <w:rFonts w:ascii="Arial" w:hAnsi="Arial" w:cs="Arial"/>
          <w:color w:val="000000" w:themeColor="text1"/>
          <w:szCs w:val="24"/>
          <w:lang w:val="en-GB"/>
        </w:rPr>
        <w:t>be placed in a</w:t>
      </w:r>
      <w:r w:rsidRPr="0028108F">
        <w:rPr>
          <w:rFonts w:ascii="Arial" w:hAnsi="Arial" w:cs="Arial"/>
          <w:color w:val="000000" w:themeColor="text1"/>
          <w:szCs w:val="24"/>
          <w:lang w:val="en-GB"/>
        </w:rPr>
        <w:t xml:space="preserve"> conflict of interest </w:t>
      </w:r>
      <w:r w:rsidR="00A17EB3" w:rsidRPr="0028108F">
        <w:rPr>
          <w:rFonts w:ascii="Arial" w:hAnsi="Arial" w:cs="Arial"/>
          <w:color w:val="000000" w:themeColor="text1"/>
          <w:szCs w:val="24"/>
          <w:lang w:val="en-GB"/>
        </w:rPr>
        <w:t>situation when</w:t>
      </w:r>
      <w:r w:rsidRPr="0028108F">
        <w:rPr>
          <w:rFonts w:ascii="Arial" w:hAnsi="Arial" w:cs="Arial"/>
          <w:color w:val="000000" w:themeColor="text1"/>
          <w:szCs w:val="24"/>
          <w:lang w:val="en-GB"/>
        </w:rPr>
        <w:t xml:space="preserve"> sit</w:t>
      </w:r>
      <w:r w:rsidR="00636967" w:rsidRPr="0028108F">
        <w:rPr>
          <w:rFonts w:ascii="Arial" w:hAnsi="Arial" w:cs="Arial"/>
          <w:color w:val="000000" w:themeColor="text1"/>
          <w:szCs w:val="24"/>
          <w:lang w:val="en-GB"/>
        </w:rPr>
        <w:t>ting</w:t>
      </w:r>
      <w:r w:rsidRPr="0028108F">
        <w:rPr>
          <w:rFonts w:ascii="Arial" w:hAnsi="Arial" w:cs="Arial"/>
          <w:color w:val="000000" w:themeColor="text1"/>
          <w:szCs w:val="24"/>
          <w:lang w:val="en-GB"/>
        </w:rPr>
        <w:t xml:space="preserve"> </w:t>
      </w:r>
      <w:r w:rsidR="00A17EB3" w:rsidRPr="0028108F">
        <w:rPr>
          <w:rFonts w:ascii="Arial" w:hAnsi="Arial" w:cs="Arial"/>
          <w:color w:val="000000" w:themeColor="text1"/>
          <w:szCs w:val="24"/>
          <w:lang w:val="en-GB"/>
        </w:rPr>
        <w:t>on</w:t>
      </w:r>
      <w:r w:rsidRPr="0028108F">
        <w:rPr>
          <w:rFonts w:ascii="Arial" w:hAnsi="Arial" w:cs="Arial"/>
          <w:color w:val="000000" w:themeColor="text1"/>
          <w:szCs w:val="24"/>
          <w:lang w:val="en-GB"/>
        </w:rPr>
        <w:t xml:space="preserve"> the panel for determination of an application for gender recognition by </w:t>
      </w:r>
      <w:r w:rsidR="00636967" w:rsidRPr="0028108F">
        <w:rPr>
          <w:rFonts w:ascii="Arial" w:hAnsi="Arial" w:cs="Arial"/>
          <w:color w:val="000000" w:themeColor="text1"/>
          <w:szCs w:val="24"/>
          <w:lang w:val="en-GB"/>
        </w:rPr>
        <w:t>a</w:t>
      </w:r>
      <w:r w:rsidRPr="0028108F">
        <w:rPr>
          <w:rFonts w:ascii="Arial" w:hAnsi="Arial" w:cs="Arial"/>
          <w:color w:val="000000" w:themeColor="text1"/>
          <w:szCs w:val="24"/>
          <w:lang w:val="en-GB"/>
        </w:rPr>
        <w:t xml:space="preserve"> patient </w:t>
      </w:r>
      <w:r w:rsidR="00636967" w:rsidRPr="0028108F">
        <w:rPr>
          <w:rFonts w:ascii="Arial" w:hAnsi="Arial" w:cs="Arial"/>
          <w:color w:val="000000" w:themeColor="text1"/>
          <w:szCs w:val="24"/>
          <w:lang w:val="en-GB"/>
        </w:rPr>
        <w:t xml:space="preserve">whom </w:t>
      </w:r>
      <w:r w:rsidRPr="0028108F">
        <w:rPr>
          <w:rFonts w:ascii="Arial" w:hAnsi="Arial" w:cs="Arial"/>
          <w:color w:val="000000" w:themeColor="text1"/>
          <w:szCs w:val="24"/>
          <w:lang w:val="en-GB"/>
        </w:rPr>
        <w:t>they have treated or are treating.</w:t>
      </w:r>
    </w:p>
    <w:p w:rsidR="001544FD" w:rsidRPr="0028108F" w:rsidRDefault="001544FD" w:rsidP="00961014">
      <w:pPr>
        <w:tabs>
          <w:tab w:val="left" w:pos="1418"/>
          <w:tab w:val="left" w:pos="2552"/>
        </w:tabs>
        <w:autoSpaceDE w:val="0"/>
        <w:autoSpaceDN w:val="0"/>
        <w:adjustRightInd w:val="0"/>
        <w:snapToGrid w:val="0"/>
        <w:ind w:left="960"/>
        <w:jc w:val="both"/>
        <w:rPr>
          <w:rFonts w:ascii="Arial" w:hAnsi="Arial" w:cs="Arial"/>
          <w:szCs w:val="24"/>
          <w:lang w:val="en-GB"/>
        </w:rPr>
      </w:pPr>
    </w:p>
    <w:p w:rsidR="001544FD" w:rsidRPr="00181CF2"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It might be possible to engage overseas experts, but it is uncertain whether </w:t>
      </w:r>
      <w:r w:rsidR="00636967" w:rsidRPr="0028108F">
        <w:rPr>
          <w:rFonts w:ascii="Arial" w:hAnsi="Arial" w:cs="Arial"/>
          <w:color w:val="000000" w:themeColor="text1"/>
          <w:szCs w:val="24"/>
          <w:lang w:val="en-GB"/>
        </w:rPr>
        <w:t>they</w:t>
      </w:r>
      <w:r w:rsidRPr="0028108F">
        <w:rPr>
          <w:rFonts w:ascii="Arial" w:hAnsi="Arial" w:cs="Arial"/>
          <w:color w:val="000000" w:themeColor="text1"/>
          <w:szCs w:val="24"/>
          <w:lang w:val="en-GB"/>
        </w:rPr>
        <w:t xml:space="preserve"> would have sufficient knowledge o</w:t>
      </w:r>
      <w:r w:rsidR="00A17EB3" w:rsidRPr="0028108F">
        <w:rPr>
          <w:rFonts w:ascii="Arial" w:hAnsi="Arial" w:cs="Arial"/>
          <w:color w:val="000000" w:themeColor="text1"/>
          <w:szCs w:val="24"/>
          <w:lang w:val="en-GB"/>
        </w:rPr>
        <w:t>f</w:t>
      </w:r>
      <w:r w:rsidRPr="0028108F">
        <w:rPr>
          <w:rFonts w:ascii="Arial" w:hAnsi="Arial" w:cs="Arial"/>
          <w:color w:val="000000" w:themeColor="text1"/>
          <w:szCs w:val="24"/>
          <w:lang w:val="en-GB"/>
        </w:rPr>
        <w:t xml:space="preserve"> </w:t>
      </w:r>
      <w:r w:rsidR="00940B40">
        <w:rPr>
          <w:rFonts w:ascii="Arial" w:hAnsi="Arial" w:cs="Arial"/>
          <w:color w:val="000000" w:themeColor="text1"/>
          <w:szCs w:val="24"/>
          <w:lang w:val="en-GB"/>
        </w:rPr>
        <w:t xml:space="preserve">all the relevant circumstances including </w:t>
      </w:r>
      <w:r w:rsidRPr="0028108F">
        <w:rPr>
          <w:rFonts w:ascii="Arial" w:hAnsi="Arial" w:cs="Arial"/>
          <w:color w:val="000000" w:themeColor="text1"/>
          <w:szCs w:val="24"/>
          <w:lang w:val="en-GB"/>
        </w:rPr>
        <w:t xml:space="preserve">the daily life of the transgender community in Hong Kong, which </w:t>
      </w:r>
      <w:r w:rsidR="00A17EB3" w:rsidRPr="0028108F">
        <w:rPr>
          <w:rFonts w:ascii="Arial" w:hAnsi="Arial" w:cs="Arial"/>
          <w:color w:val="000000" w:themeColor="text1"/>
          <w:szCs w:val="24"/>
          <w:lang w:val="en-GB"/>
        </w:rPr>
        <w:t xml:space="preserve">may </w:t>
      </w:r>
      <w:r w:rsidRPr="0028108F">
        <w:rPr>
          <w:rFonts w:ascii="Arial" w:hAnsi="Arial" w:cs="Arial"/>
          <w:color w:val="000000" w:themeColor="text1"/>
          <w:szCs w:val="24"/>
          <w:lang w:val="en-GB"/>
        </w:rPr>
        <w:t>affect their assess</w:t>
      </w:r>
      <w:r w:rsidR="005C43B6" w:rsidRPr="0028108F">
        <w:rPr>
          <w:rFonts w:ascii="Arial" w:hAnsi="Arial" w:cs="Arial"/>
          <w:color w:val="000000" w:themeColor="text1"/>
          <w:szCs w:val="24"/>
          <w:lang w:val="en-GB"/>
        </w:rPr>
        <w:t xml:space="preserve">ment </w:t>
      </w:r>
      <w:r w:rsidR="00A17EB3" w:rsidRPr="0028108F">
        <w:rPr>
          <w:rFonts w:ascii="Arial" w:hAnsi="Arial" w:cs="Arial"/>
          <w:color w:val="000000" w:themeColor="text1"/>
          <w:szCs w:val="24"/>
          <w:lang w:val="en-GB"/>
        </w:rPr>
        <w:t xml:space="preserve">of </w:t>
      </w:r>
      <w:r w:rsidR="005C43B6" w:rsidRPr="0028108F">
        <w:rPr>
          <w:rFonts w:ascii="Arial" w:hAnsi="Arial" w:cs="Arial"/>
          <w:color w:val="000000" w:themeColor="text1"/>
          <w:szCs w:val="24"/>
          <w:lang w:val="en-GB"/>
        </w:rPr>
        <w:t>whether</w:t>
      </w:r>
      <w:r w:rsidRPr="0028108F">
        <w:rPr>
          <w:rFonts w:ascii="Arial" w:hAnsi="Arial" w:cs="Arial"/>
          <w:color w:val="000000" w:themeColor="text1"/>
          <w:szCs w:val="24"/>
          <w:lang w:val="en-GB"/>
        </w:rPr>
        <w:t xml:space="preserve"> the applicants could </w:t>
      </w:r>
      <w:r w:rsidR="00A17EB3" w:rsidRPr="0028108F">
        <w:rPr>
          <w:rFonts w:ascii="Arial" w:hAnsi="Arial" w:cs="Arial"/>
          <w:color w:val="000000" w:themeColor="text1"/>
          <w:szCs w:val="24"/>
          <w:lang w:val="en-GB"/>
        </w:rPr>
        <w:t xml:space="preserve">live in </w:t>
      </w:r>
      <w:r w:rsidRPr="0028108F">
        <w:rPr>
          <w:rFonts w:ascii="Arial" w:hAnsi="Arial" w:cs="Arial"/>
          <w:color w:val="000000" w:themeColor="text1"/>
          <w:szCs w:val="24"/>
          <w:lang w:val="en-GB"/>
        </w:rPr>
        <w:t xml:space="preserve">their acquired gender in the future.  As </w:t>
      </w:r>
      <w:r w:rsidR="005A0374" w:rsidRPr="0028108F">
        <w:rPr>
          <w:rFonts w:ascii="Arial" w:hAnsi="Arial" w:cs="Arial"/>
          <w:color w:val="000000" w:themeColor="text1"/>
          <w:szCs w:val="24"/>
          <w:lang w:val="en-GB"/>
        </w:rPr>
        <w:t xml:space="preserve">commented by </w:t>
      </w:r>
      <w:r w:rsidRPr="0028108F">
        <w:rPr>
          <w:rFonts w:ascii="Arial" w:hAnsi="Arial" w:cs="Arial"/>
          <w:color w:val="000000" w:themeColor="text1"/>
          <w:szCs w:val="24"/>
          <w:lang w:val="en-GB"/>
        </w:rPr>
        <w:t>Dr York Chow</w:t>
      </w:r>
      <w:r w:rsidR="005A0374" w:rsidRPr="0028108F">
        <w:rPr>
          <w:rFonts w:ascii="Arial" w:hAnsi="Arial" w:cs="Arial"/>
          <w:color w:val="000000" w:themeColor="text1"/>
          <w:szCs w:val="24"/>
          <w:lang w:val="en-GB"/>
        </w:rPr>
        <w:t>, former Secretary for Food and Health of Hong Kong</w:t>
      </w:r>
      <w:r w:rsidRPr="00181CF2">
        <w:rPr>
          <w:rStyle w:val="FootnoteReference"/>
          <w:rFonts w:ascii="Arial" w:hAnsi="Arial" w:cs="Arial"/>
          <w:color w:val="000000" w:themeColor="text1"/>
          <w:lang w:val="en-GB"/>
        </w:rPr>
        <w:footnoteReference w:id="821"/>
      </w:r>
      <w:r w:rsidRPr="00181CF2">
        <w:rPr>
          <w:rFonts w:ascii="Arial" w:hAnsi="Arial" w:cs="Arial"/>
          <w:color w:val="000000" w:themeColor="text1"/>
          <w:szCs w:val="24"/>
          <w:lang w:val="en-GB"/>
        </w:rPr>
        <w:t>:</w:t>
      </w:r>
    </w:p>
    <w:p w:rsidR="001544FD" w:rsidRPr="0028108F"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C57CE1" w:rsidRDefault="001544FD" w:rsidP="00961014">
      <w:pPr>
        <w:pStyle w:val="ListParagraph"/>
        <w:tabs>
          <w:tab w:val="left" w:pos="851"/>
        </w:tabs>
        <w:adjustRightInd w:val="0"/>
        <w:snapToGrid w:val="0"/>
        <w:ind w:leftChars="0" w:left="851" w:rightChars="212" w:right="509"/>
        <w:jc w:val="both"/>
        <w:rPr>
          <w:rFonts w:ascii="Arial" w:hAnsi="Arial" w:cs="Arial"/>
          <w:i/>
          <w:color w:val="000000" w:themeColor="text1"/>
          <w:szCs w:val="24"/>
          <w:lang w:val="en-GB"/>
        </w:rPr>
      </w:pPr>
      <w:r w:rsidRPr="00181CF2">
        <w:rPr>
          <w:rFonts w:ascii="Arial" w:hAnsi="Arial" w:cs="Arial"/>
          <w:i/>
          <w:color w:val="000000" w:themeColor="text1"/>
          <w:szCs w:val="24"/>
          <w:lang w:val="en-GB"/>
        </w:rPr>
        <w:t>“The process of gender identification and designation must be discussed beyond the medical aspect to include psychological, social and family considerati</w:t>
      </w:r>
      <w:r w:rsidRPr="00C57CE1">
        <w:rPr>
          <w:rFonts w:ascii="Arial" w:hAnsi="Arial" w:cs="Arial"/>
          <w:i/>
          <w:color w:val="000000" w:themeColor="text1"/>
          <w:szCs w:val="24"/>
          <w:lang w:val="en-GB"/>
        </w:rPr>
        <w:t>ons.  This must include how a transgender person interacts with society and their family, and how such interactions are influenced by socially constructed gender roles.”</w:t>
      </w:r>
    </w:p>
    <w:p w:rsidR="001544FD" w:rsidRPr="0028108F" w:rsidRDefault="001544FD" w:rsidP="001544FD">
      <w:pPr>
        <w:tabs>
          <w:tab w:val="left" w:pos="1418"/>
          <w:tab w:val="left" w:pos="2552"/>
        </w:tabs>
        <w:autoSpaceDE w:val="0"/>
        <w:autoSpaceDN w:val="0"/>
        <w:adjustRightInd w:val="0"/>
        <w:snapToGrid w:val="0"/>
        <w:jc w:val="both"/>
        <w:rPr>
          <w:rFonts w:ascii="Arial" w:hAnsi="Arial" w:cs="Arial"/>
          <w:color w:val="000000" w:themeColor="text1"/>
          <w:szCs w:val="24"/>
          <w:lang w:val="en-GB"/>
        </w:rPr>
      </w:pPr>
    </w:p>
    <w:p w:rsidR="00AD21E2" w:rsidRPr="0028108F" w:rsidRDefault="00AD21E2" w:rsidP="001544FD">
      <w:pPr>
        <w:tabs>
          <w:tab w:val="left" w:pos="1418"/>
          <w:tab w:val="left" w:pos="2552"/>
        </w:tabs>
        <w:autoSpaceDE w:val="0"/>
        <w:autoSpaceDN w:val="0"/>
        <w:adjustRightInd w:val="0"/>
        <w:snapToGrid w:val="0"/>
        <w:jc w:val="both"/>
        <w:rPr>
          <w:rFonts w:ascii="Arial" w:hAnsi="Arial" w:cs="Arial"/>
          <w:color w:val="000000" w:themeColor="text1"/>
          <w:szCs w:val="24"/>
          <w:lang w:val="en-GB"/>
        </w:rPr>
      </w:pPr>
    </w:p>
    <w:p w:rsidR="005A0374" w:rsidRPr="0028108F" w:rsidRDefault="005A0374" w:rsidP="0028108F">
      <w:pPr>
        <w:jc w:val="both"/>
        <w:rPr>
          <w:rFonts w:ascii="Arial" w:hAnsi="Arial" w:cs="Arial"/>
          <w:b/>
          <w:sz w:val="28"/>
          <w:szCs w:val="28"/>
          <w:lang w:val="en-GB"/>
        </w:rPr>
      </w:pPr>
      <w:r w:rsidRPr="0028108F">
        <w:rPr>
          <w:rFonts w:ascii="Arial" w:hAnsi="Arial" w:cs="Arial"/>
          <w:b/>
          <w:sz w:val="28"/>
          <w:szCs w:val="28"/>
          <w:lang w:val="en-GB"/>
        </w:rPr>
        <w:t>Issue for consultation</w:t>
      </w:r>
      <w:r w:rsidR="00084EA8" w:rsidRPr="00181CF2">
        <w:rPr>
          <w:rFonts w:ascii="Arial" w:hAnsi="Arial" w:cs="Arial"/>
          <w:b/>
          <w:sz w:val="28"/>
          <w:szCs w:val="28"/>
          <w:lang w:val="en-GB"/>
        </w:rPr>
        <w:t xml:space="preserve"> on authority to determine applications for gender recognition</w:t>
      </w:r>
    </w:p>
    <w:p w:rsidR="005A0374" w:rsidRPr="0028108F" w:rsidRDefault="005A0374" w:rsidP="005A0374">
      <w:pPr>
        <w:pStyle w:val="ListParagraph"/>
        <w:tabs>
          <w:tab w:val="left" w:pos="1418"/>
          <w:tab w:val="left" w:pos="2552"/>
        </w:tabs>
        <w:adjustRightInd w:val="0"/>
        <w:snapToGrid w:val="0"/>
        <w:ind w:leftChars="0" w:left="0"/>
        <w:jc w:val="both"/>
        <w:rPr>
          <w:rFonts w:ascii="Arial" w:hAnsi="Arial" w:cs="Arial"/>
          <w:szCs w:val="24"/>
          <w:lang w:val="en-GB"/>
        </w:rPr>
      </w:pP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AD21E2"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AD21E2" w:rsidRPr="0028108F">
        <w:rPr>
          <w:rFonts w:ascii="Arial" w:hAnsi="Arial" w:cs="Arial"/>
          <w:b/>
          <w:color w:val="000000" w:themeColor="text1"/>
          <w:szCs w:val="24"/>
          <w:u w:val="single"/>
          <w:lang w:val="en-GB"/>
        </w:rPr>
        <w:t xml:space="preserve"> </w:t>
      </w:r>
      <w:r w:rsidR="00AD21E2" w:rsidRPr="008813DE">
        <w:rPr>
          <w:rFonts w:ascii="Arial" w:hAnsi="Arial" w:cs="Arial"/>
          <w:b/>
          <w:color w:val="000000" w:themeColor="text1"/>
          <w:szCs w:val="24"/>
          <w:u w:val="single"/>
          <w:lang w:val="en-GB"/>
        </w:rPr>
        <w:t>15</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AD21E2" w:rsidRPr="0028108F">
        <w:rPr>
          <w:rFonts w:ascii="Arial" w:hAnsi="Arial" w:cs="Arial"/>
          <w:b/>
          <w:color w:val="000000" w:themeColor="text1"/>
          <w:szCs w:val="24"/>
          <w:lang w:val="en-GB"/>
        </w:rPr>
        <w:t xml:space="preserve"> the following matters.</w:t>
      </w:r>
    </w:p>
    <w:p w:rsidR="005A0374" w:rsidRPr="0028108F" w:rsidRDefault="005A0374" w:rsidP="005A0374">
      <w:pPr>
        <w:pBdr>
          <w:top w:val="single" w:sz="4" w:space="8" w:color="auto"/>
          <w:left w:val="single" w:sz="4" w:space="8" w:color="auto"/>
          <w:bottom w:val="single" w:sz="4" w:space="8" w:color="auto"/>
          <w:right w:val="single" w:sz="4" w:space="8" w:color="auto"/>
        </w:pBdr>
        <w:snapToGrid w:val="0"/>
        <w:ind w:left="720" w:right="720"/>
        <w:rPr>
          <w:rFonts w:ascii="Arial" w:hAnsi="Arial" w:cs="Arial"/>
          <w:szCs w:val="24"/>
          <w:lang w:val="en-GB"/>
        </w:rPr>
      </w:pPr>
    </w:p>
    <w:p w:rsidR="005A0374" w:rsidRPr="0028108F" w:rsidRDefault="005A0374" w:rsidP="0028108F">
      <w:pPr>
        <w:widowControl/>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w:t>
      </w:r>
      <w:r w:rsidR="00AD21E2"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ab/>
      </w:r>
      <w:r w:rsidR="00AD21E2"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n the event that a gender recognition scheme is </w:t>
      </w:r>
      <w:r w:rsidR="005E6528">
        <w:rPr>
          <w:rFonts w:ascii="Arial" w:hAnsi="Arial" w:cs="Arial" w:hint="eastAsia"/>
          <w:b/>
          <w:color w:val="000000" w:themeColor="text1"/>
          <w:szCs w:val="24"/>
          <w:lang w:val="en-GB"/>
        </w:rPr>
        <w:t xml:space="preserve">to be </w:t>
      </w:r>
      <w:r w:rsidRPr="0028108F">
        <w:rPr>
          <w:rFonts w:ascii="Arial" w:hAnsi="Arial" w:cs="Arial"/>
          <w:b/>
          <w:color w:val="000000" w:themeColor="text1"/>
          <w:szCs w:val="24"/>
          <w:lang w:val="en-GB"/>
        </w:rPr>
        <w:t xml:space="preserve">introduced in Hong Kong, whether the authority to determine applications for gender recognition should be a statutory body performing quasi-judicial or judicial functions (such as the UK’s GRP), an administrative body, the courts, or any professional body, and why.  </w:t>
      </w:r>
    </w:p>
    <w:p w:rsidR="005A0374" w:rsidRPr="00C57CE1"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w:t>
      </w:r>
      <w:r w:rsidR="00AD21E2"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ab/>
      </w:r>
      <w:r w:rsidR="00AD21E2" w:rsidRPr="0028108F">
        <w:rPr>
          <w:rFonts w:ascii="Arial" w:hAnsi="Arial" w:cs="Arial"/>
          <w:b/>
          <w:color w:val="000000" w:themeColor="text1"/>
          <w:szCs w:val="24"/>
          <w:lang w:val="en-GB"/>
        </w:rPr>
        <w:t>I</w:t>
      </w:r>
      <w:r w:rsidRPr="0028108F">
        <w:rPr>
          <w:rFonts w:ascii="Arial" w:hAnsi="Arial" w:cs="Arial"/>
          <w:b/>
          <w:color w:val="000000" w:themeColor="text1"/>
          <w:szCs w:val="24"/>
          <w:lang w:val="en-GB"/>
        </w:rPr>
        <w:t>f an authority other than the courts in paragraph (</w:t>
      </w:r>
      <w:r w:rsidR="00EA74A0" w:rsidRPr="0028108F">
        <w:rPr>
          <w:rFonts w:ascii="Arial" w:hAnsi="Arial" w:cs="Arial"/>
          <w:b/>
          <w:color w:val="000000" w:themeColor="text1"/>
          <w:szCs w:val="24"/>
          <w:lang w:val="en-GB"/>
        </w:rPr>
        <w:t>1</w:t>
      </w:r>
      <w:r w:rsidRPr="00181CF2">
        <w:rPr>
          <w:rFonts w:ascii="Arial" w:hAnsi="Arial" w:cs="Arial"/>
          <w:b/>
          <w:color w:val="000000" w:themeColor="text1"/>
          <w:szCs w:val="24"/>
          <w:lang w:val="en-GB"/>
        </w:rPr>
        <w:t>) is opted for, whether there are any particular aspects of that type of authority that should be adopted, or not ad</w:t>
      </w:r>
      <w:r w:rsidRPr="00C57CE1">
        <w:rPr>
          <w:rFonts w:ascii="Arial" w:hAnsi="Arial" w:cs="Arial"/>
          <w:b/>
          <w:color w:val="000000" w:themeColor="text1"/>
          <w:szCs w:val="24"/>
          <w:lang w:val="en-GB"/>
        </w:rPr>
        <w:t>opted, or modified to suit the circumstances of Hong Kong, and why.</w:t>
      </w: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5A0374" w:rsidRPr="0028108F" w:rsidRDefault="00EA74A0"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w:t>
      </w:r>
      <w:r w:rsidR="004A4809" w:rsidRPr="0028108F">
        <w:rPr>
          <w:rFonts w:ascii="Arial" w:hAnsi="Arial" w:cs="Arial"/>
          <w:b/>
          <w:color w:val="000000" w:themeColor="text1"/>
          <w:szCs w:val="24"/>
          <w:lang w:val="en-GB"/>
        </w:rPr>
        <w:t>3</w:t>
      </w:r>
      <w:r w:rsidRPr="0028108F">
        <w:rPr>
          <w:rFonts w:ascii="Arial" w:hAnsi="Arial" w:cs="Arial"/>
          <w:b/>
          <w:color w:val="000000" w:themeColor="text1"/>
          <w:szCs w:val="24"/>
          <w:lang w:val="en-GB"/>
        </w:rPr>
        <w:t>)</w:t>
      </w:r>
      <w:r w:rsidRPr="0028108F">
        <w:rPr>
          <w:rFonts w:ascii="Arial" w:hAnsi="Arial" w:cs="Arial"/>
          <w:b/>
          <w:color w:val="000000" w:themeColor="text1"/>
          <w:szCs w:val="24"/>
          <w:lang w:val="en-GB"/>
        </w:rPr>
        <w:tab/>
        <w:t>I</w:t>
      </w:r>
      <w:r w:rsidR="005A0374" w:rsidRPr="00181CF2">
        <w:rPr>
          <w:rFonts w:ascii="Arial" w:hAnsi="Arial" w:cs="Arial"/>
          <w:b/>
          <w:color w:val="000000" w:themeColor="text1"/>
          <w:szCs w:val="24"/>
          <w:lang w:val="en-GB"/>
        </w:rPr>
        <w:t>f an authority other than an administrative body and the courts in paragraph (2) is opted for, what type of members should be on the authority (with regard to the composition of the</w:t>
      </w:r>
      <w:r w:rsidR="005A0374" w:rsidRPr="00C57CE1">
        <w:rPr>
          <w:rFonts w:ascii="Arial" w:hAnsi="Arial" w:cs="Arial"/>
          <w:b/>
          <w:color w:val="000000" w:themeColor="text1"/>
          <w:szCs w:val="24"/>
          <w:lang w:val="en-GB"/>
        </w:rPr>
        <w:t xml:space="preserve"> authority to determine gender recognition applications).  For example, whether medical experts, such as psychiatrists, psychologists and surgeons, lawyers, other type(s) of members (</w:t>
      </w:r>
      <w:r w:rsidR="00D6311F" w:rsidRPr="0028108F">
        <w:rPr>
          <w:rFonts w:ascii="Arial" w:hAnsi="Arial" w:cs="Arial"/>
          <w:b/>
          <w:color w:val="000000" w:themeColor="text1"/>
          <w:szCs w:val="24"/>
          <w:lang w:val="en-GB"/>
        </w:rPr>
        <w:t>eg</w:t>
      </w:r>
      <w:r w:rsidR="005A0374" w:rsidRPr="0028108F">
        <w:rPr>
          <w:rFonts w:ascii="Arial" w:hAnsi="Arial" w:cs="Arial"/>
          <w:b/>
          <w:color w:val="000000" w:themeColor="text1"/>
          <w:szCs w:val="24"/>
          <w:lang w:val="en-GB"/>
        </w:rPr>
        <w:t>, social workers) and/or overseas experts should be included, and why.</w:t>
      </w:r>
    </w:p>
    <w:p w:rsidR="005A0374" w:rsidRPr="0028108F" w:rsidRDefault="005A0374" w:rsidP="005A0374">
      <w:pPr>
        <w:tabs>
          <w:tab w:val="left" w:pos="1418"/>
          <w:tab w:val="left" w:pos="2552"/>
        </w:tabs>
        <w:autoSpaceDE w:val="0"/>
        <w:autoSpaceDN w:val="0"/>
        <w:adjustRightInd w:val="0"/>
        <w:snapToGrid w:val="0"/>
        <w:jc w:val="both"/>
        <w:rPr>
          <w:rFonts w:ascii="Arial" w:hAnsi="Arial" w:cs="Arial"/>
          <w:color w:val="000000" w:themeColor="text1"/>
          <w:szCs w:val="24"/>
          <w:lang w:val="en-GB"/>
        </w:rPr>
      </w:pPr>
    </w:p>
    <w:p w:rsidR="001544FD" w:rsidRPr="0028108F" w:rsidRDefault="001544FD" w:rsidP="001544FD">
      <w:pPr>
        <w:tabs>
          <w:tab w:val="left" w:pos="1418"/>
          <w:tab w:val="left" w:pos="2552"/>
        </w:tabs>
        <w:autoSpaceDE w:val="0"/>
        <w:autoSpaceDN w:val="0"/>
        <w:adjustRightInd w:val="0"/>
        <w:snapToGrid w:val="0"/>
        <w:jc w:val="both"/>
        <w:rPr>
          <w:rFonts w:ascii="Arial" w:hAnsi="Arial" w:cs="Arial"/>
          <w:color w:val="000000" w:themeColor="text1"/>
          <w:szCs w:val="24"/>
          <w:lang w:val="en-GB"/>
        </w:rPr>
      </w:pPr>
    </w:p>
    <w:p w:rsidR="001544FD" w:rsidRPr="0028108F"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b/>
          <w:sz w:val="28"/>
          <w:szCs w:val="28"/>
          <w:lang w:val="en-GB"/>
        </w:rPr>
      </w:pPr>
      <w:r w:rsidRPr="0028108F">
        <w:rPr>
          <w:rFonts w:ascii="Arial" w:hAnsi="Arial" w:cs="Arial"/>
          <w:b/>
          <w:sz w:val="28"/>
          <w:szCs w:val="28"/>
          <w:lang w:val="en-GB"/>
        </w:rPr>
        <w:t>Considerations for establishing a dual-track gender recognition scheme for Hong Kong with different requirements for each track</w:t>
      </w:r>
    </w:p>
    <w:p w:rsidR="001544FD" w:rsidRPr="00181CF2"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b/>
          <w:szCs w:val="24"/>
          <w:lang w:val="en-GB"/>
        </w:rPr>
      </w:pPr>
    </w:p>
    <w:p w:rsidR="001544FD" w:rsidRPr="0028108F" w:rsidRDefault="001544FD" w:rsidP="00F532D8">
      <w:pPr>
        <w:pStyle w:val="ListParagraph"/>
        <w:numPr>
          <w:ilvl w:val="0"/>
          <w:numId w:val="105"/>
        </w:numPr>
        <w:tabs>
          <w:tab w:val="left" w:pos="1418"/>
        </w:tabs>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Chapters</w:t>
      </w:r>
      <w:r w:rsidR="000F05FB" w:rsidRPr="0028108F">
        <w:rPr>
          <w:rFonts w:ascii="Arial" w:hAnsi="Arial" w:cs="Arial"/>
          <w:color w:val="000000" w:themeColor="text1"/>
          <w:szCs w:val="24"/>
          <w:lang w:val="en-GB"/>
        </w:rPr>
        <w:t xml:space="preserve"> 6 and 7 as well as the preceding paragraphs in </w:t>
      </w:r>
      <w:r w:rsidR="00CE3070">
        <w:rPr>
          <w:rFonts w:ascii="Arial" w:hAnsi="Arial" w:cs="Arial"/>
          <w:color w:val="000000" w:themeColor="text1"/>
          <w:szCs w:val="24"/>
          <w:lang w:val="en-GB"/>
        </w:rPr>
        <w:t>c</w:t>
      </w:r>
      <w:r w:rsidR="000F05FB" w:rsidRPr="0028108F">
        <w:rPr>
          <w:rFonts w:ascii="Arial" w:hAnsi="Arial" w:cs="Arial"/>
          <w:color w:val="000000" w:themeColor="text1"/>
          <w:szCs w:val="24"/>
          <w:lang w:val="en-GB"/>
        </w:rPr>
        <w:t>hapter 8</w:t>
      </w:r>
      <w:r w:rsidRPr="0028108F">
        <w:rPr>
          <w:rFonts w:ascii="Arial" w:hAnsi="Arial" w:cs="Arial"/>
          <w:color w:val="000000" w:themeColor="text1"/>
          <w:szCs w:val="24"/>
          <w:lang w:val="en-GB"/>
        </w:rPr>
        <w:t xml:space="preserve"> illustrate </w:t>
      </w:r>
      <w:r w:rsidR="004A4809" w:rsidRPr="0028108F">
        <w:rPr>
          <w:rFonts w:ascii="Arial" w:hAnsi="Arial" w:cs="Arial"/>
          <w:color w:val="000000" w:themeColor="text1"/>
          <w:szCs w:val="24"/>
          <w:lang w:val="en-GB"/>
        </w:rPr>
        <w:t xml:space="preserve">the diversity of views inherent in </w:t>
      </w:r>
      <w:r w:rsidRPr="0028108F">
        <w:rPr>
          <w:rFonts w:ascii="Arial" w:hAnsi="Arial" w:cs="Arial"/>
          <w:color w:val="000000" w:themeColor="text1"/>
          <w:szCs w:val="24"/>
          <w:lang w:val="en-GB"/>
        </w:rPr>
        <w:t xml:space="preserve">the discussion of </w:t>
      </w:r>
      <w:r w:rsidR="004A4809" w:rsidRPr="0028108F">
        <w:rPr>
          <w:rFonts w:ascii="Arial" w:hAnsi="Arial" w:cs="Arial"/>
          <w:color w:val="000000" w:themeColor="text1"/>
          <w:szCs w:val="24"/>
          <w:lang w:val="en-GB"/>
        </w:rPr>
        <w:t xml:space="preserve">the </w:t>
      </w:r>
      <w:r w:rsidRPr="0028108F">
        <w:rPr>
          <w:rFonts w:ascii="Arial" w:hAnsi="Arial" w:cs="Arial"/>
          <w:color w:val="000000" w:themeColor="text1"/>
          <w:szCs w:val="24"/>
          <w:lang w:val="en-GB"/>
        </w:rPr>
        <w:t xml:space="preserve">various </w:t>
      </w:r>
      <w:r w:rsidR="004A4809" w:rsidRPr="0028108F">
        <w:rPr>
          <w:rFonts w:ascii="Arial" w:hAnsi="Arial" w:cs="Arial"/>
          <w:color w:val="000000" w:themeColor="text1"/>
          <w:szCs w:val="24"/>
          <w:lang w:val="en-GB"/>
        </w:rPr>
        <w:t xml:space="preserve">possible </w:t>
      </w:r>
      <w:r w:rsidRPr="0028108F">
        <w:rPr>
          <w:rFonts w:ascii="Arial" w:hAnsi="Arial" w:cs="Arial"/>
          <w:color w:val="000000" w:themeColor="text1"/>
          <w:szCs w:val="24"/>
          <w:lang w:val="en-GB"/>
        </w:rPr>
        <w:t xml:space="preserve">requirements </w:t>
      </w:r>
      <w:r w:rsidR="000F05FB" w:rsidRPr="0028108F">
        <w:rPr>
          <w:rFonts w:ascii="Arial" w:hAnsi="Arial" w:cs="Arial"/>
          <w:color w:val="000000" w:themeColor="text1"/>
          <w:szCs w:val="24"/>
          <w:lang w:val="en-GB"/>
        </w:rPr>
        <w:t xml:space="preserve">and options </w:t>
      </w:r>
      <w:r w:rsidRPr="0028108F">
        <w:rPr>
          <w:rFonts w:ascii="Arial" w:hAnsi="Arial" w:cs="Arial"/>
          <w:color w:val="000000" w:themeColor="text1"/>
          <w:szCs w:val="24"/>
          <w:lang w:val="en-GB"/>
        </w:rPr>
        <w:t xml:space="preserve">for gender recognition.  </w:t>
      </w:r>
      <w:r w:rsidR="00290056" w:rsidRPr="0028108F">
        <w:rPr>
          <w:rFonts w:ascii="Arial" w:hAnsi="Arial" w:cs="Arial"/>
          <w:color w:val="000000" w:themeColor="text1"/>
          <w:szCs w:val="24"/>
          <w:lang w:val="en-GB"/>
        </w:rPr>
        <w:t>It is anticipated that n</w:t>
      </w:r>
      <w:r w:rsidRPr="0028108F">
        <w:rPr>
          <w:rFonts w:ascii="Arial" w:hAnsi="Arial" w:cs="Arial"/>
          <w:color w:val="000000" w:themeColor="text1"/>
          <w:szCs w:val="24"/>
          <w:lang w:val="en-GB"/>
        </w:rPr>
        <w:t xml:space="preserve">o matter where the line </w:t>
      </w:r>
      <w:r w:rsidR="004A4809" w:rsidRPr="0028108F">
        <w:rPr>
          <w:rFonts w:ascii="Arial" w:hAnsi="Arial" w:cs="Arial"/>
          <w:color w:val="000000" w:themeColor="text1"/>
          <w:szCs w:val="24"/>
          <w:lang w:val="en-GB"/>
        </w:rPr>
        <w:t>is</w:t>
      </w:r>
      <w:r w:rsidRPr="0028108F">
        <w:rPr>
          <w:rFonts w:ascii="Arial" w:hAnsi="Arial" w:cs="Arial"/>
          <w:color w:val="000000" w:themeColor="text1"/>
          <w:szCs w:val="24"/>
          <w:lang w:val="en-GB"/>
        </w:rPr>
        <w:t xml:space="preserve"> drawn, </w:t>
      </w:r>
      <w:r w:rsidR="004A4809" w:rsidRPr="0028108F">
        <w:rPr>
          <w:rFonts w:ascii="Arial" w:hAnsi="Arial" w:cs="Arial"/>
          <w:color w:val="000000" w:themeColor="text1"/>
          <w:szCs w:val="24"/>
          <w:lang w:val="en-GB"/>
        </w:rPr>
        <w:t xml:space="preserve">there would be some </w:t>
      </w:r>
      <w:r w:rsidRPr="0028108F">
        <w:rPr>
          <w:rFonts w:ascii="Arial" w:hAnsi="Arial" w:cs="Arial"/>
          <w:color w:val="000000" w:themeColor="text1"/>
          <w:szCs w:val="24"/>
          <w:lang w:val="en-GB"/>
        </w:rPr>
        <w:t xml:space="preserve">criticisms </w:t>
      </w:r>
      <w:r w:rsidR="004A4809" w:rsidRPr="0028108F">
        <w:rPr>
          <w:rFonts w:ascii="Arial" w:hAnsi="Arial" w:cs="Arial"/>
          <w:color w:val="000000" w:themeColor="text1"/>
          <w:szCs w:val="24"/>
          <w:lang w:val="en-GB"/>
        </w:rPr>
        <w:t>of the scheme, either because of its perceived restrictiveness or its overly liberal approach.</w:t>
      </w:r>
    </w:p>
    <w:p w:rsidR="001544FD" w:rsidRPr="0028108F"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A026F2" w:rsidRPr="0028108F" w:rsidRDefault="001544FD" w:rsidP="00F532D8">
      <w:pPr>
        <w:pStyle w:val="ListParagraph"/>
        <w:numPr>
          <w:ilvl w:val="0"/>
          <w:numId w:val="105"/>
        </w:numPr>
        <w:tabs>
          <w:tab w:val="left" w:pos="1418"/>
        </w:tabs>
        <w:adjustRightInd w:val="0"/>
        <w:snapToGrid w:val="0"/>
        <w:ind w:leftChars="0" w:left="0" w:firstLine="0"/>
        <w:jc w:val="both"/>
        <w:rPr>
          <w:rFonts w:ascii="Arial" w:hAnsi="Arial" w:cs="Arial"/>
          <w:b/>
          <w:szCs w:val="24"/>
          <w:lang w:val="en-GB"/>
        </w:rPr>
      </w:pPr>
      <w:r w:rsidRPr="00181CF2">
        <w:rPr>
          <w:rFonts w:ascii="Arial" w:hAnsi="Arial" w:cs="Arial"/>
          <w:color w:val="000000" w:themeColor="text1"/>
          <w:szCs w:val="24"/>
          <w:lang w:val="en-GB"/>
        </w:rPr>
        <w:t xml:space="preserve">One </w:t>
      </w:r>
      <w:r w:rsidR="00A11250" w:rsidRPr="0028108F">
        <w:rPr>
          <w:rFonts w:ascii="Arial" w:hAnsi="Arial" w:cs="Arial"/>
          <w:color w:val="000000" w:themeColor="text1"/>
          <w:szCs w:val="24"/>
          <w:lang w:val="en-GB"/>
        </w:rPr>
        <w:t xml:space="preserve">alternative measure </w:t>
      </w:r>
      <w:r w:rsidRPr="0028108F">
        <w:rPr>
          <w:rFonts w:ascii="Arial" w:hAnsi="Arial" w:cs="Arial"/>
          <w:color w:val="000000" w:themeColor="text1"/>
          <w:szCs w:val="24"/>
          <w:lang w:val="en-GB"/>
        </w:rPr>
        <w:t xml:space="preserve">to deal with gender recognition is to </w:t>
      </w:r>
      <w:r w:rsidR="00A11250" w:rsidRPr="0028108F">
        <w:rPr>
          <w:rFonts w:ascii="Arial" w:hAnsi="Arial" w:cs="Arial"/>
          <w:color w:val="000000" w:themeColor="text1"/>
          <w:szCs w:val="24"/>
          <w:lang w:val="en-GB"/>
        </w:rPr>
        <w:t xml:space="preserve">implement </w:t>
      </w:r>
      <w:r w:rsidRPr="0028108F">
        <w:rPr>
          <w:rFonts w:ascii="Arial" w:hAnsi="Arial" w:cs="Arial"/>
          <w:color w:val="000000" w:themeColor="text1"/>
          <w:szCs w:val="24"/>
          <w:lang w:val="en-GB"/>
        </w:rPr>
        <w:t xml:space="preserve">a dual track system, </w:t>
      </w:r>
      <w:r w:rsidR="00A026F2" w:rsidRPr="0028108F">
        <w:rPr>
          <w:rFonts w:ascii="Arial" w:hAnsi="Arial" w:cs="Arial"/>
          <w:color w:val="000000" w:themeColor="text1"/>
          <w:szCs w:val="24"/>
          <w:lang w:val="en-GB"/>
        </w:rPr>
        <w:t>providing</w:t>
      </w:r>
      <w:r w:rsidRPr="0028108F">
        <w:rPr>
          <w:rFonts w:ascii="Arial" w:hAnsi="Arial" w:cs="Arial"/>
          <w:color w:val="000000" w:themeColor="text1"/>
          <w:szCs w:val="24"/>
          <w:lang w:val="en-GB"/>
        </w:rPr>
        <w:t xml:space="preserve"> two different sets of procedure</w:t>
      </w:r>
      <w:r w:rsidR="00A026F2"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with different criteria </w:t>
      </w:r>
      <w:r w:rsidR="00A11250" w:rsidRPr="0028108F">
        <w:rPr>
          <w:rFonts w:ascii="Arial" w:hAnsi="Arial" w:cs="Arial"/>
          <w:color w:val="000000" w:themeColor="text1"/>
          <w:szCs w:val="24"/>
          <w:lang w:val="en-GB"/>
        </w:rPr>
        <w:t xml:space="preserve">for gender recognition </w:t>
      </w:r>
      <w:r w:rsidRPr="0028108F">
        <w:rPr>
          <w:rFonts w:ascii="Arial" w:hAnsi="Arial" w:cs="Arial"/>
          <w:color w:val="000000" w:themeColor="text1"/>
          <w:szCs w:val="24"/>
          <w:lang w:val="en-GB"/>
        </w:rPr>
        <w:t>(</w:t>
      </w:r>
      <w:r w:rsidR="00D6311F" w:rsidRPr="0028108F">
        <w:rPr>
          <w:rFonts w:ascii="Arial" w:hAnsi="Arial" w:cs="Arial"/>
          <w:color w:val="000000" w:themeColor="text1"/>
          <w:szCs w:val="24"/>
          <w:lang w:val="en-GB"/>
        </w:rPr>
        <w:t>eg</w:t>
      </w:r>
      <w:r w:rsidR="00940215" w:rsidRPr="0028108F">
        <w:rPr>
          <w:rFonts w:ascii="Arial" w:hAnsi="Arial" w:cs="Arial"/>
          <w:color w:val="000000" w:themeColor="text1"/>
          <w:szCs w:val="24"/>
          <w:lang w:val="en-GB"/>
        </w:rPr>
        <w:t>,</w:t>
      </w:r>
      <w:r w:rsidRPr="00181CF2">
        <w:rPr>
          <w:rFonts w:ascii="Arial" w:hAnsi="Arial" w:cs="Arial"/>
          <w:color w:val="000000" w:themeColor="text1"/>
          <w:szCs w:val="24"/>
          <w:lang w:val="en-GB"/>
        </w:rPr>
        <w:t xml:space="preserve"> SRS being a compulsory requirement or allowing less stringent qualificat</w:t>
      </w:r>
      <w:r w:rsidRPr="00C57CE1">
        <w:rPr>
          <w:rFonts w:ascii="Arial" w:hAnsi="Arial" w:cs="Arial"/>
          <w:color w:val="000000" w:themeColor="text1"/>
          <w:szCs w:val="24"/>
          <w:lang w:val="en-GB"/>
        </w:rPr>
        <w:t xml:space="preserve">ion) and/or different </w:t>
      </w:r>
      <w:r w:rsidR="00A11250" w:rsidRPr="0028108F">
        <w:rPr>
          <w:rFonts w:ascii="Arial" w:hAnsi="Arial" w:cs="Arial"/>
          <w:color w:val="000000" w:themeColor="text1"/>
          <w:szCs w:val="24"/>
          <w:lang w:val="en-GB"/>
        </w:rPr>
        <w:t xml:space="preserve">legal </w:t>
      </w:r>
      <w:r w:rsidRPr="0028108F">
        <w:rPr>
          <w:rFonts w:ascii="Arial" w:hAnsi="Arial" w:cs="Arial"/>
          <w:color w:val="000000" w:themeColor="text1"/>
          <w:szCs w:val="24"/>
          <w:lang w:val="en-GB"/>
        </w:rPr>
        <w:t>consequences (</w:t>
      </w:r>
      <w:r w:rsidR="00D6311F" w:rsidRPr="0028108F">
        <w:rPr>
          <w:rFonts w:ascii="Arial" w:hAnsi="Arial" w:cs="Arial"/>
          <w:color w:val="000000" w:themeColor="text1"/>
          <w:szCs w:val="24"/>
          <w:lang w:val="en-GB"/>
        </w:rPr>
        <w:t>eg</w:t>
      </w:r>
      <w:r w:rsidR="00940215" w:rsidRPr="0028108F">
        <w:rPr>
          <w:rFonts w:ascii="Arial" w:hAnsi="Arial" w:cs="Arial"/>
          <w:color w:val="000000" w:themeColor="text1"/>
          <w:szCs w:val="24"/>
          <w:lang w:val="en-GB"/>
        </w:rPr>
        <w:t>,</w:t>
      </w:r>
      <w:r w:rsidRPr="00181CF2">
        <w:rPr>
          <w:rFonts w:ascii="Arial" w:hAnsi="Arial" w:cs="Arial"/>
          <w:color w:val="000000" w:themeColor="text1"/>
          <w:szCs w:val="24"/>
          <w:lang w:val="en-GB"/>
        </w:rPr>
        <w:t xml:space="preserve"> for all or partial legal purposes</w:t>
      </w:r>
      <w:r w:rsidR="00A026F2" w:rsidRPr="00C57CE1">
        <w:rPr>
          <w:rFonts w:ascii="Arial" w:hAnsi="Arial" w:cs="Arial"/>
          <w:color w:val="000000" w:themeColor="text1"/>
          <w:szCs w:val="24"/>
          <w:lang w:val="en-GB"/>
        </w:rPr>
        <w:t>,</w:t>
      </w:r>
      <w:r w:rsidRPr="0028108F">
        <w:rPr>
          <w:rFonts w:ascii="Arial" w:hAnsi="Arial" w:cs="Arial"/>
          <w:color w:val="000000" w:themeColor="text1"/>
          <w:szCs w:val="24"/>
          <w:lang w:val="en-GB"/>
        </w:rPr>
        <w:t xml:space="preserve"> or with changes of gender marker on different identification documents).  </w:t>
      </w:r>
      <w:r w:rsidR="00A11250"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uch a system </w:t>
      </w:r>
      <w:r w:rsidR="00A11250" w:rsidRPr="0028108F">
        <w:rPr>
          <w:rFonts w:ascii="Arial" w:hAnsi="Arial" w:cs="Arial"/>
          <w:color w:val="000000" w:themeColor="text1"/>
          <w:szCs w:val="24"/>
          <w:lang w:val="en-GB"/>
        </w:rPr>
        <w:t>may be able to provide</w:t>
      </w:r>
      <w:r w:rsidRPr="0028108F">
        <w:rPr>
          <w:rFonts w:ascii="Arial" w:hAnsi="Arial" w:cs="Arial"/>
          <w:color w:val="000000" w:themeColor="text1"/>
          <w:szCs w:val="24"/>
          <w:lang w:val="en-GB"/>
        </w:rPr>
        <w:t xml:space="preserve"> flexibility to applicants with different personal conditions and needs, and </w:t>
      </w:r>
      <w:r w:rsidR="00A11250" w:rsidRPr="0028108F">
        <w:rPr>
          <w:rFonts w:ascii="Arial" w:hAnsi="Arial" w:cs="Arial"/>
          <w:color w:val="000000" w:themeColor="text1"/>
          <w:szCs w:val="24"/>
          <w:lang w:val="en-GB"/>
        </w:rPr>
        <w:t>form</w:t>
      </w:r>
      <w:r w:rsidRPr="0028108F">
        <w:rPr>
          <w:rFonts w:ascii="Arial" w:hAnsi="Arial" w:cs="Arial"/>
          <w:color w:val="000000" w:themeColor="text1"/>
          <w:szCs w:val="24"/>
          <w:lang w:val="en-GB"/>
        </w:rPr>
        <w:t xml:space="preserve"> a halfway house between liberal and restrictive </w:t>
      </w:r>
      <w:r w:rsidR="00A026F2" w:rsidRPr="0028108F">
        <w:rPr>
          <w:rFonts w:ascii="Arial" w:hAnsi="Arial" w:cs="Arial"/>
          <w:color w:val="000000" w:themeColor="text1"/>
          <w:szCs w:val="24"/>
          <w:lang w:val="en-GB"/>
        </w:rPr>
        <w:t>approaches to gender recognition.</w:t>
      </w:r>
      <w:r w:rsidRPr="0028108F">
        <w:rPr>
          <w:rFonts w:ascii="Arial" w:hAnsi="Arial" w:cs="Arial"/>
          <w:color w:val="000000" w:themeColor="text1"/>
          <w:szCs w:val="24"/>
          <w:lang w:val="en-GB"/>
        </w:rPr>
        <w:t xml:space="preserve">  </w:t>
      </w:r>
    </w:p>
    <w:p w:rsidR="00A026F2" w:rsidRPr="00181CF2" w:rsidRDefault="00A026F2" w:rsidP="008813DE">
      <w:pPr>
        <w:tabs>
          <w:tab w:val="left" w:pos="1701"/>
          <w:tab w:val="left" w:pos="2552"/>
        </w:tabs>
        <w:autoSpaceDE w:val="0"/>
        <w:autoSpaceDN w:val="0"/>
        <w:adjustRightInd w:val="0"/>
        <w:snapToGrid w:val="0"/>
        <w:ind w:leftChars="413" w:left="991"/>
        <w:jc w:val="both"/>
        <w:rPr>
          <w:rFonts w:ascii="Arial" w:hAnsi="Arial" w:cs="Arial"/>
          <w:color w:val="000000" w:themeColor="text1"/>
          <w:szCs w:val="24"/>
          <w:lang w:val="en-GB"/>
        </w:rPr>
      </w:pPr>
    </w:p>
    <w:p w:rsidR="001544FD" w:rsidRPr="0028108F" w:rsidRDefault="004C48D0" w:rsidP="00F532D8">
      <w:pPr>
        <w:pStyle w:val="ListParagraph"/>
        <w:numPr>
          <w:ilvl w:val="0"/>
          <w:numId w:val="105"/>
        </w:numPr>
        <w:tabs>
          <w:tab w:val="left" w:pos="1418"/>
        </w:tabs>
        <w:adjustRightInd w:val="0"/>
        <w:snapToGrid w:val="0"/>
        <w:ind w:leftChars="0" w:left="0" w:firstLine="0"/>
        <w:jc w:val="both"/>
        <w:rPr>
          <w:rFonts w:ascii="Arial" w:hAnsi="Arial" w:cs="Arial"/>
          <w:b/>
          <w:szCs w:val="24"/>
          <w:lang w:val="en-GB"/>
        </w:rPr>
      </w:pPr>
      <w:r w:rsidRPr="00181CF2">
        <w:rPr>
          <w:rFonts w:ascii="Arial" w:hAnsi="Arial" w:cs="Arial"/>
          <w:color w:val="000000" w:themeColor="text1"/>
          <w:szCs w:val="24"/>
          <w:lang w:val="en-GB"/>
        </w:rPr>
        <w:t xml:space="preserve">In terms </w:t>
      </w:r>
      <w:r w:rsidRPr="00C57CE1">
        <w:rPr>
          <w:rFonts w:ascii="Arial" w:hAnsi="Arial" w:cs="Arial"/>
          <w:color w:val="000000" w:themeColor="text1"/>
          <w:szCs w:val="24"/>
          <w:lang w:val="en-GB"/>
        </w:rPr>
        <w:t>of counter-arguments</w:t>
      </w:r>
      <w:r w:rsidRPr="0028108F">
        <w:rPr>
          <w:rFonts w:ascii="Arial" w:hAnsi="Arial" w:cs="Arial"/>
          <w:color w:val="000000" w:themeColor="text1"/>
          <w:szCs w:val="24"/>
          <w:lang w:val="en-GB"/>
        </w:rPr>
        <w:t>, t</w:t>
      </w:r>
      <w:r w:rsidR="00A11250" w:rsidRPr="0028108F">
        <w:rPr>
          <w:rFonts w:ascii="Arial" w:hAnsi="Arial" w:cs="Arial"/>
          <w:color w:val="000000" w:themeColor="text1"/>
          <w:szCs w:val="24"/>
          <w:lang w:val="en-GB"/>
        </w:rPr>
        <w:t xml:space="preserve">here </w:t>
      </w:r>
      <w:r w:rsidR="006C4067" w:rsidRPr="0028108F">
        <w:rPr>
          <w:rFonts w:ascii="Arial" w:hAnsi="Arial" w:cs="Arial"/>
          <w:color w:val="000000" w:themeColor="text1"/>
          <w:szCs w:val="24"/>
          <w:lang w:val="en-GB"/>
        </w:rPr>
        <w:t>may</w:t>
      </w:r>
      <w:r w:rsidR="00A11250" w:rsidRPr="0028108F">
        <w:rPr>
          <w:rFonts w:ascii="Arial" w:hAnsi="Arial" w:cs="Arial"/>
          <w:color w:val="000000" w:themeColor="text1"/>
          <w:szCs w:val="24"/>
          <w:lang w:val="en-GB"/>
        </w:rPr>
        <w:t xml:space="preserve"> be</w:t>
      </w:r>
      <w:r w:rsidR="001544FD" w:rsidRPr="0028108F">
        <w:rPr>
          <w:rFonts w:ascii="Arial" w:hAnsi="Arial" w:cs="Arial"/>
          <w:color w:val="000000" w:themeColor="text1"/>
          <w:szCs w:val="24"/>
          <w:lang w:val="en-GB"/>
        </w:rPr>
        <w:t xml:space="preserve"> doubts on its practicality</w:t>
      </w:r>
      <w:r w:rsidR="006C4067"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 the</w:t>
      </w:r>
      <w:r w:rsidR="006C4067" w:rsidRPr="0028108F">
        <w:rPr>
          <w:rFonts w:ascii="Arial" w:hAnsi="Arial" w:cs="Arial"/>
          <w:color w:val="000000" w:themeColor="text1"/>
          <w:szCs w:val="24"/>
          <w:lang w:val="en-GB"/>
        </w:rPr>
        <w:t>re may be a</w:t>
      </w:r>
      <w:r w:rsidR="001544FD" w:rsidRPr="0028108F">
        <w:rPr>
          <w:rFonts w:ascii="Arial" w:hAnsi="Arial" w:cs="Arial"/>
          <w:color w:val="000000" w:themeColor="text1"/>
          <w:szCs w:val="24"/>
          <w:lang w:val="en-GB"/>
        </w:rPr>
        <w:t xml:space="preserve"> risk of the relatively easier track being overwhelmingly </w:t>
      </w:r>
      <w:r w:rsidR="006C4067" w:rsidRPr="0028108F">
        <w:rPr>
          <w:rFonts w:ascii="Arial" w:hAnsi="Arial" w:cs="Arial"/>
          <w:color w:val="000000" w:themeColor="text1"/>
          <w:szCs w:val="24"/>
          <w:lang w:val="en-GB"/>
        </w:rPr>
        <w:t>ut</w:t>
      </w:r>
      <w:r w:rsidR="00CD6238" w:rsidRPr="0028108F">
        <w:rPr>
          <w:rFonts w:ascii="Arial" w:hAnsi="Arial" w:cs="Arial"/>
          <w:color w:val="000000" w:themeColor="text1"/>
          <w:szCs w:val="24"/>
          <w:lang w:val="en-GB"/>
        </w:rPr>
        <w:t>ilised</w:t>
      </w:r>
      <w:r w:rsidR="001544FD" w:rsidRPr="0028108F">
        <w:rPr>
          <w:rFonts w:ascii="Arial" w:hAnsi="Arial" w:cs="Arial"/>
          <w:color w:val="000000" w:themeColor="text1"/>
          <w:szCs w:val="24"/>
          <w:lang w:val="en-GB"/>
        </w:rPr>
        <w:t xml:space="preserve"> </w:t>
      </w:r>
      <w:r w:rsidR="003B420F" w:rsidRPr="0028108F">
        <w:rPr>
          <w:rFonts w:ascii="Arial" w:hAnsi="Arial" w:cs="Arial"/>
          <w:color w:val="000000" w:themeColor="text1"/>
          <w:szCs w:val="24"/>
          <w:lang w:val="en-GB"/>
        </w:rPr>
        <w:t>whil</w:t>
      </w:r>
      <w:r w:rsidR="00543855" w:rsidRPr="0028108F">
        <w:rPr>
          <w:rFonts w:ascii="Arial" w:hAnsi="Arial" w:cs="Arial"/>
          <w:color w:val="000000" w:themeColor="text1"/>
          <w:szCs w:val="24"/>
          <w:lang w:val="en-GB"/>
        </w:rPr>
        <w:t>e</w:t>
      </w:r>
      <w:r w:rsidR="001544FD" w:rsidRPr="0028108F">
        <w:rPr>
          <w:rFonts w:ascii="Arial" w:hAnsi="Arial" w:cs="Arial"/>
          <w:color w:val="000000" w:themeColor="text1"/>
          <w:szCs w:val="24"/>
          <w:lang w:val="en-GB"/>
        </w:rPr>
        <w:t xml:space="preserve"> another </w:t>
      </w:r>
      <w:r w:rsidR="00543855" w:rsidRPr="0028108F">
        <w:rPr>
          <w:rFonts w:ascii="Arial" w:hAnsi="Arial" w:cs="Arial"/>
          <w:color w:val="000000" w:themeColor="text1"/>
          <w:szCs w:val="24"/>
          <w:lang w:val="en-GB"/>
        </w:rPr>
        <w:t xml:space="preserve">more strict </w:t>
      </w:r>
      <w:r w:rsidR="001544FD" w:rsidRPr="0028108F">
        <w:rPr>
          <w:rFonts w:ascii="Arial" w:hAnsi="Arial" w:cs="Arial"/>
          <w:color w:val="000000" w:themeColor="text1"/>
          <w:szCs w:val="24"/>
          <w:lang w:val="en-GB"/>
        </w:rPr>
        <w:t xml:space="preserve">track </w:t>
      </w:r>
      <w:r w:rsidR="00543855" w:rsidRPr="0028108F">
        <w:rPr>
          <w:rFonts w:ascii="Arial" w:hAnsi="Arial" w:cs="Arial"/>
          <w:color w:val="000000" w:themeColor="text1"/>
          <w:szCs w:val="24"/>
          <w:lang w:val="en-GB"/>
        </w:rPr>
        <w:t xml:space="preserve">may </w:t>
      </w:r>
      <w:r w:rsidR="001544FD" w:rsidRPr="0028108F">
        <w:rPr>
          <w:rFonts w:ascii="Arial" w:hAnsi="Arial" w:cs="Arial"/>
          <w:color w:val="000000" w:themeColor="text1"/>
          <w:szCs w:val="24"/>
          <w:lang w:val="en-GB"/>
        </w:rPr>
        <w:t>becom</w:t>
      </w:r>
      <w:r w:rsidR="00543855" w:rsidRPr="0028108F">
        <w:rPr>
          <w:rFonts w:ascii="Arial" w:hAnsi="Arial" w:cs="Arial"/>
          <w:color w:val="000000" w:themeColor="text1"/>
          <w:szCs w:val="24"/>
          <w:lang w:val="en-GB"/>
        </w:rPr>
        <w:t>e</w:t>
      </w:r>
      <w:r w:rsidR="001544FD" w:rsidRPr="0028108F">
        <w:rPr>
          <w:rFonts w:ascii="Arial" w:hAnsi="Arial" w:cs="Arial"/>
          <w:color w:val="000000" w:themeColor="text1"/>
          <w:szCs w:val="24"/>
          <w:lang w:val="en-GB"/>
        </w:rPr>
        <w:t xml:space="preserve"> redundant</w:t>
      </w:r>
      <w:r w:rsidR="00543855"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 the creation of more gender confusion in society</w:t>
      </w:r>
      <w:r w:rsidR="00543855" w:rsidRPr="0028108F">
        <w:rPr>
          <w:rFonts w:ascii="Arial" w:hAnsi="Arial" w:cs="Arial"/>
          <w:color w:val="000000" w:themeColor="text1"/>
          <w:szCs w:val="24"/>
          <w:lang w:val="en-GB"/>
        </w:rPr>
        <w:t>;</w:t>
      </w:r>
      <w:r w:rsidR="00F179E3" w:rsidRPr="0028108F">
        <w:rPr>
          <w:rFonts w:ascii="Arial" w:hAnsi="Arial" w:cs="Arial"/>
          <w:color w:val="000000" w:themeColor="text1"/>
          <w:szCs w:val="24"/>
          <w:lang w:val="en-GB"/>
        </w:rPr>
        <w:t xml:space="preserve"> and the consequential legal issues and implications that could arise on a number of matters</w:t>
      </w:r>
      <w:r w:rsidR="00543855" w:rsidRPr="0028108F">
        <w:rPr>
          <w:rFonts w:ascii="Arial" w:hAnsi="Arial" w:cs="Arial"/>
          <w:color w:val="000000" w:themeColor="text1"/>
          <w:szCs w:val="24"/>
          <w:lang w:val="en-GB"/>
        </w:rPr>
        <w:t>,</w:t>
      </w:r>
      <w:r w:rsidR="00F179E3" w:rsidRPr="0028108F">
        <w:rPr>
          <w:rFonts w:ascii="Arial" w:hAnsi="Arial" w:cs="Arial"/>
          <w:color w:val="000000" w:themeColor="text1"/>
          <w:szCs w:val="24"/>
          <w:lang w:val="en-GB"/>
        </w:rPr>
        <w:t xml:space="preserve"> including those listed at paragraph </w:t>
      </w:r>
      <w:r w:rsidR="00F179E3" w:rsidRPr="008813DE">
        <w:rPr>
          <w:rFonts w:ascii="Arial" w:hAnsi="Arial" w:cs="Arial"/>
          <w:color w:val="000000" w:themeColor="text1"/>
          <w:szCs w:val="24"/>
          <w:lang w:val="en-GB"/>
        </w:rPr>
        <w:t>18</w:t>
      </w:r>
      <w:r w:rsidR="00F179E3" w:rsidRPr="00C57CE1">
        <w:rPr>
          <w:rFonts w:ascii="Arial" w:hAnsi="Arial" w:cs="Arial"/>
          <w:color w:val="000000" w:themeColor="text1"/>
          <w:szCs w:val="24"/>
          <w:lang w:val="en-GB"/>
        </w:rPr>
        <w:t xml:space="preserve"> of </w:t>
      </w:r>
      <w:r w:rsidR="00543855" w:rsidRPr="0028108F">
        <w:rPr>
          <w:rFonts w:ascii="Arial" w:hAnsi="Arial" w:cs="Arial"/>
          <w:color w:val="000000" w:themeColor="text1"/>
          <w:szCs w:val="24"/>
          <w:lang w:val="en-GB"/>
        </w:rPr>
        <w:t xml:space="preserve">the </w:t>
      </w:r>
      <w:r w:rsidR="00F179E3" w:rsidRPr="0028108F">
        <w:rPr>
          <w:rFonts w:ascii="Arial" w:hAnsi="Arial" w:cs="Arial"/>
          <w:color w:val="000000" w:themeColor="text1"/>
          <w:szCs w:val="24"/>
          <w:lang w:val="en-GB"/>
        </w:rPr>
        <w:t>Preface of this Consultation Paper (</w:t>
      </w:r>
      <w:r w:rsidR="00D6311F" w:rsidRPr="0028108F">
        <w:rPr>
          <w:rFonts w:ascii="Arial" w:hAnsi="Arial" w:cs="Arial"/>
          <w:color w:val="000000" w:themeColor="text1"/>
          <w:szCs w:val="24"/>
          <w:lang w:val="en-GB"/>
        </w:rPr>
        <w:t>eg</w:t>
      </w:r>
      <w:r w:rsidR="00940215" w:rsidRPr="0028108F">
        <w:rPr>
          <w:rFonts w:ascii="Arial" w:hAnsi="Arial" w:cs="Arial"/>
          <w:color w:val="000000" w:themeColor="text1"/>
          <w:szCs w:val="24"/>
          <w:lang w:val="en-GB"/>
        </w:rPr>
        <w:t>,</w:t>
      </w:r>
      <w:r w:rsidR="00F179E3" w:rsidRPr="00181CF2">
        <w:rPr>
          <w:rFonts w:ascii="Arial" w:hAnsi="Arial" w:cs="Arial"/>
          <w:color w:val="000000" w:themeColor="text1"/>
          <w:szCs w:val="24"/>
          <w:lang w:val="en-GB"/>
        </w:rPr>
        <w:t xml:space="preserve"> w</w:t>
      </w:r>
      <w:r w:rsidR="00F179E3" w:rsidRPr="00C57CE1">
        <w:rPr>
          <w:rFonts w:ascii="Arial" w:hAnsi="Arial" w:cs="Arial"/>
          <w:color w:val="000000" w:themeColor="text1"/>
          <w:szCs w:val="24"/>
          <w:lang w:val="en-GB"/>
        </w:rPr>
        <w:t xml:space="preserve">hich </w:t>
      </w:r>
      <w:r w:rsidR="00543855" w:rsidRPr="0028108F">
        <w:rPr>
          <w:rFonts w:ascii="Arial" w:hAnsi="Arial" w:cs="Arial"/>
          <w:color w:val="000000" w:themeColor="text1"/>
          <w:szCs w:val="24"/>
          <w:lang w:val="en-GB"/>
        </w:rPr>
        <w:t xml:space="preserve">recognition </w:t>
      </w:r>
      <w:r w:rsidR="00F179E3" w:rsidRPr="0028108F">
        <w:rPr>
          <w:rFonts w:ascii="Arial" w:hAnsi="Arial" w:cs="Arial"/>
          <w:color w:val="000000" w:themeColor="text1"/>
          <w:szCs w:val="24"/>
          <w:lang w:val="en-GB"/>
        </w:rPr>
        <w:t>track would affect a person’s existing parenthood status or right of succession to property</w:t>
      </w:r>
      <w:r w:rsidR="00DD16B8" w:rsidRPr="0028108F">
        <w:rPr>
          <w:rFonts w:ascii="Arial" w:hAnsi="Arial" w:cs="Arial"/>
          <w:color w:val="000000" w:themeColor="text1"/>
          <w:szCs w:val="24"/>
          <w:lang w:val="en-GB"/>
        </w:rPr>
        <w:t>; whether or not gender</w:t>
      </w:r>
      <w:r w:rsidR="00766259" w:rsidRPr="0028108F">
        <w:rPr>
          <w:rFonts w:ascii="Arial" w:hAnsi="Arial" w:cs="Arial"/>
          <w:color w:val="000000" w:themeColor="text1"/>
          <w:szCs w:val="24"/>
          <w:lang w:val="en-GB"/>
        </w:rPr>
        <w:t>-</w:t>
      </w:r>
      <w:r w:rsidR="00DD16B8" w:rsidRPr="0028108F">
        <w:rPr>
          <w:rFonts w:ascii="Arial" w:hAnsi="Arial" w:cs="Arial"/>
          <w:color w:val="000000" w:themeColor="text1"/>
          <w:szCs w:val="24"/>
          <w:lang w:val="en-GB"/>
        </w:rPr>
        <w:t xml:space="preserve">specific offences could be committed by a man whose </w:t>
      </w:r>
      <w:r w:rsidR="00543855" w:rsidRPr="0028108F">
        <w:rPr>
          <w:rFonts w:ascii="Arial" w:hAnsi="Arial" w:cs="Arial"/>
          <w:color w:val="000000" w:themeColor="text1"/>
          <w:szCs w:val="24"/>
          <w:lang w:val="en-GB"/>
        </w:rPr>
        <w:t xml:space="preserve">changed </w:t>
      </w:r>
      <w:r w:rsidR="00DD16B8" w:rsidRPr="0028108F">
        <w:rPr>
          <w:rFonts w:ascii="Arial" w:hAnsi="Arial" w:cs="Arial"/>
          <w:color w:val="000000" w:themeColor="text1"/>
          <w:szCs w:val="24"/>
          <w:lang w:val="en-GB"/>
        </w:rPr>
        <w:t xml:space="preserve">gender identity has been recognised by either </w:t>
      </w:r>
      <w:r w:rsidR="00766259" w:rsidRPr="0028108F">
        <w:rPr>
          <w:rFonts w:ascii="Arial" w:hAnsi="Arial" w:cs="Arial"/>
          <w:color w:val="000000" w:themeColor="text1"/>
          <w:szCs w:val="24"/>
          <w:lang w:val="en-GB"/>
        </w:rPr>
        <w:t xml:space="preserve">recognition </w:t>
      </w:r>
      <w:r w:rsidR="00DD16B8" w:rsidRPr="0028108F">
        <w:rPr>
          <w:rFonts w:ascii="Arial" w:hAnsi="Arial" w:cs="Arial"/>
          <w:color w:val="000000" w:themeColor="text1"/>
          <w:szCs w:val="24"/>
          <w:lang w:val="en-GB"/>
        </w:rPr>
        <w:t>track</w:t>
      </w:r>
      <w:r w:rsidR="00F179E3" w:rsidRPr="0028108F">
        <w:rPr>
          <w:rFonts w:ascii="Arial" w:hAnsi="Arial" w:cs="Arial"/>
          <w:color w:val="000000" w:themeColor="text1"/>
          <w:szCs w:val="24"/>
          <w:lang w:val="en-GB"/>
        </w:rPr>
        <w:t xml:space="preserve">).  All those matters necessitate careful </w:t>
      </w:r>
      <w:r w:rsidR="0080173D" w:rsidRPr="0028108F">
        <w:rPr>
          <w:rFonts w:ascii="Arial" w:hAnsi="Arial" w:cs="Arial"/>
          <w:color w:val="000000" w:themeColor="text1"/>
          <w:szCs w:val="24"/>
          <w:lang w:val="en-GB"/>
        </w:rPr>
        <w:t xml:space="preserve">and comprehensive </w:t>
      </w:r>
      <w:r w:rsidR="00F179E3" w:rsidRPr="0028108F">
        <w:rPr>
          <w:rFonts w:ascii="Arial" w:hAnsi="Arial" w:cs="Arial"/>
          <w:color w:val="000000" w:themeColor="text1"/>
          <w:szCs w:val="24"/>
          <w:lang w:val="en-GB"/>
        </w:rPr>
        <w:t xml:space="preserve">scrutiny and consultation. </w:t>
      </w:r>
      <w:r w:rsidR="001544FD" w:rsidRPr="0028108F">
        <w:rPr>
          <w:rFonts w:ascii="Arial" w:hAnsi="Arial" w:cs="Arial"/>
          <w:color w:val="000000" w:themeColor="text1"/>
          <w:szCs w:val="24"/>
          <w:lang w:val="en-GB"/>
        </w:rPr>
        <w:t xml:space="preserve">  </w:t>
      </w:r>
    </w:p>
    <w:p w:rsidR="001544FD" w:rsidRPr="0028108F" w:rsidRDefault="001544FD" w:rsidP="00961014">
      <w:pPr>
        <w:tabs>
          <w:tab w:val="left" w:pos="851"/>
        </w:tabs>
        <w:adjustRightInd w:val="0"/>
        <w:snapToGrid w:val="0"/>
        <w:ind w:left="960"/>
        <w:jc w:val="both"/>
        <w:rPr>
          <w:rFonts w:ascii="Arial" w:hAnsi="Arial" w:cs="Arial"/>
          <w:color w:val="000000" w:themeColor="text1"/>
          <w:szCs w:val="24"/>
          <w:lang w:val="en-GB"/>
        </w:rPr>
      </w:pPr>
    </w:p>
    <w:p w:rsidR="001544FD" w:rsidRPr="0028108F"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 xml:space="preserve">Theoretically, there could be multifarious models of a dual-track system.  The fundamental concept for devising </w:t>
      </w:r>
      <w:r w:rsidR="00AF14F5" w:rsidRPr="0028108F">
        <w:rPr>
          <w:rFonts w:ascii="Arial" w:hAnsi="Arial" w:cs="Arial"/>
          <w:color w:val="000000" w:themeColor="text1"/>
          <w:szCs w:val="24"/>
          <w:lang w:val="en-GB"/>
        </w:rPr>
        <w:t xml:space="preserve">a </w:t>
      </w:r>
      <w:r w:rsidRPr="0028108F">
        <w:rPr>
          <w:rFonts w:ascii="Arial" w:hAnsi="Arial" w:cs="Arial"/>
          <w:color w:val="000000" w:themeColor="text1"/>
          <w:szCs w:val="24"/>
          <w:lang w:val="en-GB"/>
        </w:rPr>
        <w:t xml:space="preserve">hypothetical model is to make different pathways </w:t>
      </w:r>
      <w:r w:rsidR="00766259" w:rsidRPr="0028108F">
        <w:rPr>
          <w:rFonts w:ascii="Arial" w:hAnsi="Arial" w:cs="Arial"/>
          <w:color w:val="000000" w:themeColor="text1"/>
          <w:szCs w:val="24"/>
          <w:lang w:val="en-GB"/>
        </w:rPr>
        <w:t xml:space="preserve">available to </w:t>
      </w:r>
      <w:r w:rsidRPr="0028108F">
        <w:rPr>
          <w:rFonts w:ascii="Arial" w:hAnsi="Arial" w:cs="Arial"/>
          <w:color w:val="000000" w:themeColor="text1"/>
          <w:szCs w:val="24"/>
          <w:lang w:val="en-GB"/>
        </w:rPr>
        <w:t xml:space="preserve">cater for different groups of applicants with their specific needs.  </w:t>
      </w:r>
      <w:r w:rsidR="00AF14F5" w:rsidRPr="0028108F">
        <w:rPr>
          <w:rFonts w:ascii="Arial" w:hAnsi="Arial" w:cs="Arial"/>
          <w:color w:val="000000" w:themeColor="text1"/>
          <w:szCs w:val="24"/>
          <w:lang w:val="en-GB"/>
        </w:rPr>
        <w:t>It is noted that so far</w:t>
      </w:r>
      <w:r w:rsidR="00766259" w:rsidRPr="0028108F">
        <w:rPr>
          <w:rFonts w:ascii="Arial" w:hAnsi="Arial" w:cs="Arial"/>
          <w:color w:val="000000" w:themeColor="text1"/>
          <w:szCs w:val="24"/>
          <w:lang w:val="en-GB"/>
        </w:rPr>
        <w:t>,</w:t>
      </w:r>
      <w:r w:rsidR="00AF14F5" w:rsidRPr="0028108F">
        <w:rPr>
          <w:rFonts w:ascii="Arial" w:hAnsi="Arial" w:cs="Arial"/>
          <w:color w:val="000000" w:themeColor="text1"/>
          <w:szCs w:val="24"/>
          <w:lang w:val="en-GB"/>
        </w:rPr>
        <w:t xml:space="preserve"> </w:t>
      </w:r>
      <w:r w:rsidRPr="0028108F">
        <w:rPr>
          <w:rFonts w:ascii="Arial" w:hAnsi="Arial" w:cs="Arial"/>
          <w:szCs w:val="24"/>
          <w:lang w:val="en-GB"/>
        </w:rPr>
        <w:t xml:space="preserve">no jurisdiction has been identified </w:t>
      </w:r>
      <w:r w:rsidR="00766259" w:rsidRPr="0028108F">
        <w:rPr>
          <w:rFonts w:ascii="Arial" w:hAnsi="Arial" w:cs="Arial"/>
          <w:szCs w:val="24"/>
          <w:lang w:val="en-GB"/>
        </w:rPr>
        <w:t>as</w:t>
      </w:r>
      <w:r w:rsidRPr="0028108F">
        <w:rPr>
          <w:rFonts w:ascii="Arial" w:hAnsi="Arial" w:cs="Arial"/>
          <w:szCs w:val="24"/>
          <w:lang w:val="en-GB"/>
        </w:rPr>
        <w:t xml:space="preserve"> hav</w:t>
      </w:r>
      <w:r w:rsidR="00766259" w:rsidRPr="0028108F">
        <w:rPr>
          <w:rFonts w:ascii="Arial" w:hAnsi="Arial" w:cs="Arial"/>
          <w:szCs w:val="24"/>
          <w:lang w:val="en-GB"/>
        </w:rPr>
        <w:t>ing</w:t>
      </w:r>
      <w:r w:rsidRPr="0028108F">
        <w:rPr>
          <w:rFonts w:ascii="Arial" w:hAnsi="Arial" w:cs="Arial"/>
          <w:szCs w:val="24"/>
          <w:lang w:val="en-GB"/>
        </w:rPr>
        <w:t xml:space="preserve"> adopted a</w:t>
      </w:r>
      <w:r w:rsidR="00AF14F5" w:rsidRPr="0028108F">
        <w:rPr>
          <w:rFonts w:ascii="Arial" w:hAnsi="Arial" w:cs="Arial"/>
          <w:szCs w:val="24"/>
          <w:lang w:val="en-GB"/>
        </w:rPr>
        <w:t xml:space="preserve"> dual-track</w:t>
      </w:r>
      <w:r w:rsidRPr="0028108F">
        <w:rPr>
          <w:rFonts w:ascii="Arial" w:hAnsi="Arial" w:cs="Arial"/>
          <w:szCs w:val="24"/>
          <w:lang w:val="en-GB"/>
        </w:rPr>
        <w:t xml:space="preserve"> model </w:t>
      </w:r>
      <w:r w:rsidR="00AF14F5" w:rsidRPr="0028108F">
        <w:rPr>
          <w:rFonts w:ascii="Arial" w:hAnsi="Arial" w:cs="Arial"/>
          <w:szCs w:val="24"/>
          <w:lang w:val="en-GB"/>
        </w:rPr>
        <w:t>for gender recognition</w:t>
      </w:r>
      <w:r w:rsidR="00D96BFD" w:rsidRPr="0028108F">
        <w:rPr>
          <w:rFonts w:ascii="Arial" w:hAnsi="Arial" w:cs="Arial"/>
          <w:szCs w:val="24"/>
          <w:lang w:val="en-GB"/>
        </w:rPr>
        <w:t>, but t</w:t>
      </w:r>
      <w:r w:rsidR="00AF14F5" w:rsidRPr="0028108F">
        <w:rPr>
          <w:rFonts w:ascii="Arial" w:hAnsi="Arial" w:cs="Arial"/>
          <w:szCs w:val="24"/>
          <w:lang w:val="en-GB"/>
        </w:rPr>
        <w:t>here has been discussion</w:t>
      </w:r>
      <w:r w:rsidR="00766259" w:rsidRPr="0028108F">
        <w:rPr>
          <w:rFonts w:ascii="Arial" w:hAnsi="Arial" w:cs="Arial"/>
          <w:szCs w:val="24"/>
          <w:lang w:val="en-GB"/>
        </w:rPr>
        <w:t xml:space="preserve"> about</w:t>
      </w:r>
      <w:r w:rsidR="00AF14F5" w:rsidRPr="0028108F">
        <w:rPr>
          <w:rFonts w:ascii="Arial" w:hAnsi="Arial" w:cs="Arial"/>
          <w:szCs w:val="24"/>
          <w:lang w:val="en-GB"/>
        </w:rPr>
        <w:t xml:space="preserve"> a </w:t>
      </w:r>
      <w:r w:rsidR="00D96BFD" w:rsidRPr="0028108F">
        <w:rPr>
          <w:rFonts w:ascii="Arial" w:hAnsi="Arial" w:cs="Arial"/>
          <w:szCs w:val="24"/>
          <w:lang w:val="en-GB"/>
        </w:rPr>
        <w:t>du</w:t>
      </w:r>
      <w:r w:rsidR="00766259" w:rsidRPr="0028108F">
        <w:rPr>
          <w:rFonts w:ascii="Arial" w:hAnsi="Arial" w:cs="Arial"/>
          <w:szCs w:val="24"/>
          <w:lang w:val="en-GB"/>
        </w:rPr>
        <w:t>a</w:t>
      </w:r>
      <w:r w:rsidR="00D96BFD" w:rsidRPr="0028108F">
        <w:rPr>
          <w:rFonts w:ascii="Arial" w:hAnsi="Arial" w:cs="Arial"/>
          <w:szCs w:val="24"/>
          <w:lang w:val="en-GB"/>
        </w:rPr>
        <w:t xml:space="preserve">l-track </w:t>
      </w:r>
      <w:r w:rsidR="00AF14F5" w:rsidRPr="0028108F">
        <w:rPr>
          <w:rFonts w:ascii="Arial" w:hAnsi="Arial" w:cs="Arial"/>
          <w:szCs w:val="24"/>
          <w:lang w:val="en-GB"/>
        </w:rPr>
        <w:t>model</w:t>
      </w:r>
      <w:r w:rsidR="00766259" w:rsidRPr="0028108F">
        <w:rPr>
          <w:rFonts w:ascii="Arial" w:hAnsi="Arial" w:cs="Arial"/>
          <w:szCs w:val="24"/>
          <w:lang w:val="en-GB"/>
        </w:rPr>
        <w:t xml:space="preserve"> in some quarters</w:t>
      </w:r>
      <w:r w:rsidRPr="0028108F">
        <w:rPr>
          <w:rFonts w:ascii="Arial" w:hAnsi="Arial" w:cs="Arial"/>
          <w:szCs w:val="24"/>
          <w:lang w:val="en-GB"/>
        </w:rPr>
        <w:t>.  As an illustration, a dual-track model was recently proposed by Rachael Wallbank, a qualified Mediator and Collaborative Law Practitioner in New South Wales of Australia</w:t>
      </w:r>
      <w:r w:rsidR="00766259" w:rsidRPr="0028108F">
        <w:rPr>
          <w:rFonts w:ascii="Arial" w:hAnsi="Arial" w:cs="Arial"/>
          <w:szCs w:val="24"/>
          <w:lang w:val="en-GB"/>
        </w:rPr>
        <w:t>,</w:t>
      </w:r>
      <w:r w:rsidRPr="00181CF2">
        <w:rPr>
          <w:rStyle w:val="FootnoteReference"/>
          <w:rFonts w:ascii="Arial" w:hAnsi="Arial" w:cs="Arial"/>
          <w:color w:val="000000" w:themeColor="text1"/>
          <w:lang w:val="en-GB"/>
        </w:rPr>
        <w:footnoteReference w:id="822"/>
      </w:r>
      <w:r w:rsidRPr="00C57CE1">
        <w:rPr>
          <w:rFonts w:ascii="Arial" w:hAnsi="Arial" w:cs="Arial"/>
          <w:szCs w:val="24"/>
          <w:lang w:val="en-GB"/>
        </w:rPr>
        <w:t xml:space="preserve"> </w:t>
      </w:r>
      <w:r w:rsidRPr="0028108F">
        <w:rPr>
          <w:rFonts w:ascii="Arial" w:hAnsi="Arial" w:cs="Arial"/>
          <w:szCs w:val="24"/>
          <w:lang w:val="en-GB"/>
        </w:rPr>
        <w:t xml:space="preserve">where she commented on the legal framework in Australia concerning gender recognition </w:t>
      </w:r>
      <w:r w:rsidR="00F179E3" w:rsidRPr="0028108F">
        <w:rPr>
          <w:rFonts w:ascii="Arial" w:hAnsi="Arial" w:cs="Arial"/>
          <w:szCs w:val="24"/>
          <w:lang w:val="en-GB"/>
        </w:rPr>
        <w:t>proposals</w:t>
      </w:r>
      <w:r w:rsidRPr="0028108F">
        <w:rPr>
          <w:rFonts w:ascii="Arial" w:hAnsi="Arial" w:cs="Arial"/>
          <w:szCs w:val="24"/>
          <w:lang w:val="en-GB"/>
        </w:rPr>
        <w:t>.</w:t>
      </w:r>
      <w:r w:rsidRPr="00181CF2">
        <w:rPr>
          <w:rStyle w:val="FootnoteReference"/>
          <w:rFonts w:ascii="Arial" w:hAnsi="Arial" w:cs="Arial"/>
          <w:color w:val="000000" w:themeColor="text1"/>
          <w:lang w:val="en-GB"/>
        </w:rPr>
        <w:footnoteReference w:id="823"/>
      </w:r>
      <w:r w:rsidRPr="00181CF2">
        <w:rPr>
          <w:rFonts w:ascii="Arial" w:hAnsi="Arial" w:cs="Arial"/>
          <w:szCs w:val="24"/>
          <w:lang w:val="en-GB"/>
        </w:rPr>
        <w:t xml:space="preserve">  </w:t>
      </w:r>
      <w:r w:rsidR="00766259" w:rsidRPr="0028108F">
        <w:rPr>
          <w:rFonts w:ascii="Arial" w:hAnsi="Arial" w:cs="Arial"/>
          <w:szCs w:val="24"/>
          <w:lang w:val="en-GB"/>
        </w:rPr>
        <w:t>A</w:t>
      </w:r>
      <w:r w:rsidRPr="0028108F">
        <w:rPr>
          <w:rFonts w:ascii="Arial" w:hAnsi="Arial" w:cs="Arial"/>
          <w:szCs w:val="24"/>
          <w:lang w:val="en-GB"/>
        </w:rPr>
        <w:t xml:space="preserve">ccording to Wallbank, </w:t>
      </w:r>
      <w:r w:rsidR="00E600E9" w:rsidRPr="0028108F">
        <w:rPr>
          <w:rFonts w:ascii="Arial" w:hAnsi="Arial" w:cs="Arial"/>
          <w:szCs w:val="24"/>
          <w:lang w:val="en-GB"/>
        </w:rPr>
        <w:t>“</w:t>
      </w:r>
      <w:r w:rsidRPr="0028108F">
        <w:rPr>
          <w:rFonts w:ascii="Arial" w:hAnsi="Arial" w:cs="Arial"/>
          <w:i/>
          <w:szCs w:val="24"/>
          <w:lang w:val="en-GB"/>
        </w:rPr>
        <w:t>[a] practical and fair system for the reassignment of Legal Sex</w:t>
      </w:r>
      <w:r w:rsidRPr="0028108F">
        <w:rPr>
          <w:rStyle w:val="FootnoteReference"/>
          <w:rFonts w:ascii="Arial" w:hAnsi="Arial" w:cs="Arial"/>
          <w:color w:val="000000" w:themeColor="text1"/>
          <w:lang w:val="en-GB"/>
        </w:rPr>
        <w:footnoteReference w:id="824"/>
      </w:r>
      <w:r w:rsidRPr="0028108F">
        <w:rPr>
          <w:rFonts w:ascii="Arial" w:hAnsi="Arial" w:cs="Arial"/>
          <w:i/>
          <w:szCs w:val="24"/>
          <w:lang w:val="en-GB"/>
        </w:rPr>
        <w:t xml:space="preserve"> does not create legal hierarchies and provides the same rules for all people who seek to have their Legal Sex reassigned</w:t>
      </w:r>
      <w:r w:rsidRPr="0028108F">
        <w:rPr>
          <w:rFonts w:ascii="Arial" w:hAnsi="Arial" w:cs="Arial"/>
          <w:szCs w:val="24"/>
          <w:lang w:val="en-GB"/>
        </w:rPr>
        <w:t xml:space="preserve">.”  Her </w:t>
      </w:r>
      <w:r w:rsidR="00AF14F5" w:rsidRPr="0028108F">
        <w:rPr>
          <w:rFonts w:ascii="Arial" w:hAnsi="Arial" w:cs="Arial"/>
          <w:szCs w:val="24"/>
          <w:lang w:val="en-GB"/>
        </w:rPr>
        <w:t xml:space="preserve">proposed </w:t>
      </w:r>
      <w:r w:rsidRPr="0028108F">
        <w:rPr>
          <w:rFonts w:ascii="Arial" w:hAnsi="Arial" w:cs="Arial"/>
          <w:szCs w:val="24"/>
          <w:lang w:val="en-GB"/>
        </w:rPr>
        <w:t>model for the Australian government is as follows:</w:t>
      </w:r>
    </w:p>
    <w:p w:rsidR="001544FD" w:rsidRPr="0028108F" w:rsidRDefault="001544FD" w:rsidP="00961014">
      <w:pPr>
        <w:tabs>
          <w:tab w:val="left" w:pos="851"/>
        </w:tabs>
        <w:adjustRightInd w:val="0"/>
        <w:snapToGrid w:val="0"/>
        <w:jc w:val="both"/>
        <w:rPr>
          <w:rFonts w:ascii="Arial" w:hAnsi="Arial" w:cs="Arial"/>
          <w:b/>
          <w:szCs w:val="24"/>
          <w:lang w:val="en-GB"/>
        </w:rPr>
      </w:pPr>
    </w:p>
    <w:p w:rsidR="001544FD" w:rsidRPr="0028108F" w:rsidRDefault="001544FD" w:rsidP="00F532D8">
      <w:pPr>
        <w:pStyle w:val="ListParagraph"/>
        <w:tabs>
          <w:tab w:val="left" w:pos="851"/>
        </w:tabs>
        <w:adjustRightInd w:val="0"/>
        <w:snapToGrid w:val="0"/>
        <w:ind w:leftChars="0" w:left="851" w:rightChars="212" w:right="509"/>
        <w:jc w:val="both"/>
        <w:rPr>
          <w:rFonts w:ascii="Arial" w:hAnsi="Arial" w:cs="Arial"/>
          <w:i/>
          <w:szCs w:val="24"/>
          <w:lang w:val="en-GB"/>
        </w:rPr>
      </w:pPr>
      <w:r w:rsidRPr="0028108F">
        <w:rPr>
          <w:rFonts w:ascii="Arial" w:hAnsi="Arial" w:cs="Arial"/>
          <w:i/>
          <w:szCs w:val="24"/>
          <w:lang w:val="en-GB"/>
        </w:rPr>
        <w:t xml:space="preserve">“(1)  A primary pathway for those applicants who are able to provide the reports of two </w:t>
      </w:r>
      <w:r w:rsidRPr="0028108F">
        <w:rPr>
          <w:rFonts w:ascii="Arial" w:hAnsi="Arial" w:cs="Arial"/>
          <w:i/>
          <w:color w:val="000000" w:themeColor="text1"/>
          <w:szCs w:val="24"/>
          <w:lang w:val="en-GB"/>
        </w:rPr>
        <w:t>suitably</w:t>
      </w:r>
      <w:r w:rsidRPr="0028108F">
        <w:rPr>
          <w:rFonts w:ascii="Arial" w:hAnsi="Arial" w:cs="Arial"/>
          <w:i/>
          <w:szCs w:val="24"/>
          <w:lang w:val="en-GB"/>
        </w:rPr>
        <w:t xml:space="preserve"> qualified doctors certifying that they had </w:t>
      </w:r>
      <w:r w:rsidRPr="0028108F">
        <w:rPr>
          <w:rFonts w:ascii="Arial" w:hAnsi="Arial" w:cs="Arial"/>
          <w:i/>
          <w:color w:val="000000" w:themeColor="text1"/>
          <w:szCs w:val="24"/>
          <w:lang w:val="en-GB"/>
        </w:rPr>
        <w:t>undergone</w:t>
      </w:r>
      <w:r w:rsidRPr="0028108F">
        <w:rPr>
          <w:rFonts w:ascii="Arial" w:hAnsi="Arial" w:cs="Arial"/>
          <w:i/>
          <w:szCs w:val="24"/>
          <w:lang w:val="en-GB"/>
        </w:rPr>
        <w:t xml:space="preserve"> a ‘sex affirmation procedure’ defined as:</w:t>
      </w:r>
    </w:p>
    <w:p w:rsidR="001544FD" w:rsidRPr="0028108F" w:rsidRDefault="001544FD" w:rsidP="00961014">
      <w:pPr>
        <w:tabs>
          <w:tab w:val="left" w:pos="851"/>
        </w:tabs>
        <w:adjustRightInd w:val="0"/>
        <w:snapToGrid w:val="0"/>
        <w:ind w:left="480"/>
        <w:jc w:val="both"/>
        <w:rPr>
          <w:rFonts w:ascii="Arial" w:hAnsi="Arial" w:cs="Arial"/>
          <w:i/>
          <w:szCs w:val="24"/>
          <w:lang w:val="en-GB"/>
        </w:rPr>
      </w:pPr>
      <w:r w:rsidRPr="0028108F">
        <w:rPr>
          <w:rFonts w:ascii="Arial" w:hAnsi="Arial" w:cs="Arial"/>
          <w:i/>
          <w:szCs w:val="24"/>
          <w:lang w:val="en-GB"/>
        </w:rPr>
        <w:tab/>
      </w:r>
    </w:p>
    <w:p w:rsidR="001544FD" w:rsidRPr="0028108F" w:rsidRDefault="001544FD" w:rsidP="00F532D8">
      <w:pPr>
        <w:pStyle w:val="ListParagraph"/>
        <w:tabs>
          <w:tab w:val="left" w:pos="1418"/>
        </w:tabs>
        <w:adjustRightInd w:val="0"/>
        <w:snapToGrid w:val="0"/>
        <w:ind w:leftChars="0" w:left="1418" w:rightChars="212" w:right="509"/>
        <w:jc w:val="both"/>
        <w:rPr>
          <w:rFonts w:ascii="Arial" w:hAnsi="Arial" w:cs="Arial"/>
          <w:i/>
          <w:szCs w:val="24"/>
          <w:lang w:val="en-GB"/>
        </w:rPr>
      </w:pPr>
      <w:r w:rsidRPr="0028108F">
        <w:rPr>
          <w:rFonts w:ascii="Arial" w:hAnsi="Arial" w:cs="Arial"/>
          <w:i/>
          <w:szCs w:val="24"/>
          <w:lang w:val="en-GB"/>
        </w:rPr>
        <w:t>‘A surgical or medical procedure involving the person’s reproductive organs carried out for the purpose of assisting a person to be considered to be a member of their affirmed sex.’</w:t>
      </w:r>
    </w:p>
    <w:p w:rsidR="001544FD" w:rsidRPr="0028108F" w:rsidRDefault="001544FD" w:rsidP="00961014">
      <w:pPr>
        <w:tabs>
          <w:tab w:val="left" w:pos="851"/>
        </w:tabs>
        <w:adjustRightInd w:val="0"/>
        <w:snapToGrid w:val="0"/>
        <w:ind w:left="480"/>
        <w:jc w:val="both"/>
        <w:rPr>
          <w:rFonts w:ascii="Arial" w:hAnsi="Arial" w:cs="Arial"/>
          <w:i/>
          <w:szCs w:val="24"/>
          <w:lang w:val="en-GB"/>
        </w:rPr>
      </w:pPr>
    </w:p>
    <w:p w:rsidR="001544FD" w:rsidRPr="0028108F" w:rsidRDefault="001544FD" w:rsidP="00F532D8">
      <w:pPr>
        <w:pStyle w:val="ListParagraph"/>
        <w:tabs>
          <w:tab w:val="left" w:pos="851"/>
        </w:tabs>
        <w:adjustRightInd w:val="0"/>
        <w:snapToGrid w:val="0"/>
        <w:ind w:leftChars="0" w:left="851" w:rightChars="212" w:right="509"/>
        <w:jc w:val="both"/>
        <w:rPr>
          <w:rFonts w:ascii="Arial" w:hAnsi="Arial" w:cs="Arial"/>
          <w:szCs w:val="24"/>
          <w:lang w:val="en-GB"/>
        </w:rPr>
      </w:pPr>
      <w:r w:rsidRPr="0028108F">
        <w:rPr>
          <w:rFonts w:ascii="Arial" w:hAnsi="Arial" w:cs="Arial"/>
          <w:i/>
          <w:szCs w:val="24"/>
          <w:lang w:val="en-GB"/>
        </w:rPr>
        <w:t xml:space="preserve">(2)  A secondary pathway for applicants who are unable to satisfy the requirement of the primary pathway, due to age, health or financial reasons, but who are able to satisfy an expert medico-legal board that a recognition or reassignment of their Legal Sex should nevertheless be made based upon the principle that it is the fundamental task of the board, in a legal and social context that assigns all human beings in the community into either the Male or the Female Legal Sex, to assign applicants to one Legal Sex or the other, including individuals whose characteristics are not uniformly those of one or other biological sex, based upon a </w:t>
      </w:r>
      <w:r w:rsidRPr="0028108F">
        <w:rPr>
          <w:rFonts w:ascii="Arial" w:hAnsi="Arial" w:cs="Arial"/>
          <w:i/>
          <w:szCs w:val="24"/>
          <w:u w:val="single"/>
          <w:lang w:val="en-GB"/>
        </w:rPr>
        <w:t>Re Kevin style</w:t>
      </w:r>
      <w:r w:rsidRPr="00181CF2">
        <w:rPr>
          <w:rFonts w:ascii="Arial" w:hAnsi="Arial" w:cs="Arial"/>
          <w:i/>
          <w:szCs w:val="24"/>
          <w:lang w:val="en-GB"/>
        </w:rPr>
        <w:t xml:space="preserve"> holistic objective assessment of which Legal Sex is a best fit for both the applicant and the community.”</w:t>
      </w:r>
      <w:r w:rsidR="0071338F" w:rsidRPr="00C57CE1">
        <w:rPr>
          <w:rFonts w:ascii="Arial" w:hAnsi="Arial" w:cs="Arial"/>
          <w:szCs w:val="24"/>
          <w:lang w:val="en-GB"/>
        </w:rPr>
        <w:t xml:space="preserve"> (emphasis added)</w:t>
      </w:r>
    </w:p>
    <w:p w:rsidR="001544FD" w:rsidRPr="00181CF2" w:rsidRDefault="001544FD" w:rsidP="001544FD">
      <w:pPr>
        <w:tabs>
          <w:tab w:val="left" w:pos="851"/>
        </w:tabs>
        <w:adjustRightInd w:val="0"/>
        <w:snapToGrid w:val="0"/>
        <w:jc w:val="both"/>
        <w:rPr>
          <w:rFonts w:ascii="Arial" w:hAnsi="Arial" w:cs="Arial"/>
          <w:i/>
          <w:szCs w:val="24"/>
          <w:lang w:val="en-GB"/>
        </w:rPr>
      </w:pPr>
    </w:p>
    <w:p w:rsidR="001544FD" w:rsidRPr="00C57CE1"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i/>
          <w:szCs w:val="24"/>
          <w:lang w:val="en-GB"/>
        </w:rPr>
      </w:pPr>
      <w:r w:rsidRPr="00C57CE1">
        <w:rPr>
          <w:rFonts w:ascii="Arial" w:hAnsi="Arial" w:cs="Arial"/>
          <w:szCs w:val="24"/>
          <w:lang w:val="en-GB"/>
        </w:rPr>
        <w:t xml:space="preserve">To clarify, a </w:t>
      </w:r>
      <w:r w:rsidRPr="0028108F">
        <w:rPr>
          <w:rFonts w:ascii="Arial" w:hAnsi="Arial" w:cs="Arial"/>
          <w:i/>
          <w:szCs w:val="24"/>
          <w:lang w:val="en-GB"/>
        </w:rPr>
        <w:t>“Re Kevin style</w:t>
      </w:r>
      <w:r w:rsidRPr="0028108F">
        <w:rPr>
          <w:rFonts w:ascii="Arial" w:hAnsi="Arial" w:cs="Arial"/>
          <w:szCs w:val="24"/>
          <w:lang w:val="en-GB"/>
        </w:rPr>
        <w:t>” assessment</w:t>
      </w:r>
      <w:r w:rsidR="00F179E3" w:rsidRPr="0028108F">
        <w:rPr>
          <w:rFonts w:ascii="Arial" w:hAnsi="Arial" w:cs="Arial"/>
          <w:szCs w:val="24"/>
          <w:lang w:val="en-GB"/>
        </w:rPr>
        <w:t xml:space="preserve"> mentioned above </w:t>
      </w:r>
      <w:r w:rsidRPr="0028108F">
        <w:rPr>
          <w:rFonts w:ascii="Arial" w:hAnsi="Arial" w:cs="Arial"/>
          <w:szCs w:val="24"/>
          <w:lang w:val="en-GB"/>
        </w:rPr>
        <w:t>is, according to Wallbank, an “</w:t>
      </w:r>
      <w:r w:rsidR="0071338F" w:rsidRPr="00B25672">
        <w:rPr>
          <w:rFonts w:ascii="Arial" w:hAnsi="Arial" w:cs="Arial"/>
          <w:i/>
          <w:szCs w:val="24"/>
          <w:lang w:val="en-GB"/>
        </w:rPr>
        <w:t>i</w:t>
      </w:r>
      <w:r w:rsidRPr="00B25672">
        <w:rPr>
          <w:rFonts w:ascii="Arial" w:hAnsi="Arial" w:cs="Arial"/>
          <w:i/>
          <w:szCs w:val="24"/>
          <w:lang w:val="en-GB"/>
        </w:rPr>
        <w:t>nclusive approach to Legal Sex</w:t>
      </w:r>
      <w:r w:rsidRPr="0028108F">
        <w:rPr>
          <w:rFonts w:ascii="Arial" w:hAnsi="Arial" w:cs="Arial"/>
          <w:szCs w:val="24"/>
          <w:lang w:val="en-GB"/>
        </w:rPr>
        <w:t>” that “</w:t>
      </w:r>
      <w:r w:rsidRPr="0028108F">
        <w:rPr>
          <w:rFonts w:ascii="Arial" w:hAnsi="Arial" w:cs="Arial"/>
          <w:i/>
          <w:szCs w:val="24"/>
          <w:lang w:val="en-GB"/>
        </w:rPr>
        <w:t>presumes or recognises the natural diversity that exists in human sexual formation and gender expression and then seeks to assimilate and assign that diversity into either of the culturally understood and accepted ‘Male’ or ‘Female’ categories of Legal Sex.</w:t>
      </w:r>
      <w:r w:rsidRPr="0028108F">
        <w:rPr>
          <w:rFonts w:ascii="Arial" w:hAnsi="Arial" w:cs="Arial"/>
          <w:szCs w:val="24"/>
          <w:lang w:val="en-GB"/>
        </w:rPr>
        <w:t>”</w:t>
      </w:r>
      <w:r w:rsidRPr="0028108F">
        <w:rPr>
          <w:rStyle w:val="FootnoteReference"/>
          <w:rFonts w:ascii="Arial" w:hAnsi="Arial" w:cs="Arial"/>
          <w:color w:val="000000" w:themeColor="text1"/>
          <w:lang w:val="en-GB"/>
        </w:rPr>
        <w:footnoteReference w:id="825"/>
      </w:r>
      <w:r w:rsidRPr="0028108F">
        <w:rPr>
          <w:rFonts w:ascii="Arial" w:hAnsi="Arial" w:cs="Arial"/>
          <w:color w:val="000000" w:themeColor="text1"/>
          <w:lang w:val="en-GB"/>
        </w:rPr>
        <w:t xml:space="preserve">  </w:t>
      </w:r>
      <w:r w:rsidRPr="0028108F">
        <w:rPr>
          <w:rFonts w:ascii="Arial" w:hAnsi="Arial" w:cs="Arial"/>
          <w:szCs w:val="24"/>
          <w:lang w:val="en-GB"/>
        </w:rPr>
        <w:t xml:space="preserve">The case of </w:t>
      </w:r>
      <w:r w:rsidRPr="0028108F">
        <w:rPr>
          <w:rFonts w:ascii="Arial" w:hAnsi="Arial" w:cs="Arial"/>
          <w:i/>
          <w:szCs w:val="24"/>
          <w:lang w:val="en-GB"/>
        </w:rPr>
        <w:t>Re Kevin</w:t>
      </w:r>
      <w:r w:rsidRPr="0028108F">
        <w:rPr>
          <w:rStyle w:val="FootnoteReference"/>
          <w:rFonts w:ascii="Arial" w:hAnsi="Arial" w:cs="Arial"/>
          <w:color w:val="000000" w:themeColor="text1"/>
          <w:lang w:val="en-GB"/>
        </w:rPr>
        <w:footnoteReference w:id="826"/>
      </w:r>
      <w:r w:rsidRPr="0028108F">
        <w:rPr>
          <w:rFonts w:ascii="Arial" w:hAnsi="Arial" w:cs="Arial"/>
          <w:i/>
          <w:szCs w:val="24"/>
          <w:lang w:val="en-GB"/>
        </w:rPr>
        <w:t xml:space="preserve"> </w:t>
      </w:r>
      <w:r w:rsidRPr="0028108F">
        <w:rPr>
          <w:rFonts w:ascii="Arial" w:hAnsi="Arial" w:cs="Arial"/>
          <w:szCs w:val="24"/>
          <w:lang w:val="en-GB"/>
        </w:rPr>
        <w:t>concerned an application for a declaration of the validity of a marriage between a woman, Jennifer, and Kevin, who was born with female characteristics but then affirmed the male sex and under</w:t>
      </w:r>
      <w:r w:rsidR="001B5829" w:rsidRPr="0028108F">
        <w:rPr>
          <w:rFonts w:ascii="Arial" w:hAnsi="Arial" w:cs="Arial"/>
          <w:szCs w:val="24"/>
          <w:lang w:val="en-GB"/>
        </w:rPr>
        <w:t>went</w:t>
      </w:r>
      <w:r w:rsidRPr="0028108F">
        <w:rPr>
          <w:rFonts w:ascii="Arial" w:hAnsi="Arial" w:cs="Arial"/>
          <w:szCs w:val="24"/>
          <w:lang w:val="en-GB"/>
        </w:rPr>
        <w:t xml:space="preserve"> hormonal treatment, chest reconstruction surgery and a total hysterectomy with bilateral oophorectomy (no phalloplasty procedure was undertaken).  It was held, </w:t>
      </w:r>
      <w:r w:rsidRPr="0028108F">
        <w:rPr>
          <w:rFonts w:ascii="Arial" w:hAnsi="Arial" w:cs="Arial"/>
          <w:i/>
          <w:szCs w:val="24"/>
          <w:lang w:val="en-GB"/>
        </w:rPr>
        <w:t>inter alia</w:t>
      </w:r>
      <w:r w:rsidRPr="0028108F">
        <w:rPr>
          <w:rFonts w:ascii="Arial" w:hAnsi="Arial" w:cs="Arial"/>
          <w:szCs w:val="24"/>
          <w:lang w:val="en-GB"/>
        </w:rPr>
        <w:t>, that the marriage concerned was valid having regard to all the circumstances, and in particular that Kevin</w:t>
      </w:r>
      <w:r w:rsidR="001B5829" w:rsidRPr="0028108F">
        <w:rPr>
          <w:rFonts w:ascii="Arial" w:hAnsi="Arial" w:cs="Arial"/>
          <w:szCs w:val="24"/>
          <w:lang w:val="en-GB"/>
        </w:rPr>
        <w:t>:</w:t>
      </w:r>
      <w:r w:rsidRPr="0028108F">
        <w:rPr>
          <w:rFonts w:ascii="Arial" w:hAnsi="Arial" w:cs="Arial"/>
          <w:szCs w:val="24"/>
          <w:lang w:val="en-GB"/>
        </w:rPr>
        <w:t xml:space="preserve"> (a) had always perceived himself to be a male</w:t>
      </w:r>
      <w:r w:rsidR="001B5829" w:rsidRPr="0028108F">
        <w:rPr>
          <w:rFonts w:ascii="Arial" w:hAnsi="Arial" w:cs="Arial"/>
          <w:szCs w:val="24"/>
          <w:lang w:val="en-GB"/>
        </w:rPr>
        <w:t>;</w:t>
      </w:r>
      <w:r w:rsidRPr="0028108F">
        <w:rPr>
          <w:rFonts w:ascii="Arial" w:hAnsi="Arial" w:cs="Arial"/>
          <w:szCs w:val="24"/>
          <w:lang w:val="en-GB"/>
        </w:rPr>
        <w:t xml:space="preserve"> (b) was perceived by those who knew him to have had male characteristics since he was a young child</w:t>
      </w:r>
      <w:r w:rsidR="001B5829" w:rsidRPr="0028108F">
        <w:rPr>
          <w:rFonts w:ascii="Arial" w:hAnsi="Arial" w:cs="Arial"/>
          <w:szCs w:val="24"/>
          <w:lang w:val="en-GB"/>
        </w:rPr>
        <w:t>;</w:t>
      </w:r>
      <w:r w:rsidRPr="0028108F">
        <w:rPr>
          <w:rFonts w:ascii="Arial" w:hAnsi="Arial" w:cs="Arial"/>
          <w:szCs w:val="24"/>
          <w:lang w:val="en-GB"/>
        </w:rPr>
        <w:t xml:space="preserve"> (c) went through the treatments prior to the marriage which were regarded as a full process of transsexual re-assignment</w:t>
      </w:r>
      <w:r w:rsidR="001B5829" w:rsidRPr="0028108F">
        <w:rPr>
          <w:rFonts w:ascii="Arial" w:hAnsi="Arial" w:cs="Arial"/>
          <w:szCs w:val="24"/>
          <w:lang w:val="en-GB"/>
        </w:rPr>
        <w:t>;</w:t>
      </w:r>
      <w:r w:rsidRPr="0028108F">
        <w:rPr>
          <w:rFonts w:ascii="Arial" w:hAnsi="Arial" w:cs="Arial"/>
          <w:szCs w:val="24"/>
          <w:lang w:val="en-GB"/>
        </w:rPr>
        <w:t xml:space="preserve"> and (d) appeared and behaved and was perceived as a man at the time of the marriage.</w:t>
      </w:r>
      <w:r w:rsidRPr="00181CF2">
        <w:rPr>
          <w:rStyle w:val="FootnoteReference"/>
          <w:rFonts w:ascii="Arial" w:hAnsi="Arial" w:cs="Arial"/>
          <w:color w:val="000000" w:themeColor="text1"/>
          <w:lang w:val="en-GB"/>
        </w:rPr>
        <w:footnoteReference w:id="827"/>
      </w:r>
      <w:r w:rsidRPr="00181CF2">
        <w:rPr>
          <w:rFonts w:ascii="Arial" w:hAnsi="Arial" w:cs="Arial"/>
          <w:szCs w:val="24"/>
          <w:lang w:val="en-GB"/>
        </w:rPr>
        <w:t xml:space="preserve">  </w:t>
      </w:r>
      <w:r w:rsidRPr="00C57CE1">
        <w:rPr>
          <w:rFonts w:ascii="Arial" w:hAnsi="Arial" w:cs="Arial"/>
          <w:i/>
          <w:szCs w:val="24"/>
          <w:lang w:val="en-GB"/>
        </w:rPr>
        <w:t xml:space="preserve"> </w:t>
      </w:r>
    </w:p>
    <w:p w:rsidR="001544FD" w:rsidRPr="0028108F" w:rsidRDefault="001544FD" w:rsidP="0028108F">
      <w:pPr>
        <w:tabs>
          <w:tab w:val="left" w:pos="851"/>
        </w:tabs>
        <w:adjustRightInd w:val="0"/>
        <w:snapToGrid w:val="0"/>
        <w:jc w:val="both"/>
        <w:rPr>
          <w:rFonts w:ascii="Arial" w:hAnsi="Arial" w:cs="Arial"/>
          <w:i/>
          <w:szCs w:val="24"/>
          <w:lang w:val="en-GB"/>
        </w:rPr>
      </w:pPr>
    </w:p>
    <w:p w:rsidR="001544FD" w:rsidRPr="00181CF2" w:rsidRDefault="001544FD" w:rsidP="001544FD">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i/>
          <w:szCs w:val="24"/>
          <w:lang w:val="en-GB"/>
        </w:rPr>
      </w:pPr>
      <w:r w:rsidRPr="0028108F">
        <w:rPr>
          <w:rFonts w:ascii="Arial" w:hAnsi="Arial" w:cs="Arial"/>
          <w:szCs w:val="24"/>
          <w:lang w:val="en-GB"/>
        </w:rPr>
        <w:t xml:space="preserve">It can be seen that Wallbank’s suggested dual-track model was based on her hypothesis that every citizen should only be assigned a male or a female legal sex, </w:t>
      </w:r>
      <w:r w:rsidR="0071338F" w:rsidRPr="0028108F">
        <w:rPr>
          <w:rFonts w:ascii="Arial" w:hAnsi="Arial" w:cs="Arial"/>
          <w:szCs w:val="24"/>
          <w:lang w:val="en-GB"/>
        </w:rPr>
        <w:t>despite the fact that</w:t>
      </w:r>
      <w:r w:rsidRPr="0028108F">
        <w:rPr>
          <w:rFonts w:ascii="Arial" w:hAnsi="Arial" w:cs="Arial"/>
          <w:szCs w:val="24"/>
          <w:lang w:val="en-GB"/>
        </w:rPr>
        <w:t xml:space="preserve"> Australia recognised third gender in its gender recognition law.  Save for this, Wallbank consider</w:t>
      </w:r>
      <w:r w:rsidR="00F179E3" w:rsidRPr="0028108F">
        <w:rPr>
          <w:rFonts w:ascii="Arial" w:hAnsi="Arial" w:cs="Arial"/>
          <w:szCs w:val="24"/>
          <w:lang w:val="en-GB"/>
        </w:rPr>
        <w:t>ed</w:t>
      </w:r>
      <w:r w:rsidRPr="0028108F">
        <w:rPr>
          <w:rFonts w:ascii="Arial" w:hAnsi="Arial" w:cs="Arial"/>
          <w:szCs w:val="24"/>
          <w:lang w:val="en-GB"/>
        </w:rPr>
        <w:t xml:space="preserve"> that </w:t>
      </w:r>
      <w:r w:rsidRPr="0028108F">
        <w:rPr>
          <w:rFonts w:ascii="Arial" w:hAnsi="Arial" w:cs="Arial"/>
          <w:i/>
          <w:szCs w:val="24"/>
          <w:lang w:val="en-GB"/>
        </w:rPr>
        <w:t>“freedom of gender expression is a fundamental human right and that such right should have legal protection</w:t>
      </w:r>
      <w:r w:rsidR="001B5829" w:rsidRPr="0028108F">
        <w:rPr>
          <w:rFonts w:ascii="Arial" w:hAnsi="Arial" w:cs="Arial"/>
          <w:i/>
          <w:szCs w:val="24"/>
          <w:lang w:val="en-GB"/>
        </w:rPr>
        <w:t>.</w:t>
      </w:r>
      <w:r w:rsidRPr="0028108F">
        <w:rPr>
          <w:rFonts w:ascii="Arial" w:hAnsi="Arial" w:cs="Arial"/>
          <w:szCs w:val="24"/>
          <w:lang w:val="en-GB"/>
        </w:rPr>
        <w:t>”  Wallbank observed</w:t>
      </w:r>
      <w:r w:rsidR="004669A8" w:rsidRPr="0028108F">
        <w:rPr>
          <w:rFonts w:ascii="Arial" w:hAnsi="Arial" w:cs="Arial"/>
          <w:szCs w:val="24"/>
          <w:lang w:val="en-GB"/>
        </w:rPr>
        <w:t xml:space="preserve"> that</w:t>
      </w:r>
      <w:r w:rsidRPr="0028108F">
        <w:rPr>
          <w:rFonts w:ascii="Arial" w:hAnsi="Arial" w:cs="Arial"/>
          <w:szCs w:val="24"/>
          <w:lang w:val="en-GB"/>
        </w:rPr>
        <w:t xml:space="preserve"> this dual pathway model “</w:t>
      </w:r>
      <w:r w:rsidRPr="0028108F">
        <w:rPr>
          <w:rFonts w:ascii="Arial" w:hAnsi="Arial" w:cs="Arial"/>
          <w:i/>
          <w:szCs w:val="24"/>
          <w:lang w:val="en-GB"/>
        </w:rPr>
        <w:t>provides a reasonable balance between the needs of the individual and community concerning Legal Sex as an aspect of legal identity and provides the law with a compassionate discretionary capacity.</w:t>
      </w:r>
      <w:r w:rsidRPr="0028108F">
        <w:rPr>
          <w:rFonts w:ascii="Arial" w:hAnsi="Arial" w:cs="Arial"/>
          <w:szCs w:val="24"/>
          <w:lang w:val="en-GB"/>
        </w:rPr>
        <w:t>”</w:t>
      </w:r>
      <w:r w:rsidRPr="00181CF2">
        <w:rPr>
          <w:rStyle w:val="FootnoteReference"/>
          <w:rFonts w:ascii="Arial" w:hAnsi="Arial" w:cs="Arial"/>
          <w:color w:val="000000" w:themeColor="text1"/>
          <w:lang w:val="en-GB"/>
        </w:rPr>
        <w:footnoteReference w:id="828"/>
      </w:r>
    </w:p>
    <w:p w:rsidR="001544FD" w:rsidRPr="00C57CE1" w:rsidRDefault="001544FD" w:rsidP="00961014">
      <w:pPr>
        <w:tabs>
          <w:tab w:val="left" w:pos="851"/>
        </w:tabs>
        <w:adjustRightInd w:val="0"/>
        <w:snapToGrid w:val="0"/>
        <w:jc w:val="both"/>
        <w:rPr>
          <w:rFonts w:ascii="Arial" w:hAnsi="Arial" w:cs="Arial"/>
          <w:color w:val="000000" w:themeColor="text1"/>
          <w:szCs w:val="24"/>
          <w:lang w:val="en-GB"/>
        </w:rPr>
      </w:pPr>
    </w:p>
    <w:p w:rsidR="001544FD" w:rsidRPr="0028108F" w:rsidRDefault="001544FD" w:rsidP="00F532D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 xml:space="preserve"> </w:t>
      </w:r>
      <w:r w:rsidRPr="0028108F">
        <w:rPr>
          <w:rFonts w:ascii="Arial" w:hAnsi="Arial" w:cs="Arial"/>
          <w:szCs w:val="24"/>
          <w:lang w:val="en-GB"/>
        </w:rPr>
        <w:t>The</w:t>
      </w:r>
      <w:r w:rsidRPr="0028108F">
        <w:rPr>
          <w:rFonts w:ascii="Arial" w:hAnsi="Arial" w:cs="Arial"/>
          <w:color w:val="000000" w:themeColor="text1"/>
          <w:szCs w:val="24"/>
          <w:lang w:val="en-GB"/>
        </w:rPr>
        <w:t xml:space="preserve"> Wallbank model </w:t>
      </w:r>
      <w:r w:rsidR="00636CCD" w:rsidRPr="0028108F">
        <w:rPr>
          <w:rFonts w:ascii="Arial" w:hAnsi="Arial" w:cs="Arial"/>
          <w:color w:val="000000" w:themeColor="text1"/>
          <w:szCs w:val="24"/>
          <w:lang w:val="en-GB"/>
        </w:rPr>
        <w:t xml:space="preserve">may </w:t>
      </w:r>
      <w:r w:rsidRPr="0028108F">
        <w:rPr>
          <w:rFonts w:ascii="Arial" w:hAnsi="Arial" w:cs="Arial"/>
          <w:color w:val="000000" w:themeColor="text1"/>
          <w:szCs w:val="24"/>
          <w:lang w:val="en-GB"/>
        </w:rPr>
        <w:t>provide an insight for the formulation of a dual-track scheme</w:t>
      </w:r>
      <w:r w:rsidR="0071338F" w:rsidRPr="0028108F">
        <w:rPr>
          <w:rFonts w:ascii="Arial" w:hAnsi="Arial" w:cs="Arial"/>
          <w:color w:val="000000" w:themeColor="text1"/>
          <w:szCs w:val="24"/>
          <w:lang w:val="en-GB"/>
        </w:rPr>
        <w:t xml:space="preserve"> in Hong Kong</w:t>
      </w:r>
      <w:r w:rsidRPr="0028108F">
        <w:rPr>
          <w:rFonts w:ascii="Arial" w:hAnsi="Arial" w:cs="Arial"/>
          <w:color w:val="000000" w:themeColor="text1"/>
          <w:szCs w:val="24"/>
          <w:lang w:val="en-GB"/>
        </w:rPr>
        <w:t>.  The following are two variant forms resembling the Wallbank model as examples to illustrate how a dual-track model may work:</w:t>
      </w:r>
    </w:p>
    <w:p w:rsidR="00B14A7F" w:rsidRPr="0028108F" w:rsidRDefault="00B14A7F" w:rsidP="001544FD">
      <w:pPr>
        <w:pStyle w:val="ListParagraph"/>
        <w:tabs>
          <w:tab w:val="left" w:pos="1701"/>
          <w:tab w:val="left" w:pos="2552"/>
        </w:tabs>
        <w:ind w:leftChars="0"/>
        <w:rPr>
          <w:rFonts w:ascii="Arial" w:hAnsi="Arial" w:cs="Arial"/>
          <w:szCs w:val="24"/>
          <w:lang w:val="en-GB"/>
        </w:rPr>
      </w:pP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i/>
          <w:szCs w:val="24"/>
          <w:u w:val="single"/>
          <w:lang w:val="en-GB"/>
        </w:rPr>
      </w:pPr>
      <w:r w:rsidRPr="0028108F">
        <w:rPr>
          <w:rFonts w:ascii="Arial" w:hAnsi="Arial" w:cs="Arial"/>
          <w:i/>
          <w:szCs w:val="24"/>
          <w:u w:val="single"/>
          <w:lang w:val="en-GB"/>
        </w:rPr>
        <w:t>Model A:</w:t>
      </w: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DD16B8"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Applications under both tracks for recognition would be assessed by a gender recognition board or panel</w:t>
      </w:r>
      <w:r w:rsidR="00DD16B8" w:rsidRPr="0028108F">
        <w:rPr>
          <w:rFonts w:ascii="Arial" w:hAnsi="Arial" w:cs="Arial"/>
          <w:szCs w:val="24"/>
          <w:lang w:val="en-GB"/>
        </w:rPr>
        <w:t xml:space="preserve"> or </w:t>
      </w:r>
      <w:r w:rsidR="00DC05E5" w:rsidRPr="0028108F">
        <w:rPr>
          <w:rFonts w:ascii="Arial" w:hAnsi="Arial" w:cs="Arial"/>
          <w:szCs w:val="24"/>
          <w:lang w:val="en-GB"/>
        </w:rPr>
        <w:t xml:space="preserve">an </w:t>
      </w:r>
      <w:r w:rsidR="00636CCD" w:rsidRPr="0028108F">
        <w:rPr>
          <w:rFonts w:ascii="Arial" w:hAnsi="Arial" w:cs="Arial"/>
          <w:szCs w:val="24"/>
          <w:lang w:val="en-GB"/>
        </w:rPr>
        <w:t>independent</w:t>
      </w:r>
      <w:r w:rsidR="00DD16B8" w:rsidRPr="0028108F">
        <w:rPr>
          <w:rFonts w:ascii="Arial" w:hAnsi="Arial" w:cs="Arial"/>
          <w:szCs w:val="24"/>
          <w:lang w:val="en-GB"/>
        </w:rPr>
        <w:t xml:space="preserve"> decision-making authori</w:t>
      </w:r>
      <w:r w:rsidR="00DC05E5" w:rsidRPr="0028108F">
        <w:rPr>
          <w:rFonts w:ascii="Arial" w:hAnsi="Arial" w:cs="Arial"/>
          <w:szCs w:val="24"/>
          <w:lang w:val="en-GB"/>
        </w:rPr>
        <w:t>ty</w:t>
      </w:r>
      <w:r w:rsidR="008C593D" w:rsidRPr="0028108F">
        <w:rPr>
          <w:rFonts w:ascii="Arial" w:hAnsi="Arial" w:cs="Arial"/>
          <w:szCs w:val="24"/>
          <w:lang w:val="en-GB"/>
        </w:rPr>
        <w:t>, relying</w:t>
      </w:r>
      <w:r w:rsidR="00DD16B8" w:rsidRPr="0028108F">
        <w:rPr>
          <w:rFonts w:ascii="Arial" w:hAnsi="Arial" w:cs="Arial"/>
          <w:szCs w:val="24"/>
          <w:lang w:val="en-GB"/>
        </w:rPr>
        <w:t xml:space="preserve"> upon a particular set of guidelines </w:t>
      </w:r>
      <w:r w:rsidR="008C593D" w:rsidRPr="0028108F">
        <w:rPr>
          <w:rFonts w:ascii="Arial" w:hAnsi="Arial" w:cs="Arial"/>
          <w:szCs w:val="24"/>
          <w:lang w:val="en-GB"/>
        </w:rPr>
        <w:t xml:space="preserve">which would </w:t>
      </w:r>
      <w:r w:rsidR="00DD16B8" w:rsidRPr="0028108F">
        <w:rPr>
          <w:rFonts w:ascii="Arial" w:hAnsi="Arial" w:cs="Arial"/>
          <w:szCs w:val="24"/>
          <w:lang w:val="en-GB"/>
        </w:rPr>
        <w:t>provid</w:t>
      </w:r>
      <w:r w:rsidR="008C593D" w:rsidRPr="0028108F">
        <w:rPr>
          <w:rFonts w:ascii="Arial" w:hAnsi="Arial" w:cs="Arial"/>
          <w:szCs w:val="24"/>
          <w:lang w:val="en-GB"/>
        </w:rPr>
        <w:t>e</w:t>
      </w:r>
      <w:r w:rsidR="00DD16B8" w:rsidRPr="0028108F">
        <w:rPr>
          <w:rFonts w:ascii="Arial" w:hAnsi="Arial" w:cs="Arial"/>
          <w:szCs w:val="24"/>
          <w:lang w:val="en-GB"/>
        </w:rPr>
        <w:t xml:space="preserve"> the criteria or yardsticks for either </w:t>
      </w:r>
      <w:r w:rsidR="008C593D" w:rsidRPr="0028108F">
        <w:rPr>
          <w:rFonts w:ascii="Arial" w:hAnsi="Arial" w:cs="Arial"/>
          <w:szCs w:val="24"/>
          <w:lang w:val="en-GB"/>
        </w:rPr>
        <w:t xml:space="preserve">recognition </w:t>
      </w:r>
      <w:r w:rsidR="00DD16B8" w:rsidRPr="0028108F">
        <w:rPr>
          <w:rFonts w:ascii="Arial" w:hAnsi="Arial" w:cs="Arial"/>
          <w:szCs w:val="24"/>
          <w:lang w:val="en-GB"/>
        </w:rPr>
        <w:t>track</w:t>
      </w:r>
      <w:r w:rsidRPr="0028108F">
        <w:rPr>
          <w:rFonts w:ascii="Arial" w:hAnsi="Arial" w:cs="Arial"/>
          <w:szCs w:val="24"/>
          <w:lang w:val="en-GB"/>
        </w:rPr>
        <w:t xml:space="preserve">.  </w:t>
      </w:r>
    </w:p>
    <w:p w:rsidR="00DD16B8" w:rsidRPr="0028108F" w:rsidRDefault="00DD16B8"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DD16B8"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The primary pathway imposes on applicants strict medical requirements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full SRS or sterilisation due to hormonal and other surgical treatment) supported by medical certificates issued by qualified doctors.  </w:t>
      </w:r>
    </w:p>
    <w:p w:rsidR="00DD16B8" w:rsidRPr="0028108F" w:rsidRDefault="00DD16B8"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DD16B8" w:rsidRPr="0028108F" w:rsidRDefault="001544FD" w:rsidP="00B735D9">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The secondary pathway provides for applicants who are unable to satisfy the requirements of the primary pathway due to specific reasons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age or health reasons certified by qualified doctors), but who are able to produce evidence to the satisfaction of </w:t>
      </w:r>
      <w:r w:rsidR="00F179E3" w:rsidRPr="0028108F">
        <w:rPr>
          <w:rFonts w:ascii="Arial" w:hAnsi="Arial" w:cs="Arial"/>
          <w:szCs w:val="24"/>
          <w:lang w:val="en-GB"/>
        </w:rPr>
        <w:t xml:space="preserve">a </w:t>
      </w:r>
      <w:r w:rsidRPr="0028108F">
        <w:rPr>
          <w:rFonts w:ascii="Arial" w:hAnsi="Arial" w:cs="Arial"/>
          <w:szCs w:val="24"/>
          <w:lang w:val="en-GB"/>
        </w:rPr>
        <w:t>gender recognition board or panel that he or she is a person of the gender other than his or her biological sex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having been diagnosed of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and/or having completed real life experience for a specific period and/or having adapted his or her physical appearance to the opposite gender</w:t>
      </w:r>
      <w:r w:rsidR="008C593D" w:rsidRPr="0028108F">
        <w:rPr>
          <w:rFonts w:ascii="Arial" w:hAnsi="Arial" w:cs="Arial"/>
          <w:szCs w:val="24"/>
          <w:lang w:val="en-GB"/>
        </w:rPr>
        <w:t>,</w:t>
      </w:r>
      <w:r w:rsidRPr="0028108F">
        <w:rPr>
          <w:rFonts w:ascii="Arial" w:hAnsi="Arial" w:cs="Arial"/>
          <w:szCs w:val="24"/>
          <w:lang w:val="en-GB"/>
        </w:rPr>
        <w:t xml:space="preserve"> etc).  In addition, there could be flexibility regarding the evidence required for the secondary pathway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only psychiatric assessment is compulsory but other related proof is optional) as long as the age or health reasons are substantiated.  </w:t>
      </w:r>
    </w:p>
    <w:p w:rsidR="00DD16B8" w:rsidRPr="0028108F" w:rsidRDefault="00DD16B8">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A successful applicant under either track would be granted full gender recognition for all legal purposes, which would entail change of gender marker on his or her birth certificate and/or other identification documents.</w:t>
      </w: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i/>
          <w:szCs w:val="24"/>
          <w:u w:val="single"/>
          <w:lang w:val="en-GB"/>
        </w:rPr>
      </w:pPr>
      <w:r w:rsidRPr="0028108F">
        <w:rPr>
          <w:rFonts w:ascii="Arial" w:hAnsi="Arial" w:cs="Arial"/>
          <w:i/>
          <w:szCs w:val="24"/>
          <w:u w:val="single"/>
          <w:lang w:val="en-GB"/>
        </w:rPr>
        <w:t>Model B:</w:t>
      </w: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i/>
          <w:szCs w:val="24"/>
          <w:lang w:val="en-GB"/>
        </w:rPr>
      </w:pPr>
    </w:p>
    <w:p w:rsidR="00DD16B8"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The first pathway imposes strict medical requirements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full SRS or sterilisation due to hormonal and other surgical treatment) supported by medical certificates issued by qualified doctors.  The application will be approved once the requisite medical certificates are submitted to the relevant authority with the application, and there is no need to go through any gender recognition board or panel.</w:t>
      </w:r>
      <w:r w:rsidR="00DD16B8" w:rsidRPr="0028108F">
        <w:rPr>
          <w:rFonts w:ascii="Arial" w:hAnsi="Arial" w:cs="Arial"/>
          <w:szCs w:val="24"/>
          <w:lang w:val="en-GB"/>
        </w:rPr>
        <w:t xml:space="preserve">  The decision-making authority will determine the application based on a particular set of guidelines.</w:t>
      </w:r>
      <w:r w:rsidR="00DD16B8" w:rsidRPr="0028108F">
        <w:rPr>
          <w:rFonts w:ascii="Arial" w:hAnsi="Arial" w:cs="Arial"/>
          <w:szCs w:val="24"/>
          <w:lang w:val="en-GB"/>
        </w:rPr>
        <w:br/>
      </w:r>
    </w:p>
    <w:p w:rsidR="00DD16B8"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Another pathway requires less stringent medical requirements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merely diagnosis of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and/or proof of real life experience for a specific period and/or having adapted his or her physical appearance to the opposite gender</w:t>
      </w:r>
      <w:r w:rsidR="008C593D" w:rsidRPr="0028108F">
        <w:rPr>
          <w:rFonts w:ascii="Arial" w:hAnsi="Arial" w:cs="Arial"/>
          <w:szCs w:val="24"/>
          <w:lang w:val="en-GB"/>
        </w:rPr>
        <w:t>,</w:t>
      </w:r>
      <w:r w:rsidRPr="0028108F">
        <w:rPr>
          <w:rFonts w:ascii="Arial" w:hAnsi="Arial" w:cs="Arial"/>
          <w:szCs w:val="24"/>
          <w:lang w:val="en-GB"/>
        </w:rPr>
        <w:t xml:space="preserve"> etc).  </w:t>
      </w:r>
      <w:r w:rsidR="00DD16B8" w:rsidRPr="0028108F">
        <w:rPr>
          <w:rFonts w:ascii="Arial" w:hAnsi="Arial" w:cs="Arial"/>
          <w:szCs w:val="24"/>
          <w:lang w:val="en-GB"/>
        </w:rPr>
        <w:t>A</w:t>
      </w:r>
      <w:r w:rsidRPr="0028108F">
        <w:rPr>
          <w:rFonts w:ascii="Arial" w:hAnsi="Arial" w:cs="Arial"/>
          <w:szCs w:val="24"/>
          <w:lang w:val="en-GB"/>
        </w:rPr>
        <w:t>n application under this track would be assessed by a gender recognition board or panel</w:t>
      </w:r>
      <w:r w:rsidR="00DC05E5" w:rsidRPr="0028108F">
        <w:rPr>
          <w:rFonts w:ascii="Arial" w:hAnsi="Arial" w:cs="Arial"/>
          <w:szCs w:val="24"/>
          <w:lang w:val="en-GB"/>
        </w:rPr>
        <w:t xml:space="preserve"> or an independent decision-making authority</w:t>
      </w:r>
      <w:r w:rsidRPr="0028108F">
        <w:rPr>
          <w:rFonts w:ascii="Arial" w:hAnsi="Arial" w:cs="Arial"/>
          <w:szCs w:val="24"/>
          <w:lang w:val="en-GB"/>
        </w:rPr>
        <w:t>.  Hence, the procedure for the application would be more complex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interview with the board members is mandatory) and the evidence required would be </w:t>
      </w:r>
      <w:r w:rsidR="008C593D" w:rsidRPr="0028108F">
        <w:rPr>
          <w:rFonts w:ascii="Arial" w:hAnsi="Arial" w:cs="Arial"/>
          <w:szCs w:val="24"/>
          <w:lang w:val="en-GB"/>
        </w:rPr>
        <w:t>substantial</w:t>
      </w:r>
      <w:r w:rsidRPr="0028108F">
        <w:rPr>
          <w:rFonts w:ascii="Arial" w:hAnsi="Arial" w:cs="Arial"/>
          <w:szCs w:val="24"/>
          <w:lang w:val="en-GB"/>
        </w:rPr>
        <w:t xml:space="preserve">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records of psychiatric assessment, witness statements relating to real life experience</w:t>
      </w:r>
      <w:r w:rsidR="008C593D" w:rsidRPr="0028108F">
        <w:rPr>
          <w:rFonts w:ascii="Arial" w:hAnsi="Arial" w:cs="Arial"/>
          <w:szCs w:val="24"/>
          <w:lang w:val="en-GB"/>
        </w:rPr>
        <w:t>,</w:t>
      </w:r>
      <w:r w:rsidRPr="0028108F">
        <w:rPr>
          <w:rFonts w:ascii="Arial" w:hAnsi="Arial" w:cs="Arial"/>
          <w:szCs w:val="24"/>
          <w:lang w:val="en-GB"/>
        </w:rPr>
        <w:t xml:space="preserve"> etc).  In this regard, the way </w:t>
      </w:r>
      <w:r w:rsidR="008C593D" w:rsidRPr="0028108F">
        <w:rPr>
          <w:rFonts w:ascii="Arial" w:hAnsi="Arial" w:cs="Arial"/>
          <w:szCs w:val="24"/>
          <w:lang w:val="en-GB"/>
        </w:rPr>
        <w:t xml:space="preserve">in which </w:t>
      </w:r>
      <w:r w:rsidRPr="0028108F">
        <w:rPr>
          <w:rFonts w:ascii="Arial" w:hAnsi="Arial" w:cs="Arial"/>
          <w:szCs w:val="24"/>
          <w:lang w:val="en-GB"/>
        </w:rPr>
        <w:t xml:space="preserve">the UK </w:t>
      </w:r>
      <w:r w:rsidR="00FD426B" w:rsidRPr="0028108F">
        <w:rPr>
          <w:rFonts w:ascii="Arial" w:hAnsi="Arial" w:cs="Arial"/>
          <w:szCs w:val="24"/>
          <w:lang w:val="en-GB"/>
        </w:rPr>
        <w:t>GRP</w:t>
      </w:r>
      <w:r w:rsidRPr="0028108F">
        <w:rPr>
          <w:rFonts w:ascii="Arial" w:hAnsi="Arial" w:cs="Arial"/>
          <w:szCs w:val="24"/>
          <w:lang w:val="en-GB"/>
        </w:rPr>
        <w:t xml:space="preserve"> processes an application could be followed</w:t>
      </w:r>
      <w:r w:rsidR="008C593D" w:rsidRPr="0028108F">
        <w:rPr>
          <w:rFonts w:ascii="Arial" w:hAnsi="Arial" w:cs="Arial"/>
          <w:szCs w:val="24"/>
          <w:lang w:val="en-GB"/>
        </w:rPr>
        <w:t>,</w:t>
      </w:r>
      <w:r w:rsidRPr="0028108F">
        <w:rPr>
          <w:rFonts w:ascii="Arial" w:hAnsi="Arial" w:cs="Arial"/>
          <w:szCs w:val="24"/>
          <w:lang w:val="en-GB"/>
        </w:rPr>
        <w:t xml:space="preserve"> with certain modifications adapted to Hong Kong’s situation.  </w:t>
      </w:r>
    </w:p>
    <w:p w:rsidR="00DD16B8" w:rsidRPr="0028108F" w:rsidRDefault="00DD16B8"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A successful applicant under either track would be granted full gender recognition for all legal purposes, which would entail change of gender marker on his or her birth certificate and/or other identification documents.</w:t>
      </w: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DC05E5" w:rsidRPr="0028108F" w:rsidRDefault="001544FD" w:rsidP="00E614B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As can be seen, Model A </w:t>
      </w:r>
      <w:r w:rsidR="00DC05E5" w:rsidRPr="0028108F">
        <w:rPr>
          <w:rFonts w:ascii="Arial" w:hAnsi="Arial" w:cs="Arial"/>
          <w:szCs w:val="24"/>
          <w:lang w:val="en-GB"/>
        </w:rPr>
        <w:t xml:space="preserve">appears to </w:t>
      </w:r>
      <w:r w:rsidRPr="0028108F">
        <w:rPr>
          <w:rFonts w:ascii="Arial" w:hAnsi="Arial" w:cs="Arial"/>
          <w:szCs w:val="24"/>
          <w:lang w:val="en-GB"/>
        </w:rPr>
        <w:t>rel</w:t>
      </w:r>
      <w:r w:rsidR="00DC05E5" w:rsidRPr="0028108F">
        <w:rPr>
          <w:rFonts w:ascii="Arial" w:hAnsi="Arial" w:cs="Arial"/>
          <w:szCs w:val="24"/>
          <w:lang w:val="en-GB"/>
        </w:rPr>
        <w:t>y</w:t>
      </w:r>
      <w:r w:rsidRPr="0028108F">
        <w:rPr>
          <w:rFonts w:ascii="Arial" w:hAnsi="Arial" w:cs="Arial"/>
          <w:szCs w:val="24"/>
          <w:lang w:val="en-GB"/>
        </w:rPr>
        <w:t xml:space="preserve"> heavily on medical assessment</w:t>
      </w:r>
      <w:r w:rsidR="008C593D" w:rsidRPr="0028108F">
        <w:rPr>
          <w:rFonts w:ascii="Arial" w:hAnsi="Arial" w:cs="Arial"/>
          <w:szCs w:val="24"/>
          <w:lang w:val="en-GB"/>
        </w:rPr>
        <w:t>,</w:t>
      </w:r>
      <w:r w:rsidRPr="0028108F">
        <w:rPr>
          <w:rFonts w:ascii="Arial" w:hAnsi="Arial" w:cs="Arial"/>
          <w:szCs w:val="24"/>
          <w:lang w:val="en-GB"/>
        </w:rPr>
        <w:t xml:space="preserve"> which is the </w:t>
      </w:r>
      <w:r w:rsidRPr="0028108F">
        <w:rPr>
          <w:rFonts w:ascii="Arial" w:hAnsi="Arial" w:cs="Arial"/>
          <w:color w:val="000000" w:themeColor="text1"/>
          <w:szCs w:val="24"/>
          <w:lang w:val="en-GB"/>
        </w:rPr>
        <w:t>determinative</w:t>
      </w:r>
      <w:r w:rsidRPr="0028108F">
        <w:rPr>
          <w:rFonts w:ascii="Arial" w:hAnsi="Arial" w:cs="Arial"/>
          <w:szCs w:val="24"/>
          <w:lang w:val="en-GB"/>
        </w:rPr>
        <w:t xml:space="preserve"> factor for each pathway for recognition to be taken into account by the independent </w:t>
      </w:r>
      <w:r w:rsidR="00DC05E5" w:rsidRPr="0028108F">
        <w:rPr>
          <w:rFonts w:ascii="Arial" w:hAnsi="Arial" w:cs="Arial"/>
          <w:szCs w:val="24"/>
          <w:lang w:val="en-GB"/>
        </w:rPr>
        <w:t>decision-making authority</w:t>
      </w:r>
      <w:r w:rsidRPr="0028108F">
        <w:rPr>
          <w:rFonts w:ascii="Arial" w:hAnsi="Arial" w:cs="Arial"/>
          <w:szCs w:val="24"/>
          <w:lang w:val="en-GB"/>
        </w:rPr>
        <w:t xml:space="preserve">.  Similar to the current practice in Hong Kong, full SRS would remain the </w:t>
      </w:r>
      <w:r w:rsidR="008C593D" w:rsidRPr="0028108F">
        <w:rPr>
          <w:rFonts w:ascii="Arial" w:hAnsi="Arial" w:cs="Arial"/>
          <w:szCs w:val="24"/>
          <w:lang w:val="en-GB"/>
        </w:rPr>
        <w:t>corner</w:t>
      </w:r>
      <w:r w:rsidRPr="0028108F">
        <w:rPr>
          <w:rFonts w:ascii="Arial" w:hAnsi="Arial" w:cs="Arial"/>
          <w:szCs w:val="24"/>
          <w:lang w:val="en-GB"/>
        </w:rPr>
        <w:t xml:space="preserve"> for approving a legal gender change.  </w:t>
      </w:r>
      <w:r w:rsidR="00DC05E5" w:rsidRPr="0028108F">
        <w:rPr>
          <w:rFonts w:ascii="Arial" w:hAnsi="Arial" w:cs="Arial"/>
          <w:szCs w:val="24"/>
          <w:lang w:val="en-GB"/>
        </w:rPr>
        <w:t>On the other hand,</w:t>
      </w:r>
      <w:r w:rsidRPr="0028108F">
        <w:rPr>
          <w:rFonts w:ascii="Arial" w:hAnsi="Arial" w:cs="Arial"/>
          <w:szCs w:val="24"/>
          <w:lang w:val="en-GB"/>
        </w:rPr>
        <w:t xml:space="preserve"> the secondary pathway provides flexibility so that the compulsory requirement for full SRS might be relaxed so long as it is medically evident that the applicant is unfit for full SRS.  A similar relaxation for mandatory medical requirements is provided in Spain (see Annex </w:t>
      </w:r>
      <w:r w:rsidRPr="008813DE">
        <w:rPr>
          <w:rFonts w:ascii="Arial" w:hAnsi="Arial" w:cs="Arial"/>
          <w:szCs w:val="24"/>
          <w:lang w:val="en-GB"/>
        </w:rPr>
        <w:t>B</w:t>
      </w:r>
      <w:r w:rsidRPr="0028108F">
        <w:rPr>
          <w:rFonts w:ascii="Arial" w:hAnsi="Arial" w:cs="Arial"/>
          <w:szCs w:val="24"/>
          <w:lang w:val="en-GB"/>
        </w:rPr>
        <w:t xml:space="preserve"> regarding the </w:t>
      </w:r>
      <w:r w:rsidR="00DC05E5" w:rsidRPr="0028108F">
        <w:rPr>
          <w:rFonts w:ascii="Arial" w:hAnsi="Arial" w:cs="Arial"/>
          <w:szCs w:val="24"/>
          <w:lang w:val="en-GB"/>
        </w:rPr>
        <w:t xml:space="preserve">gender recognition </w:t>
      </w:r>
      <w:r w:rsidRPr="0028108F">
        <w:rPr>
          <w:rFonts w:ascii="Arial" w:hAnsi="Arial" w:cs="Arial"/>
          <w:szCs w:val="24"/>
          <w:lang w:val="en-GB"/>
        </w:rPr>
        <w:t xml:space="preserve">situation in </w:t>
      </w:r>
      <w:r w:rsidR="00645259">
        <w:rPr>
          <w:rFonts w:ascii="Arial" w:hAnsi="Arial" w:cs="Arial" w:hint="eastAsia"/>
          <w:szCs w:val="24"/>
          <w:lang w:val="en-GB"/>
        </w:rPr>
        <w:t>Spain</w:t>
      </w:r>
      <w:r w:rsidRPr="0028108F">
        <w:rPr>
          <w:rFonts w:ascii="Arial" w:hAnsi="Arial" w:cs="Arial"/>
          <w:szCs w:val="24"/>
          <w:lang w:val="en-GB"/>
        </w:rPr>
        <w:t xml:space="preserve">).  </w:t>
      </w:r>
    </w:p>
    <w:p w:rsidR="00DC05E5" w:rsidRPr="0028108F" w:rsidRDefault="00DC05E5"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28108F" w:rsidRDefault="001544FD" w:rsidP="00E614B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Conversely, Model B does not require an applicant to be assessed as to whether or not he or she is medically fit to undergo full SRS, and it would be up to the applicant to choose not to undergo SRS (provided that he or she fulfils the other requirements) if he or she elects to apply under the second pathway.  If SRS is opted for, the application would be </w:t>
      </w:r>
      <w:r w:rsidR="008C593D" w:rsidRPr="0028108F">
        <w:rPr>
          <w:rFonts w:ascii="Arial" w:hAnsi="Arial" w:cs="Arial"/>
          <w:szCs w:val="24"/>
          <w:lang w:val="en-GB"/>
        </w:rPr>
        <w:t>processed simply on the papers</w:t>
      </w:r>
      <w:r w:rsidRPr="0028108F">
        <w:rPr>
          <w:rFonts w:ascii="Arial" w:hAnsi="Arial" w:cs="Arial"/>
          <w:szCs w:val="24"/>
          <w:lang w:val="en-GB"/>
        </w:rPr>
        <w:t xml:space="preserve">.  If an applicant opts not to undergo SRS his or her application has to be assessed by </w:t>
      </w:r>
      <w:r w:rsidR="00DC05E5" w:rsidRPr="0028108F">
        <w:rPr>
          <w:rFonts w:ascii="Arial" w:hAnsi="Arial" w:cs="Arial"/>
          <w:szCs w:val="24"/>
          <w:lang w:val="en-GB"/>
        </w:rPr>
        <w:t>an independent board, panel or authority</w:t>
      </w:r>
      <w:r w:rsidRPr="0028108F">
        <w:rPr>
          <w:rFonts w:ascii="Arial" w:hAnsi="Arial" w:cs="Arial"/>
          <w:szCs w:val="24"/>
          <w:lang w:val="en-GB"/>
        </w:rPr>
        <w:t>.</w:t>
      </w: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color w:val="000000" w:themeColor="text1"/>
          <w:szCs w:val="24"/>
          <w:lang w:val="en-GB"/>
        </w:rPr>
      </w:pPr>
    </w:p>
    <w:p w:rsidR="00DC05E5" w:rsidRPr="0028108F" w:rsidRDefault="001544FD" w:rsidP="00E614B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The Wallbank model and the two above</w:t>
      </w:r>
      <w:r w:rsidR="008C593D" w:rsidRPr="0028108F">
        <w:rPr>
          <w:rFonts w:ascii="Arial" w:hAnsi="Arial" w:cs="Arial"/>
          <w:color w:val="000000" w:themeColor="text1"/>
          <w:szCs w:val="24"/>
          <w:lang w:val="en-GB"/>
        </w:rPr>
        <w:t>-</w:t>
      </w:r>
      <w:r w:rsidRPr="0028108F">
        <w:rPr>
          <w:rFonts w:ascii="Arial" w:hAnsi="Arial" w:cs="Arial"/>
          <w:color w:val="000000" w:themeColor="text1"/>
          <w:szCs w:val="24"/>
          <w:lang w:val="en-GB"/>
        </w:rPr>
        <w:t>mentioned models would lead to the same end</w:t>
      </w:r>
      <w:r w:rsidR="008C593D"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w:t>
      </w:r>
      <w:r w:rsidR="00D6311F" w:rsidRPr="0028108F">
        <w:rPr>
          <w:rFonts w:ascii="Arial" w:hAnsi="Arial" w:cs="Arial"/>
          <w:color w:val="000000" w:themeColor="text1"/>
          <w:szCs w:val="24"/>
          <w:lang w:val="en-GB"/>
        </w:rPr>
        <w:t>ie</w:t>
      </w:r>
      <w:r w:rsidR="00B42008"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full gender recognition in law.  </w:t>
      </w:r>
      <w:r w:rsidR="00DC05E5" w:rsidRPr="0028108F">
        <w:rPr>
          <w:rFonts w:ascii="Arial" w:hAnsi="Arial" w:cs="Arial"/>
          <w:color w:val="000000" w:themeColor="text1"/>
          <w:szCs w:val="24"/>
          <w:lang w:val="en-GB"/>
        </w:rPr>
        <w:t>One advantage of this is that legal certain</w:t>
      </w:r>
      <w:r w:rsidR="008C593D" w:rsidRPr="0028108F">
        <w:rPr>
          <w:rFonts w:ascii="Arial" w:hAnsi="Arial" w:cs="Arial"/>
          <w:color w:val="000000" w:themeColor="text1"/>
          <w:szCs w:val="24"/>
          <w:lang w:val="en-GB"/>
        </w:rPr>
        <w:t>ty</w:t>
      </w:r>
      <w:r w:rsidR="00DC05E5" w:rsidRPr="0028108F">
        <w:rPr>
          <w:rFonts w:ascii="Arial" w:hAnsi="Arial" w:cs="Arial"/>
          <w:color w:val="000000" w:themeColor="text1"/>
          <w:szCs w:val="24"/>
          <w:lang w:val="en-GB"/>
        </w:rPr>
        <w:t xml:space="preserve"> </w:t>
      </w:r>
      <w:r w:rsidR="008C593D" w:rsidRPr="0028108F">
        <w:rPr>
          <w:rFonts w:ascii="Arial" w:hAnsi="Arial" w:cs="Arial"/>
          <w:color w:val="000000" w:themeColor="text1"/>
          <w:szCs w:val="24"/>
          <w:lang w:val="en-GB"/>
        </w:rPr>
        <w:t>would</w:t>
      </w:r>
      <w:r w:rsidR="00DC05E5" w:rsidRPr="0028108F">
        <w:rPr>
          <w:rFonts w:ascii="Arial" w:hAnsi="Arial" w:cs="Arial"/>
          <w:color w:val="000000" w:themeColor="text1"/>
          <w:szCs w:val="24"/>
          <w:lang w:val="en-GB"/>
        </w:rPr>
        <w:t xml:space="preserve"> be guaranteed</w:t>
      </w:r>
      <w:r w:rsidR="008C593D" w:rsidRPr="0028108F">
        <w:rPr>
          <w:rFonts w:ascii="Arial" w:hAnsi="Arial" w:cs="Arial"/>
          <w:color w:val="000000" w:themeColor="text1"/>
          <w:szCs w:val="24"/>
          <w:lang w:val="en-GB"/>
        </w:rPr>
        <w:t>,</w:t>
      </w:r>
      <w:r w:rsidR="00DC05E5" w:rsidRPr="0028108F">
        <w:rPr>
          <w:rFonts w:ascii="Arial" w:hAnsi="Arial" w:cs="Arial"/>
          <w:color w:val="000000" w:themeColor="text1"/>
          <w:szCs w:val="24"/>
          <w:lang w:val="en-GB"/>
        </w:rPr>
        <w:t xml:space="preserve"> </w:t>
      </w:r>
      <w:r w:rsidR="008C593D" w:rsidRPr="0028108F">
        <w:rPr>
          <w:rFonts w:ascii="Arial" w:hAnsi="Arial" w:cs="Arial"/>
          <w:color w:val="000000" w:themeColor="text1"/>
          <w:szCs w:val="24"/>
          <w:lang w:val="en-GB"/>
        </w:rPr>
        <w:t xml:space="preserve">because </w:t>
      </w:r>
      <w:r w:rsidR="00DC05E5" w:rsidRPr="0028108F">
        <w:rPr>
          <w:rFonts w:ascii="Arial" w:hAnsi="Arial" w:cs="Arial"/>
          <w:color w:val="000000" w:themeColor="text1"/>
          <w:szCs w:val="24"/>
          <w:lang w:val="en-GB"/>
        </w:rPr>
        <w:t xml:space="preserve">as long as the applicant </w:t>
      </w:r>
      <w:r w:rsidR="008C593D" w:rsidRPr="0028108F">
        <w:rPr>
          <w:rFonts w:ascii="Arial" w:hAnsi="Arial" w:cs="Arial"/>
          <w:color w:val="000000" w:themeColor="text1"/>
          <w:szCs w:val="24"/>
          <w:lang w:val="en-GB"/>
        </w:rPr>
        <w:t>is granted</w:t>
      </w:r>
      <w:r w:rsidR="00DC05E5" w:rsidRPr="0028108F">
        <w:rPr>
          <w:rFonts w:ascii="Arial" w:hAnsi="Arial" w:cs="Arial"/>
          <w:color w:val="000000" w:themeColor="text1"/>
          <w:szCs w:val="24"/>
          <w:lang w:val="en-GB"/>
        </w:rPr>
        <w:t xml:space="preserve"> legal recognition, he could enjoy full legal rights and obligations of the recognised gender no matter which </w:t>
      </w:r>
      <w:r w:rsidR="00304273" w:rsidRPr="0028108F">
        <w:rPr>
          <w:rFonts w:ascii="Arial" w:hAnsi="Arial" w:cs="Arial"/>
          <w:color w:val="000000" w:themeColor="text1"/>
          <w:szCs w:val="24"/>
          <w:lang w:val="en-GB"/>
        </w:rPr>
        <w:t xml:space="preserve">recognition </w:t>
      </w:r>
      <w:r w:rsidR="00DC05E5" w:rsidRPr="0028108F">
        <w:rPr>
          <w:rFonts w:ascii="Arial" w:hAnsi="Arial" w:cs="Arial"/>
          <w:color w:val="000000" w:themeColor="text1"/>
          <w:szCs w:val="24"/>
          <w:lang w:val="en-GB"/>
        </w:rPr>
        <w:t>track he or she has gone through.</w:t>
      </w:r>
    </w:p>
    <w:p w:rsidR="00DC05E5" w:rsidRPr="0028108F" w:rsidRDefault="00DC05E5" w:rsidP="008813DE">
      <w:pPr>
        <w:tabs>
          <w:tab w:val="left" w:pos="1701"/>
          <w:tab w:val="left" w:pos="2552"/>
        </w:tabs>
        <w:autoSpaceDE w:val="0"/>
        <w:autoSpaceDN w:val="0"/>
        <w:adjustRightInd w:val="0"/>
        <w:snapToGrid w:val="0"/>
        <w:ind w:leftChars="413" w:left="991"/>
        <w:jc w:val="both"/>
        <w:rPr>
          <w:rFonts w:ascii="Arial" w:hAnsi="Arial" w:cs="Arial"/>
          <w:color w:val="000000" w:themeColor="text1"/>
          <w:szCs w:val="24"/>
          <w:lang w:val="en-GB"/>
        </w:rPr>
      </w:pPr>
    </w:p>
    <w:p w:rsidR="001544FD" w:rsidRPr="0028108F" w:rsidRDefault="001544FD" w:rsidP="00E614B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181CF2">
        <w:rPr>
          <w:rFonts w:ascii="Arial" w:hAnsi="Arial" w:cs="Arial"/>
          <w:color w:val="000000" w:themeColor="text1"/>
          <w:szCs w:val="24"/>
          <w:lang w:val="en-GB"/>
        </w:rPr>
        <w:t xml:space="preserve">An alternative </w:t>
      </w:r>
      <w:r w:rsidR="001F34D5" w:rsidRPr="00C57CE1">
        <w:rPr>
          <w:rFonts w:ascii="Arial" w:hAnsi="Arial" w:cs="Arial"/>
          <w:color w:val="000000" w:themeColor="text1"/>
          <w:szCs w:val="24"/>
          <w:lang w:val="en-GB"/>
        </w:rPr>
        <w:t xml:space="preserve">possibility </w:t>
      </w:r>
      <w:r w:rsidRPr="0028108F">
        <w:rPr>
          <w:rFonts w:ascii="Arial" w:hAnsi="Arial" w:cs="Arial"/>
          <w:color w:val="000000" w:themeColor="text1"/>
          <w:szCs w:val="24"/>
          <w:lang w:val="en-GB"/>
        </w:rPr>
        <w:t xml:space="preserve">for a dual-track </w:t>
      </w:r>
      <w:r w:rsidRPr="0028108F">
        <w:rPr>
          <w:rFonts w:ascii="Arial" w:hAnsi="Arial" w:cs="Arial"/>
          <w:szCs w:val="24"/>
          <w:lang w:val="en-GB"/>
        </w:rPr>
        <w:t>scheme</w:t>
      </w:r>
      <w:r w:rsidRPr="0028108F">
        <w:rPr>
          <w:rFonts w:ascii="Arial" w:hAnsi="Arial" w:cs="Arial"/>
          <w:color w:val="000000" w:themeColor="text1"/>
          <w:szCs w:val="24"/>
          <w:lang w:val="en-GB"/>
        </w:rPr>
        <w:t xml:space="preserve"> is to grant full legal gender recognition for one </w:t>
      </w:r>
      <w:r w:rsidR="001F34D5" w:rsidRPr="0028108F">
        <w:rPr>
          <w:rFonts w:ascii="Arial" w:hAnsi="Arial" w:cs="Arial"/>
          <w:color w:val="000000" w:themeColor="text1"/>
          <w:szCs w:val="24"/>
          <w:lang w:val="en-GB"/>
        </w:rPr>
        <w:t xml:space="preserve">recognition </w:t>
      </w:r>
      <w:r w:rsidRPr="0028108F">
        <w:rPr>
          <w:rFonts w:ascii="Arial" w:hAnsi="Arial" w:cs="Arial"/>
          <w:color w:val="000000" w:themeColor="text1"/>
          <w:szCs w:val="24"/>
          <w:lang w:val="en-GB"/>
        </w:rPr>
        <w:t xml:space="preserve">track, and grant recognition </w:t>
      </w:r>
      <w:r w:rsidR="001F34D5" w:rsidRPr="0028108F">
        <w:rPr>
          <w:rFonts w:ascii="Arial" w:hAnsi="Arial" w:cs="Arial"/>
          <w:color w:val="000000" w:themeColor="text1"/>
          <w:szCs w:val="24"/>
          <w:lang w:val="en-GB"/>
        </w:rPr>
        <w:t>for</w:t>
      </w:r>
      <w:r w:rsidRPr="0028108F">
        <w:rPr>
          <w:rFonts w:ascii="Arial" w:hAnsi="Arial" w:cs="Arial"/>
          <w:color w:val="000000" w:themeColor="text1"/>
          <w:szCs w:val="24"/>
          <w:lang w:val="en-GB"/>
        </w:rPr>
        <w:t xml:space="preserve"> limited legal purposes for another track.  </w:t>
      </w:r>
      <w:r w:rsidR="0071338F" w:rsidRPr="0028108F">
        <w:rPr>
          <w:rFonts w:ascii="Arial" w:hAnsi="Arial" w:cs="Arial"/>
          <w:color w:val="000000" w:themeColor="text1"/>
          <w:szCs w:val="24"/>
          <w:lang w:val="en-GB"/>
        </w:rPr>
        <w:t>T</w:t>
      </w:r>
      <w:r w:rsidRPr="0028108F">
        <w:rPr>
          <w:rFonts w:ascii="Arial" w:hAnsi="Arial" w:cs="Arial"/>
          <w:color w:val="000000" w:themeColor="text1"/>
          <w:szCs w:val="24"/>
          <w:lang w:val="en-GB"/>
        </w:rPr>
        <w:t xml:space="preserve">he latter track might be </w:t>
      </w:r>
      <w:r w:rsidR="001F34D5" w:rsidRPr="0028108F">
        <w:rPr>
          <w:rFonts w:ascii="Arial" w:hAnsi="Arial" w:cs="Arial"/>
          <w:color w:val="000000" w:themeColor="text1"/>
          <w:szCs w:val="24"/>
          <w:lang w:val="en-GB"/>
        </w:rPr>
        <w:t>based</w:t>
      </w:r>
      <w:r w:rsidRPr="0028108F">
        <w:rPr>
          <w:rFonts w:ascii="Arial" w:hAnsi="Arial" w:cs="Arial"/>
          <w:color w:val="000000" w:themeColor="text1"/>
          <w:szCs w:val="24"/>
          <w:lang w:val="en-GB"/>
        </w:rPr>
        <w:t xml:space="preserve"> on changes </w:t>
      </w:r>
      <w:r w:rsidR="001F34D5" w:rsidRPr="0028108F">
        <w:rPr>
          <w:rFonts w:ascii="Arial" w:hAnsi="Arial" w:cs="Arial"/>
          <w:color w:val="000000" w:themeColor="text1"/>
          <w:szCs w:val="24"/>
          <w:lang w:val="en-GB"/>
        </w:rPr>
        <w:t>to</w:t>
      </w:r>
      <w:r w:rsidRPr="0028108F">
        <w:rPr>
          <w:rFonts w:ascii="Arial" w:hAnsi="Arial" w:cs="Arial"/>
          <w:color w:val="000000" w:themeColor="text1"/>
          <w:szCs w:val="24"/>
          <w:lang w:val="en-GB"/>
        </w:rPr>
        <w:t xml:space="preserve"> the sex entry on HKICs </w:t>
      </w:r>
      <w:r w:rsidR="00DC05E5" w:rsidRPr="0028108F">
        <w:rPr>
          <w:rFonts w:ascii="Arial" w:hAnsi="Arial" w:cs="Arial"/>
          <w:color w:val="000000" w:themeColor="text1"/>
          <w:szCs w:val="24"/>
          <w:lang w:val="en-GB"/>
        </w:rPr>
        <w:t xml:space="preserve">because </w:t>
      </w:r>
      <w:r w:rsidR="0071338F" w:rsidRPr="0028108F">
        <w:rPr>
          <w:rFonts w:ascii="Arial" w:hAnsi="Arial" w:cs="Arial"/>
          <w:color w:val="000000" w:themeColor="text1"/>
          <w:szCs w:val="24"/>
          <w:lang w:val="en-GB"/>
        </w:rPr>
        <w:t>a HKIC</w:t>
      </w:r>
      <w:r w:rsidRPr="0028108F">
        <w:rPr>
          <w:rFonts w:ascii="Arial" w:hAnsi="Arial" w:cs="Arial"/>
          <w:color w:val="000000" w:themeColor="text1"/>
          <w:szCs w:val="24"/>
          <w:lang w:val="en-GB"/>
        </w:rPr>
        <w:t xml:space="preserve"> is a unique official document for Hong Kong residents </w:t>
      </w:r>
      <w:r w:rsidR="001F34D5" w:rsidRPr="0028108F">
        <w:rPr>
          <w:rFonts w:ascii="Arial" w:hAnsi="Arial" w:cs="Arial"/>
          <w:color w:val="000000" w:themeColor="text1"/>
          <w:szCs w:val="24"/>
          <w:lang w:val="en-GB"/>
        </w:rPr>
        <w:t xml:space="preserve">and is used </w:t>
      </w:r>
      <w:r w:rsidRPr="0028108F">
        <w:rPr>
          <w:rFonts w:ascii="Arial" w:hAnsi="Arial" w:cs="Arial"/>
          <w:color w:val="000000" w:themeColor="text1"/>
          <w:szCs w:val="24"/>
          <w:lang w:val="en-GB"/>
        </w:rPr>
        <w:t>as the primary means of identification.</w:t>
      </w:r>
      <w:r w:rsidR="0071338F" w:rsidRPr="00181CF2">
        <w:rPr>
          <w:rStyle w:val="FootnoteReference"/>
          <w:rFonts w:ascii="Arial" w:hAnsi="Arial" w:cs="Arial"/>
          <w:color w:val="000000" w:themeColor="text1"/>
          <w:szCs w:val="24"/>
          <w:lang w:val="en-GB"/>
        </w:rPr>
        <w:footnoteReference w:id="829"/>
      </w:r>
      <w:r w:rsidRPr="00181CF2">
        <w:rPr>
          <w:rFonts w:ascii="Arial" w:hAnsi="Arial" w:cs="Arial"/>
          <w:color w:val="000000" w:themeColor="text1"/>
          <w:szCs w:val="24"/>
          <w:lang w:val="en-GB"/>
        </w:rPr>
        <w:t xml:space="preserve">  In light of </w:t>
      </w:r>
      <w:r w:rsidRPr="0028108F">
        <w:rPr>
          <w:rFonts w:ascii="Arial" w:hAnsi="Arial" w:cs="Arial"/>
          <w:color w:val="000000" w:themeColor="text1"/>
          <w:szCs w:val="24"/>
          <w:lang w:val="en-GB"/>
        </w:rPr>
        <w:t>transgender advocates’ opinions</w:t>
      </w:r>
      <w:r w:rsidR="001F34D5"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as illustrated in the preceding </w:t>
      </w:r>
      <w:r w:rsidR="001F34D5" w:rsidRPr="0028108F">
        <w:rPr>
          <w:rFonts w:ascii="Arial" w:hAnsi="Arial" w:cs="Arial"/>
          <w:color w:val="000000" w:themeColor="text1"/>
          <w:szCs w:val="24"/>
          <w:lang w:val="en-GB"/>
        </w:rPr>
        <w:t>c</w:t>
      </w:r>
      <w:r w:rsidRPr="0028108F">
        <w:rPr>
          <w:rFonts w:ascii="Arial" w:hAnsi="Arial" w:cs="Arial"/>
          <w:color w:val="000000" w:themeColor="text1"/>
          <w:szCs w:val="24"/>
          <w:lang w:val="en-GB"/>
        </w:rPr>
        <w:t xml:space="preserve">hapters, it would arguably be </w:t>
      </w:r>
      <w:r w:rsidR="001F34D5" w:rsidRPr="0028108F">
        <w:rPr>
          <w:rFonts w:ascii="Arial" w:hAnsi="Arial" w:cs="Arial"/>
          <w:color w:val="000000" w:themeColor="text1"/>
          <w:szCs w:val="24"/>
          <w:lang w:val="en-GB"/>
        </w:rPr>
        <w:t xml:space="preserve">highly </w:t>
      </w:r>
      <w:r w:rsidRPr="0028108F">
        <w:rPr>
          <w:rFonts w:ascii="Arial" w:hAnsi="Arial" w:cs="Arial"/>
          <w:color w:val="000000" w:themeColor="text1"/>
          <w:szCs w:val="24"/>
          <w:lang w:val="en-GB"/>
        </w:rPr>
        <w:t xml:space="preserve">beneficial for transgender people to be issued with new HKICs reflecting their preferred gender identity </w:t>
      </w:r>
      <w:r w:rsidR="0071338F" w:rsidRPr="0028108F">
        <w:rPr>
          <w:rFonts w:ascii="Arial" w:hAnsi="Arial" w:cs="Arial"/>
          <w:color w:val="000000" w:themeColor="text1"/>
          <w:szCs w:val="24"/>
          <w:lang w:val="en-GB"/>
        </w:rPr>
        <w:t>so as to</w:t>
      </w:r>
      <w:r w:rsidRPr="0028108F">
        <w:rPr>
          <w:rFonts w:ascii="Arial" w:hAnsi="Arial" w:cs="Arial"/>
          <w:color w:val="000000" w:themeColor="text1"/>
          <w:szCs w:val="24"/>
          <w:lang w:val="en-GB"/>
        </w:rPr>
        <w:t xml:space="preserve"> provide the person concerned with ease and convenience in </w:t>
      </w:r>
      <w:r w:rsidR="0071338F" w:rsidRPr="0028108F">
        <w:rPr>
          <w:rFonts w:ascii="Arial" w:hAnsi="Arial" w:cs="Arial"/>
          <w:color w:val="000000" w:themeColor="text1"/>
          <w:szCs w:val="24"/>
          <w:lang w:val="en-GB"/>
        </w:rPr>
        <w:t xml:space="preserve">his/her </w:t>
      </w:r>
      <w:r w:rsidRPr="0028108F">
        <w:rPr>
          <w:rFonts w:ascii="Arial" w:hAnsi="Arial" w:cs="Arial"/>
          <w:color w:val="000000" w:themeColor="text1"/>
          <w:szCs w:val="24"/>
          <w:lang w:val="en-GB"/>
        </w:rPr>
        <w:t xml:space="preserve">routine activities and daily living.    </w:t>
      </w:r>
    </w:p>
    <w:p w:rsidR="001544FD" w:rsidRPr="0028108F" w:rsidRDefault="001544FD" w:rsidP="00961014">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71338F" w:rsidP="00E614B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However</w:t>
      </w:r>
      <w:r w:rsidR="001544FD" w:rsidRPr="0028108F">
        <w:rPr>
          <w:rFonts w:ascii="Arial" w:hAnsi="Arial" w:cs="Arial"/>
          <w:color w:val="000000" w:themeColor="text1"/>
          <w:szCs w:val="24"/>
          <w:lang w:val="en-GB"/>
        </w:rPr>
        <w:t xml:space="preserve">, changing HKIC does not </w:t>
      </w:r>
      <w:r w:rsidRPr="0028108F">
        <w:rPr>
          <w:rFonts w:ascii="Arial" w:hAnsi="Arial" w:cs="Arial"/>
          <w:color w:val="000000" w:themeColor="text1"/>
          <w:szCs w:val="24"/>
          <w:lang w:val="en-GB"/>
        </w:rPr>
        <w:t xml:space="preserve">itself </w:t>
      </w:r>
      <w:r w:rsidR="001544FD" w:rsidRPr="0028108F">
        <w:rPr>
          <w:rFonts w:ascii="Arial" w:hAnsi="Arial" w:cs="Arial"/>
          <w:color w:val="000000" w:themeColor="text1"/>
          <w:szCs w:val="24"/>
          <w:lang w:val="en-GB"/>
        </w:rPr>
        <w:t>establish a person’s sex or gender for all legal purposes.  Rather, the legal gender of a person in Hong Kong for some legal purposes (</w:t>
      </w:r>
      <w:r w:rsidR="00D6311F" w:rsidRPr="0028108F">
        <w:rPr>
          <w:rFonts w:ascii="Arial" w:hAnsi="Arial" w:cs="Arial"/>
          <w:color w:val="000000" w:themeColor="text1"/>
          <w:szCs w:val="24"/>
          <w:lang w:val="en-GB"/>
        </w:rPr>
        <w:t>eg</w:t>
      </w:r>
      <w:r w:rsidR="00940215" w:rsidRPr="0028108F">
        <w:rPr>
          <w:rFonts w:ascii="Arial" w:hAnsi="Arial" w:cs="Arial"/>
          <w:color w:val="000000" w:themeColor="text1"/>
          <w:szCs w:val="24"/>
          <w:lang w:val="en-GB"/>
        </w:rPr>
        <w:t>,</w:t>
      </w:r>
      <w:r w:rsidR="001544FD" w:rsidRPr="00181CF2">
        <w:rPr>
          <w:rFonts w:ascii="Arial" w:hAnsi="Arial" w:cs="Arial"/>
          <w:color w:val="000000" w:themeColor="text1"/>
          <w:szCs w:val="24"/>
          <w:lang w:val="en-GB"/>
        </w:rPr>
        <w:t xml:space="preserve"> marriage) is determined</w:t>
      </w:r>
      <w:r w:rsidR="001F34D5" w:rsidRPr="00C57CE1">
        <w:rPr>
          <w:rFonts w:ascii="Arial" w:hAnsi="Arial" w:cs="Arial"/>
          <w:color w:val="000000" w:themeColor="text1"/>
          <w:szCs w:val="24"/>
          <w:lang w:val="en-GB"/>
        </w:rPr>
        <w:t>, pri</w:t>
      </w:r>
      <w:r w:rsidR="001F34D5" w:rsidRPr="0028108F">
        <w:rPr>
          <w:rFonts w:ascii="Arial" w:hAnsi="Arial" w:cs="Arial"/>
          <w:color w:val="000000" w:themeColor="text1"/>
          <w:szCs w:val="24"/>
          <w:lang w:val="en-GB"/>
        </w:rPr>
        <w:t>ma facie,</w:t>
      </w:r>
      <w:r w:rsidR="001544FD" w:rsidRPr="0028108F">
        <w:rPr>
          <w:rFonts w:ascii="Arial" w:hAnsi="Arial" w:cs="Arial"/>
          <w:color w:val="000000" w:themeColor="text1"/>
          <w:szCs w:val="24"/>
          <w:lang w:val="en-GB"/>
        </w:rPr>
        <w:t xml:space="preserve"> by </w:t>
      </w:r>
      <w:r w:rsidR="001544FD" w:rsidRPr="0028108F">
        <w:rPr>
          <w:rFonts w:ascii="Arial" w:hAnsi="Arial" w:cs="Arial"/>
          <w:szCs w:val="24"/>
          <w:lang w:val="en-GB"/>
        </w:rPr>
        <w:t>reference</w:t>
      </w:r>
      <w:r w:rsidR="001544FD" w:rsidRPr="0028108F">
        <w:rPr>
          <w:rFonts w:ascii="Arial" w:hAnsi="Arial" w:cs="Arial"/>
          <w:color w:val="000000" w:themeColor="text1"/>
          <w:szCs w:val="24"/>
          <w:lang w:val="en-GB"/>
        </w:rPr>
        <w:t xml:space="preserve"> to his or her birth certificate, as envisaged by the CFA in </w:t>
      </w:r>
      <w:r w:rsidR="00334997" w:rsidRPr="0028108F">
        <w:rPr>
          <w:rFonts w:ascii="Arial" w:hAnsi="Arial" w:cs="Arial"/>
          <w:i/>
          <w:color w:val="000000" w:themeColor="text1"/>
          <w:szCs w:val="24"/>
          <w:lang w:val="en-GB"/>
        </w:rPr>
        <w:t>W</w:t>
      </w:r>
      <w:r w:rsidR="00334997" w:rsidRPr="00181CF2">
        <w:rPr>
          <w:rFonts w:ascii="Arial" w:hAnsi="Arial" w:cs="Arial"/>
          <w:color w:val="000000" w:themeColor="text1"/>
          <w:szCs w:val="24"/>
          <w:lang w:val="en-GB"/>
        </w:rPr>
        <w:t>’s case</w:t>
      </w:r>
      <w:r w:rsidR="001544FD" w:rsidRPr="00C57CE1">
        <w:rPr>
          <w:rFonts w:ascii="Arial" w:hAnsi="Arial" w:cs="Arial"/>
          <w:color w:val="000000" w:themeColor="text1"/>
          <w:szCs w:val="24"/>
          <w:lang w:val="en-GB"/>
        </w:rPr>
        <w:t>.  Changes made on an HKIC without changes on the birth certificate might create ambiguity regarding the person’s legal gender, and undesirable consequenc</w:t>
      </w:r>
      <w:r w:rsidR="001544FD" w:rsidRPr="0028108F">
        <w:rPr>
          <w:rFonts w:ascii="Arial" w:hAnsi="Arial" w:cs="Arial"/>
          <w:color w:val="000000" w:themeColor="text1"/>
          <w:szCs w:val="24"/>
          <w:lang w:val="en-GB"/>
        </w:rPr>
        <w:t>es might result</w:t>
      </w:r>
      <w:r w:rsidR="001F34D5" w:rsidRPr="0028108F">
        <w:rPr>
          <w:rFonts w:ascii="Arial" w:hAnsi="Arial" w:cs="Arial"/>
          <w:color w:val="000000" w:themeColor="text1"/>
          <w:szCs w:val="24"/>
          <w:lang w:val="en-GB"/>
        </w:rPr>
        <w:t>,</w:t>
      </w:r>
      <w:r w:rsidR="001544FD" w:rsidRPr="0028108F">
        <w:rPr>
          <w:rFonts w:ascii="Arial" w:hAnsi="Arial" w:cs="Arial"/>
          <w:color w:val="000000" w:themeColor="text1"/>
          <w:szCs w:val="24"/>
          <w:lang w:val="en-GB"/>
        </w:rPr>
        <w:t xml:space="preserve"> </w:t>
      </w:r>
      <w:r w:rsidR="00D6311F" w:rsidRPr="0028108F">
        <w:rPr>
          <w:rFonts w:ascii="Arial" w:hAnsi="Arial" w:cs="Arial"/>
          <w:color w:val="000000" w:themeColor="text1"/>
          <w:szCs w:val="24"/>
          <w:lang w:val="en-GB"/>
        </w:rPr>
        <w:t>eg</w:t>
      </w:r>
      <w:r w:rsidR="00940215" w:rsidRPr="0028108F">
        <w:rPr>
          <w:rFonts w:ascii="Arial" w:hAnsi="Arial" w:cs="Arial"/>
          <w:color w:val="000000" w:themeColor="text1"/>
          <w:szCs w:val="24"/>
          <w:lang w:val="en-GB"/>
        </w:rPr>
        <w:t>,</w:t>
      </w:r>
      <w:r w:rsidR="001544FD" w:rsidRPr="00181CF2">
        <w:rPr>
          <w:rFonts w:ascii="Arial" w:hAnsi="Arial" w:cs="Arial"/>
          <w:color w:val="000000" w:themeColor="text1"/>
          <w:szCs w:val="24"/>
          <w:lang w:val="en-GB"/>
        </w:rPr>
        <w:t xml:space="preserve"> rendering transgender people vulnerable to prejudice and discrimination</w:t>
      </w:r>
      <w:r w:rsidR="00B735D9" w:rsidRPr="0028108F">
        <w:rPr>
          <w:rFonts w:ascii="Arial" w:hAnsi="Arial" w:cs="Arial"/>
          <w:szCs w:val="24"/>
          <w:lang w:val="en-GB"/>
        </w:rPr>
        <w:t>.</w:t>
      </w:r>
      <w:r w:rsidR="001544FD" w:rsidRPr="00181CF2">
        <w:rPr>
          <w:rStyle w:val="FootnoteReference"/>
          <w:rFonts w:ascii="Arial" w:hAnsi="Arial" w:cs="Arial"/>
          <w:szCs w:val="24"/>
          <w:lang w:val="en-GB"/>
        </w:rPr>
        <w:footnoteReference w:id="830"/>
      </w:r>
      <w:r w:rsidR="001544FD" w:rsidRPr="00C57CE1">
        <w:rPr>
          <w:rFonts w:ascii="Arial" w:hAnsi="Arial" w:cs="Arial"/>
          <w:szCs w:val="24"/>
          <w:lang w:val="en-GB"/>
        </w:rPr>
        <w:t xml:space="preserve">  </w:t>
      </w:r>
      <w:r w:rsidR="00B735D9" w:rsidRPr="0028108F">
        <w:rPr>
          <w:rFonts w:ascii="Arial" w:hAnsi="Arial" w:cs="Arial"/>
          <w:szCs w:val="24"/>
          <w:lang w:val="en-GB"/>
        </w:rPr>
        <w:t>S</w:t>
      </w:r>
      <w:r w:rsidR="001544FD" w:rsidRPr="0028108F">
        <w:rPr>
          <w:rFonts w:ascii="Arial" w:hAnsi="Arial" w:cs="Arial"/>
          <w:szCs w:val="24"/>
          <w:lang w:val="en-GB"/>
        </w:rPr>
        <w:t xml:space="preserve">ome people might have difficulty establishing a coherent personal history and therefore risk being suspected of identity fraud.  Moreover, the changing of </w:t>
      </w:r>
      <w:r w:rsidR="001F34D5" w:rsidRPr="0028108F">
        <w:rPr>
          <w:rFonts w:ascii="Arial" w:hAnsi="Arial" w:cs="Arial"/>
          <w:szCs w:val="24"/>
          <w:lang w:val="en-GB"/>
        </w:rPr>
        <w:t xml:space="preserve">a </w:t>
      </w:r>
      <w:r w:rsidR="001544FD" w:rsidRPr="0028108F">
        <w:rPr>
          <w:rFonts w:ascii="Arial" w:hAnsi="Arial" w:cs="Arial"/>
          <w:szCs w:val="24"/>
          <w:lang w:val="en-GB"/>
        </w:rPr>
        <w:t>HKIC might still give rise to controvers</w:t>
      </w:r>
      <w:r w:rsidR="001F34D5" w:rsidRPr="0028108F">
        <w:rPr>
          <w:rFonts w:ascii="Arial" w:hAnsi="Arial" w:cs="Arial"/>
          <w:szCs w:val="24"/>
          <w:lang w:val="en-GB"/>
        </w:rPr>
        <w:t>y</w:t>
      </w:r>
      <w:r w:rsidR="001544FD" w:rsidRPr="0028108F">
        <w:rPr>
          <w:rFonts w:ascii="Arial" w:hAnsi="Arial" w:cs="Arial"/>
          <w:szCs w:val="24"/>
          <w:lang w:val="en-GB"/>
        </w:rPr>
        <w:t xml:space="preserve"> in some daily life situations, such as the use of toilets or changing rooms by transgender or transsexual people.  </w:t>
      </w:r>
      <w:r w:rsidR="001F34D5" w:rsidRPr="0028108F">
        <w:rPr>
          <w:rFonts w:ascii="Arial" w:hAnsi="Arial" w:cs="Arial"/>
          <w:szCs w:val="24"/>
          <w:lang w:val="en-GB"/>
        </w:rPr>
        <w:t>Obviously, t</w:t>
      </w:r>
      <w:r w:rsidR="00B735D9" w:rsidRPr="0028108F">
        <w:rPr>
          <w:rFonts w:ascii="Arial" w:hAnsi="Arial" w:cs="Arial"/>
          <w:szCs w:val="24"/>
          <w:lang w:val="en-GB"/>
        </w:rPr>
        <w:t>here will be a number of legal implications that have to be addressed if such a dual track scheme is introduced in Hong Kong.</w:t>
      </w:r>
    </w:p>
    <w:p w:rsidR="001544FD" w:rsidRPr="0028108F" w:rsidRDefault="001544FD" w:rsidP="008813DE">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71338F" w:rsidP="00E614B8">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In light of the above discussion</w:t>
      </w:r>
      <w:r w:rsidR="00B735D9" w:rsidRPr="0028108F">
        <w:rPr>
          <w:rFonts w:ascii="Arial" w:hAnsi="Arial" w:cs="Arial"/>
          <w:szCs w:val="24"/>
          <w:lang w:val="en-GB"/>
        </w:rPr>
        <w:t xml:space="preserve">, </w:t>
      </w:r>
      <w:r w:rsidR="001544FD" w:rsidRPr="0028108F">
        <w:rPr>
          <w:rFonts w:ascii="Arial" w:hAnsi="Arial" w:cs="Arial"/>
          <w:szCs w:val="24"/>
          <w:lang w:val="en-GB"/>
        </w:rPr>
        <w:t xml:space="preserve">a dual-track gender recognition scheme might take the </w:t>
      </w:r>
      <w:r w:rsidR="001544FD" w:rsidRPr="0028108F">
        <w:rPr>
          <w:rFonts w:ascii="Arial" w:hAnsi="Arial" w:cs="Arial"/>
          <w:color w:val="000000" w:themeColor="text1"/>
          <w:szCs w:val="24"/>
          <w:lang w:val="en-GB"/>
        </w:rPr>
        <w:t>following</w:t>
      </w:r>
      <w:r w:rsidR="001544FD" w:rsidRPr="0028108F">
        <w:rPr>
          <w:rFonts w:ascii="Arial" w:hAnsi="Arial" w:cs="Arial"/>
          <w:szCs w:val="24"/>
          <w:lang w:val="en-GB"/>
        </w:rPr>
        <w:t xml:space="preserve"> form, which is distinguishable with Model A and Model B in terms of the legal consequences:</w:t>
      </w:r>
    </w:p>
    <w:p w:rsidR="001544FD" w:rsidRPr="0028108F" w:rsidRDefault="001544FD" w:rsidP="008813DE">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i/>
          <w:szCs w:val="24"/>
          <w:u w:val="single"/>
          <w:lang w:val="en-GB"/>
        </w:rPr>
      </w:pPr>
      <w:r w:rsidRPr="0028108F">
        <w:rPr>
          <w:rFonts w:ascii="Arial" w:hAnsi="Arial" w:cs="Arial"/>
          <w:i/>
          <w:szCs w:val="24"/>
          <w:u w:val="single"/>
          <w:lang w:val="en-GB"/>
        </w:rPr>
        <w:t>Model C:</w:t>
      </w:r>
    </w:p>
    <w:p w:rsidR="001544FD" w:rsidRPr="0028108F" w:rsidRDefault="001544FD" w:rsidP="001544FD">
      <w:pPr>
        <w:pStyle w:val="ListParagraph"/>
        <w:tabs>
          <w:tab w:val="left" w:pos="1418"/>
          <w:tab w:val="left" w:pos="2552"/>
        </w:tabs>
        <w:autoSpaceDE w:val="0"/>
        <w:autoSpaceDN w:val="0"/>
        <w:adjustRightInd w:val="0"/>
        <w:snapToGrid w:val="0"/>
        <w:ind w:leftChars="0" w:left="565" w:hanging="565"/>
        <w:jc w:val="both"/>
        <w:rPr>
          <w:rFonts w:ascii="Arial" w:hAnsi="Arial" w:cs="Arial"/>
          <w:b/>
          <w:szCs w:val="24"/>
          <w:lang w:val="en-GB"/>
        </w:rPr>
      </w:pPr>
    </w:p>
    <w:p w:rsidR="00B735D9"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Under one track for recognition</w:t>
      </w:r>
      <w:r w:rsidR="009D1B5A">
        <w:rPr>
          <w:rFonts w:ascii="Arial" w:hAnsi="Arial" w:cs="Arial" w:hint="eastAsia"/>
          <w:szCs w:val="24"/>
          <w:lang w:val="en-GB"/>
        </w:rPr>
        <w:t>,</w:t>
      </w:r>
      <w:r w:rsidRPr="0028108F">
        <w:rPr>
          <w:rFonts w:ascii="Arial" w:hAnsi="Arial" w:cs="Arial"/>
          <w:szCs w:val="24"/>
          <w:lang w:val="en-GB"/>
        </w:rPr>
        <w:t xml:space="preserve"> a person seeking full gender recognition for all legal purposes (which would entail change of gender marker on the birth certificate) would have to satisfy stricter medical requirements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SRS and/or sterilisation</w:t>
      </w:r>
      <w:r w:rsidR="00636967" w:rsidRPr="0028108F">
        <w:rPr>
          <w:rFonts w:ascii="Arial" w:hAnsi="Arial" w:cs="Arial"/>
          <w:szCs w:val="24"/>
          <w:lang w:val="en-GB"/>
        </w:rPr>
        <w:t xml:space="preserve"> is required</w:t>
      </w:r>
      <w:r w:rsidRPr="0028108F">
        <w:rPr>
          <w:rFonts w:ascii="Arial" w:hAnsi="Arial" w:cs="Arial"/>
          <w:szCs w:val="24"/>
          <w:lang w:val="en-GB"/>
        </w:rPr>
        <w:t xml:space="preserve">).  </w:t>
      </w:r>
    </w:p>
    <w:p w:rsidR="00B735D9" w:rsidRPr="0028108F" w:rsidRDefault="00B735D9"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B735D9"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Under another track, a person wishing to have only the sex entry changed on his or her HKIC would be required to satisfy less stringent requirements (</w:t>
      </w:r>
      <w:r w:rsidR="00D6311F" w:rsidRPr="0028108F">
        <w:rPr>
          <w:rFonts w:ascii="Arial" w:hAnsi="Arial" w:cs="Arial"/>
          <w:szCs w:val="24"/>
          <w:lang w:val="en-GB"/>
        </w:rPr>
        <w:t>eg</w:t>
      </w:r>
      <w:r w:rsidR="00940215" w:rsidRPr="0028108F">
        <w:rPr>
          <w:rFonts w:ascii="Arial" w:hAnsi="Arial" w:cs="Arial"/>
          <w:szCs w:val="24"/>
          <w:lang w:val="en-GB"/>
        </w:rPr>
        <w:t>,</w:t>
      </w:r>
      <w:r w:rsidRPr="0028108F">
        <w:rPr>
          <w:rFonts w:ascii="Arial" w:hAnsi="Arial" w:cs="Arial"/>
          <w:szCs w:val="24"/>
          <w:lang w:val="en-GB"/>
        </w:rPr>
        <w:t xml:space="preserve"> diagnosis of </w:t>
      </w:r>
      <w:r w:rsidR="00334997" w:rsidRPr="0028108F">
        <w:rPr>
          <w:rFonts w:ascii="Arial" w:hAnsi="Arial" w:cs="Arial"/>
          <w:szCs w:val="24"/>
          <w:lang w:val="en-GB"/>
        </w:rPr>
        <w:t>gender identity disorder</w:t>
      </w:r>
      <w:r w:rsidRPr="0028108F">
        <w:rPr>
          <w:rFonts w:ascii="Arial" w:hAnsi="Arial" w:cs="Arial"/>
          <w:szCs w:val="24"/>
          <w:lang w:val="en-GB"/>
        </w:rPr>
        <w:t xml:space="preserve"> or gender dysphoria and/or proof of real life experience for a specific period and/or adaptation of physical appearance of the opposite gender etc).  </w:t>
      </w:r>
    </w:p>
    <w:p w:rsidR="00B735D9" w:rsidRPr="0028108F" w:rsidRDefault="00B735D9"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B735D9"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 xml:space="preserve">The former </w:t>
      </w:r>
      <w:r w:rsidR="00E60BCF" w:rsidRPr="0028108F">
        <w:rPr>
          <w:rFonts w:ascii="Arial" w:hAnsi="Arial" w:cs="Arial"/>
          <w:szCs w:val="24"/>
          <w:lang w:val="en-GB"/>
        </w:rPr>
        <w:t xml:space="preserve">application </w:t>
      </w:r>
      <w:r w:rsidRPr="0028108F">
        <w:rPr>
          <w:rFonts w:ascii="Arial" w:hAnsi="Arial" w:cs="Arial"/>
          <w:szCs w:val="24"/>
          <w:lang w:val="en-GB"/>
        </w:rPr>
        <w:t>track would have to be assessed by a gender recognition board or panel</w:t>
      </w:r>
      <w:r w:rsidR="00B735D9" w:rsidRPr="0028108F">
        <w:rPr>
          <w:rFonts w:ascii="Arial" w:hAnsi="Arial" w:cs="Arial"/>
          <w:szCs w:val="24"/>
          <w:lang w:val="en-GB"/>
        </w:rPr>
        <w:t xml:space="preserve"> or an independent decision-making authority</w:t>
      </w:r>
      <w:r w:rsidRPr="0028108F">
        <w:rPr>
          <w:rFonts w:ascii="Arial" w:hAnsi="Arial" w:cs="Arial"/>
          <w:szCs w:val="24"/>
          <w:lang w:val="en-GB"/>
        </w:rPr>
        <w:t xml:space="preserve">, and the latter track would require the applicant to apply to </w:t>
      </w:r>
      <w:r w:rsidR="00B735D9" w:rsidRPr="0028108F">
        <w:rPr>
          <w:rFonts w:ascii="Arial" w:hAnsi="Arial" w:cs="Arial"/>
          <w:szCs w:val="24"/>
          <w:lang w:val="en-GB"/>
        </w:rPr>
        <w:t>a relevant authority</w:t>
      </w:r>
      <w:r w:rsidRPr="0028108F">
        <w:rPr>
          <w:rFonts w:ascii="Arial" w:hAnsi="Arial" w:cs="Arial"/>
          <w:szCs w:val="24"/>
          <w:lang w:val="en-GB"/>
        </w:rPr>
        <w:t xml:space="preserve"> under the procedures similar to the existing one.  </w:t>
      </w:r>
      <w:r w:rsidR="00B735D9" w:rsidRPr="0028108F">
        <w:rPr>
          <w:rFonts w:ascii="Arial" w:hAnsi="Arial" w:cs="Arial"/>
          <w:szCs w:val="24"/>
          <w:lang w:val="en-GB"/>
        </w:rPr>
        <w:t>Each decision-making body would determine an application based on a particular set of guidelines.</w:t>
      </w:r>
    </w:p>
    <w:p w:rsidR="00B735D9" w:rsidRPr="0028108F" w:rsidRDefault="00B735D9"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p>
    <w:p w:rsidR="001544FD" w:rsidRPr="0028108F" w:rsidRDefault="001544FD" w:rsidP="001544FD">
      <w:pPr>
        <w:tabs>
          <w:tab w:val="left" w:pos="1701"/>
          <w:tab w:val="left" w:pos="2552"/>
        </w:tabs>
        <w:autoSpaceDE w:val="0"/>
        <w:autoSpaceDN w:val="0"/>
        <w:adjustRightInd w:val="0"/>
        <w:snapToGrid w:val="0"/>
        <w:ind w:leftChars="413" w:left="991"/>
        <w:jc w:val="both"/>
        <w:rPr>
          <w:rFonts w:ascii="Arial" w:hAnsi="Arial" w:cs="Arial"/>
          <w:szCs w:val="24"/>
          <w:lang w:val="en-GB"/>
        </w:rPr>
      </w:pPr>
      <w:r w:rsidRPr="0028108F">
        <w:rPr>
          <w:rFonts w:ascii="Arial" w:hAnsi="Arial" w:cs="Arial"/>
          <w:szCs w:val="24"/>
          <w:lang w:val="en-GB"/>
        </w:rPr>
        <w:t xml:space="preserve">The legal consequences of recognition under each track including but not limited to marriage and sexual offences will need to be articulated in the law and/or administrative guidelines to avoid confusion or ambiguity that might be caused (discussion on post-recognition issues will be deferred to the next stage of </w:t>
      </w:r>
      <w:r w:rsidR="00E60BCF" w:rsidRPr="0028108F">
        <w:rPr>
          <w:rFonts w:ascii="Arial" w:hAnsi="Arial" w:cs="Arial"/>
          <w:szCs w:val="24"/>
          <w:lang w:val="en-GB"/>
        </w:rPr>
        <w:t xml:space="preserve">the IWG’s </w:t>
      </w:r>
      <w:r w:rsidRPr="0028108F">
        <w:rPr>
          <w:rFonts w:ascii="Arial" w:hAnsi="Arial" w:cs="Arial"/>
          <w:szCs w:val="24"/>
          <w:lang w:val="en-GB"/>
        </w:rPr>
        <w:t>consultation).</w:t>
      </w:r>
    </w:p>
    <w:p w:rsidR="001544FD" w:rsidRPr="0028108F" w:rsidRDefault="001544FD" w:rsidP="008813DE">
      <w:pPr>
        <w:tabs>
          <w:tab w:val="left" w:pos="1701"/>
          <w:tab w:val="left" w:pos="2552"/>
        </w:tabs>
        <w:autoSpaceDE w:val="0"/>
        <w:autoSpaceDN w:val="0"/>
        <w:adjustRightInd w:val="0"/>
        <w:snapToGrid w:val="0"/>
        <w:ind w:leftChars="413" w:left="991"/>
        <w:jc w:val="both"/>
        <w:rPr>
          <w:rFonts w:ascii="Arial" w:hAnsi="Arial" w:cs="Arial"/>
          <w:b/>
          <w:szCs w:val="24"/>
          <w:lang w:val="en-GB"/>
        </w:rPr>
      </w:pPr>
    </w:p>
    <w:p w:rsidR="001544FD" w:rsidRPr="0028108F" w:rsidRDefault="001544FD" w:rsidP="00173351">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 xml:space="preserve">A model like </w:t>
      </w:r>
      <w:r w:rsidR="00E60BCF" w:rsidRPr="0028108F">
        <w:rPr>
          <w:rFonts w:ascii="Arial" w:hAnsi="Arial" w:cs="Arial"/>
          <w:color w:val="000000" w:themeColor="text1"/>
          <w:szCs w:val="24"/>
          <w:lang w:val="en-GB"/>
        </w:rPr>
        <w:t xml:space="preserve">the above </w:t>
      </w:r>
      <w:r w:rsidRPr="0028108F">
        <w:rPr>
          <w:rFonts w:ascii="Arial" w:hAnsi="Arial" w:cs="Arial"/>
          <w:color w:val="000000" w:themeColor="text1"/>
          <w:szCs w:val="24"/>
          <w:lang w:val="en-GB"/>
        </w:rPr>
        <w:t xml:space="preserve">that could be said to be built on the existing administrative measures </w:t>
      </w:r>
      <w:r w:rsidRPr="0028108F">
        <w:rPr>
          <w:rFonts w:ascii="Arial" w:hAnsi="Arial" w:cs="Arial"/>
          <w:szCs w:val="24"/>
          <w:lang w:val="en-GB"/>
        </w:rPr>
        <w:t>operat</w:t>
      </w:r>
      <w:r w:rsidR="00E60BCF" w:rsidRPr="0028108F">
        <w:rPr>
          <w:rFonts w:ascii="Arial" w:hAnsi="Arial" w:cs="Arial"/>
          <w:szCs w:val="24"/>
          <w:lang w:val="en-GB"/>
        </w:rPr>
        <w:t>ing</w:t>
      </w:r>
      <w:r w:rsidRPr="0028108F">
        <w:rPr>
          <w:rFonts w:ascii="Arial" w:hAnsi="Arial" w:cs="Arial"/>
          <w:color w:val="000000" w:themeColor="text1"/>
          <w:szCs w:val="24"/>
          <w:lang w:val="en-GB"/>
        </w:rPr>
        <w:t xml:space="preserve"> in Hong Kong, with modifications that relax the existing requirements for changing one’s sex entry on his/her HKIC and, </w:t>
      </w:r>
      <w:r w:rsidR="00636967" w:rsidRPr="0028108F">
        <w:rPr>
          <w:rFonts w:ascii="Arial" w:hAnsi="Arial" w:cs="Arial"/>
          <w:color w:val="000000" w:themeColor="text1"/>
          <w:szCs w:val="24"/>
          <w:lang w:val="en-GB"/>
        </w:rPr>
        <w:t>arguably</w:t>
      </w:r>
      <w:r w:rsidRPr="0028108F">
        <w:rPr>
          <w:rFonts w:ascii="Arial" w:hAnsi="Arial" w:cs="Arial"/>
          <w:color w:val="000000" w:themeColor="text1"/>
          <w:szCs w:val="24"/>
          <w:lang w:val="en-GB"/>
        </w:rPr>
        <w:t>, plug the loophole for lack of a scheme granting full gender recognition.  However, a big question mark hangs over the gender confusion that might be caused by having two official documents showing different gender</w:t>
      </w:r>
      <w:r w:rsidR="00E60BCF"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(in case an applicant goes for the latter track in Model C).  With a view to reconciling the </w:t>
      </w:r>
      <w:r w:rsidR="00B735D9" w:rsidRPr="0028108F">
        <w:rPr>
          <w:rFonts w:ascii="Arial" w:hAnsi="Arial" w:cs="Arial"/>
          <w:color w:val="000000" w:themeColor="text1"/>
          <w:szCs w:val="24"/>
          <w:lang w:val="en-GB"/>
        </w:rPr>
        <w:t>possible “</w:t>
      </w:r>
      <w:r w:rsidRPr="0028108F">
        <w:rPr>
          <w:rFonts w:ascii="Arial" w:hAnsi="Arial" w:cs="Arial"/>
          <w:color w:val="000000" w:themeColor="text1"/>
          <w:szCs w:val="24"/>
          <w:lang w:val="en-GB"/>
        </w:rPr>
        <w:t>gender confusion</w:t>
      </w:r>
      <w:r w:rsidR="00B735D9" w:rsidRPr="0028108F">
        <w:rPr>
          <w:rFonts w:ascii="Arial" w:hAnsi="Arial" w:cs="Arial"/>
          <w:color w:val="000000" w:themeColor="text1"/>
          <w:szCs w:val="24"/>
          <w:lang w:val="en-GB"/>
        </w:rPr>
        <w:t>”</w:t>
      </w:r>
      <w:r w:rsidRPr="0028108F">
        <w:rPr>
          <w:rFonts w:ascii="Arial" w:hAnsi="Arial" w:cs="Arial"/>
          <w:color w:val="000000" w:themeColor="text1"/>
          <w:szCs w:val="24"/>
          <w:lang w:val="en-GB"/>
        </w:rPr>
        <w:t xml:space="preserve"> issue, it would be necessary to articulate in the relevant law the legal purposes or implications of changing the different documents under the two tracks.  Public education on the </w:t>
      </w:r>
      <w:r w:rsidR="00636967" w:rsidRPr="0028108F">
        <w:rPr>
          <w:rFonts w:ascii="Arial" w:hAnsi="Arial" w:cs="Arial"/>
          <w:color w:val="000000" w:themeColor="text1"/>
          <w:szCs w:val="24"/>
          <w:lang w:val="en-GB"/>
        </w:rPr>
        <w:t>legal consequences</w:t>
      </w:r>
      <w:r w:rsidRPr="0028108F">
        <w:rPr>
          <w:rFonts w:ascii="Arial" w:hAnsi="Arial" w:cs="Arial"/>
          <w:color w:val="000000" w:themeColor="text1"/>
          <w:szCs w:val="24"/>
          <w:lang w:val="en-GB"/>
        </w:rPr>
        <w:t xml:space="preserve"> of both </w:t>
      </w:r>
      <w:r w:rsidR="00E60BCF" w:rsidRPr="0028108F">
        <w:rPr>
          <w:rFonts w:ascii="Arial" w:hAnsi="Arial" w:cs="Arial"/>
          <w:color w:val="000000" w:themeColor="text1"/>
          <w:szCs w:val="24"/>
          <w:lang w:val="en-GB"/>
        </w:rPr>
        <w:t xml:space="preserve">recognition </w:t>
      </w:r>
      <w:r w:rsidRPr="0028108F">
        <w:rPr>
          <w:rFonts w:ascii="Arial" w:hAnsi="Arial" w:cs="Arial"/>
          <w:color w:val="000000" w:themeColor="text1"/>
          <w:szCs w:val="24"/>
          <w:lang w:val="en-GB"/>
        </w:rPr>
        <w:t xml:space="preserve">tracks would also be essential </w:t>
      </w:r>
      <w:r w:rsidR="00E60BCF" w:rsidRPr="0028108F">
        <w:rPr>
          <w:rFonts w:ascii="Arial" w:hAnsi="Arial" w:cs="Arial"/>
          <w:color w:val="000000" w:themeColor="text1"/>
          <w:szCs w:val="24"/>
          <w:lang w:val="en-GB"/>
        </w:rPr>
        <w:t>to increase</w:t>
      </w:r>
      <w:r w:rsidRPr="0028108F">
        <w:rPr>
          <w:rFonts w:ascii="Arial" w:hAnsi="Arial" w:cs="Arial"/>
          <w:color w:val="000000" w:themeColor="text1"/>
          <w:szCs w:val="24"/>
          <w:lang w:val="en-GB"/>
        </w:rPr>
        <w:t xml:space="preserve"> the community’s awareness.</w:t>
      </w:r>
      <w:r w:rsidR="001805F5" w:rsidRPr="0028108F">
        <w:rPr>
          <w:rFonts w:ascii="Arial" w:hAnsi="Arial" w:cs="Arial"/>
          <w:color w:val="000000" w:themeColor="text1"/>
          <w:szCs w:val="24"/>
          <w:lang w:val="en-GB"/>
        </w:rPr>
        <w:t xml:space="preserve">  </w:t>
      </w:r>
      <w:r w:rsidR="00EB23B7" w:rsidRPr="0028108F">
        <w:rPr>
          <w:rFonts w:ascii="Arial" w:hAnsi="Arial" w:cs="Arial"/>
          <w:color w:val="000000" w:themeColor="text1"/>
          <w:szCs w:val="24"/>
          <w:lang w:val="en-GB"/>
        </w:rPr>
        <w:t>Besides</w:t>
      </w:r>
      <w:r w:rsidR="001805F5" w:rsidRPr="0028108F">
        <w:rPr>
          <w:rFonts w:ascii="Arial" w:hAnsi="Arial" w:cs="Arial"/>
          <w:color w:val="000000" w:themeColor="text1"/>
          <w:szCs w:val="24"/>
          <w:lang w:val="en-GB"/>
        </w:rPr>
        <w:t xml:space="preserve">, </w:t>
      </w:r>
      <w:r w:rsidR="00EB23B7" w:rsidRPr="0028108F">
        <w:rPr>
          <w:rFonts w:ascii="Arial" w:hAnsi="Arial" w:cs="Arial"/>
          <w:color w:val="000000" w:themeColor="text1"/>
          <w:szCs w:val="24"/>
          <w:lang w:val="en-GB"/>
        </w:rPr>
        <w:t>given that one of the tracks requires</w:t>
      </w:r>
      <w:r w:rsidR="009D1B5A">
        <w:rPr>
          <w:rFonts w:ascii="Arial" w:hAnsi="Arial" w:cs="Arial" w:hint="eastAsia"/>
          <w:color w:val="000000" w:themeColor="text1"/>
          <w:szCs w:val="24"/>
          <w:lang w:val="en-GB"/>
        </w:rPr>
        <w:t xml:space="preserve"> that</w:t>
      </w:r>
      <w:r w:rsidR="00EB23B7" w:rsidRPr="0028108F">
        <w:rPr>
          <w:rFonts w:ascii="Arial" w:hAnsi="Arial" w:cs="Arial"/>
          <w:szCs w:val="24"/>
          <w:lang w:val="en-GB"/>
        </w:rPr>
        <w:t xml:space="preserve"> a person seeking full gender recognition for all legal purposes would have to satisfy the medical requirements, including SRS and/or sterilisation, </w:t>
      </w:r>
      <w:r w:rsidR="00EB23B7" w:rsidRPr="0028108F">
        <w:rPr>
          <w:rFonts w:ascii="Arial" w:hAnsi="Arial" w:cs="Arial"/>
          <w:color w:val="000000" w:themeColor="text1"/>
          <w:szCs w:val="24"/>
          <w:lang w:val="en-GB"/>
        </w:rPr>
        <w:t>there may be other legal considerations, including potential human rights implications of the SRS</w:t>
      </w:r>
      <w:r w:rsidR="00EB23B7" w:rsidRPr="0028108F">
        <w:rPr>
          <w:rFonts w:ascii="Arial" w:hAnsi="Arial" w:cs="Arial"/>
          <w:szCs w:val="24"/>
          <w:lang w:val="en-GB"/>
        </w:rPr>
        <w:t xml:space="preserve"> and/or sterilisation</w:t>
      </w:r>
      <w:r w:rsidR="00EB23B7" w:rsidRPr="0028108F">
        <w:rPr>
          <w:rFonts w:ascii="Arial" w:hAnsi="Arial" w:cs="Arial"/>
          <w:color w:val="000000" w:themeColor="text1"/>
          <w:szCs w:val="24"/>
          <w:lang w:val="en-GB"/>
        </w:rPr>
        <w:t xml:space="preserve"> requirement, that need to be addressed.  </w:t>
      </w:r>
      <w:r w:rsidR="001805F5" w:rsidRPr="0028108F">
        <w:rPr>
          <w:rFonts w:ascii="Arial" w:hAnsi="Arial" w:cs="Arial"/>
          <w:color w:val="000000" w:themeColor="text1"/>
          <w:szCs w:val="24"/>
          <w:lang w:val="en-GB"/>
        </w:rPr>
        <w:t xml:space="preserve">     </w:t>
      </w:r>
    </w:p>
    <w:p w:rsidR="001544FD" w:rsidRPr="0028108F" w:rsidRDefault="001544FD" w:rsidP="008813DE">
      <w:pPr>
        <w:tabs>
          <w:tab w:val="left" w:pos="1701"/>
          <w:tab w:val="left" w:pos="2552"/>
        </w:tabs>
        <w:autoSpaceDE w:val="0"/>
        <w:autoSpaceDN w:val="0"/>
        <w:adjustRightInd w:val="0"/>
        <w:snapToGrid w:val="0"/>
        <w:ind w:leftChars="413" w:left="991"/>
        <w:jc w:val="both"/>
        <w:rPr>
          <w:rFonts w:ascii="Arial" w:hAnsi="Arial" w:cs="Arial"/>
          <w:b/>
          <w:szCs w:val="24"/>
          <w:lang w:val="en-GB"/>
        </w:rPr>
      </w:pPr>
    </w:p>
    <w:p w:rsidR="001544FD" w:rsidRPr="0028108F" w:rsidRDefault="001544FD" w:rsidP="00173351">
      <w:pPr>
        <w:pStyle w:val="ListParagraph"/>
        <w:numPr>
          <w:ilvl w:val="0"/>
          <w:numId w:val="105"/>
        </w:numPr>
        <w:tabs>
          <w:tab w:val="left" w:pos="1418"/>
          <w:tab w:val="left" w:pos="2552"/>
        </w:tabs>
        <w:autoSpaceDE w:val="0"/>
        <w:autoSpaceDN w:val="0"/>
        <w:adjustRightInd w:val="0"/>
        <w:snapToGrid w:val="0"/>
        <w:ind w:leftChars="0" w:left="0" w:firstLine="0"/>
        <w:jc w:val="both"/>
        <w:rPr>
          <w:rFonts w:ascii="Arial" w:hAnsi="Arial" w:cs="Arial"/>
          <w:b/>
          <w:szCs w:val="24"/>
          <w:lang w:val="en-GB"/>
        </w:rPr>
      </w:pPr>
      <w:r w:rsidRPr="0028108F">
        <w:rPr>
          <w:rFonts w:ascii="Arial" w:hAnsi="Arial" w:cs="Arial"/>
          <w:color w:val="000000" w:themeColor="text1"/>
          <w:szCs w:val="24"/>
          <w:lang w:val="en-GB"/>
        </w:rPr>
        <w:t>In the interest</w:t>
      </w:r>
      <w:r w:rsidR="00E60BCF" w:rsidRPr="0028108F">
        <w:rPr>
          <w:rFonts w:ascii="Arial" w:hAnsi="Arial" w:cs="Arial"/>
          <w:color w:val="000000" w:themeColor="text1"/>
          <w:szCs w:val="24"/>
          <w:lang w:val="en-GB"/>
        </w:rPr>
        <w:t>s</w:t>
      </w:r>
      <w:r w:rsidRPr="0028108F">
        <w:rPr>
          <w:rFonts w:ascii="Arial" w:hAnsi="Arial" w:cs="Arial"/>
          <w:color w:val="000000" w:themeColor="text1"/>
          <w:szCs w:val="24"/>
          <w:lang w:val="en-GB"/>
        </w:rPr>
        <w:t xml:space="preserve"> of clarity, the above </w:t>
      </w:r>
      <w:r w:rsidR="00636967" w:rsidRPr="0028108F">
        <w:rPr>
          <w:rFonts w:ascii="Arial" w:hAnsi="Arial" w:cs="Arial"/>
          <w:color w:val="000000" w:themeColor="text1"/>
          <w:szCs w:val="24"/>
          <w:lang w:val="en-GB"/>
        </w:rPr>
        <w:t xml:space="preserve">hypothetical </w:t>
      </w:r>
      <w:r w:rsidRPr="0028108F">
        <w:rPr>
          <w:rFonts w:ascii="Arial" w:hAnsi="Arial" w:cs="Arial"/>
          <w:color w:val="000000" w:themeColor="text1"/>
          <w:szCs w:val="24"/>
          <w:lang w:val="en-GB"/>
        </w:rPr>
        <w:t xml:space="preserve">models of a dual-track gender recognition </w:t>
      </w:r>
      <w:r w:rsidRPr="0028108F">
        <w:rPr>
          <w:rFonts w:ascii="Arial" w:hAnsi="Arial" w:cs="Arial"/>
          <w:szCs w:val="24"/>
          <w:lang w:val="en-GB"/>
        </w:rPr>
        <w:t>scheme</w:t>
      </w:r>
      <w:r w:rsidRPr="0028108F">
        <w:rPr>
          <w:rFonts w:ascii="Arial" w:hAnsi="Arial" w:cs="Arial"/>
          <w:color w:val="000000" w:themeColor="text1"/>
          <w:szCs w:val="24"/>
          <w:lang w:val="en-GB"/>
        </w:rPr>
        <w:t xml:space="preserve"> are for illustration only and do not represent the IWG’s stance or preference on any of them.  The IWG </w:t>
      </w:r>
      <w:r w:rsidR="005E6528">
        <w:rPr>
          <w:rFonts w:ascii="Arial" w:hAnsi="Arial" w:cs="Arial"/>
          <w:color w:val="000000" w:themeColor="text1"/>
          <w:szCs w:val="24"/>
          <w:lang w:val="en-GB"/>
        </w:rPr>
        <w:t>invite</w:t>
      </w:r>
      <w:r w:rsidRPr="0028108F">
        <w:rPr>
          <w:rFonts w:ascii="Arial" w:hAnsi="Arial" w:cs="Arial"/>
          <w:color w:val="000000" w:themeColor="text1"/>
          <w:szCs w:val="24"/>
          <w:lang w:val="en-GB"/>
        </w:rPr>
        <w:t xml:space="preserve">s comments or views from the public on the above models and any other </w:t>
      </w:r>
      <w:r w:rsidR="00636967" w:rsidRPr="0028108F">
        <w:rPr>
          <w:rFonts w:ascii="Arial" w:hAnsi="Arial" w:cs="Arial"/>
          <w:color w:val="000000" w:themeColor="text1"/>
          <w:szCs w:val="24"/>
          <w:lang w:val="en-GB"/>
        </w:rPr>
        <w:t xml:space="preserve">forms of proposed </w:t>
      </w:r>
      <w:r w:rsidR="00E60BCF" w:rsidRPr="0028108F">
        <w:rPr>
          <w:rFonts w:ascii="Arial" w:hAnsi="Arial" w:cs="Arial"/>
          <w:color w:val="000000" w:themeColor="text1"/>
          <w:szCs w:val="24"/>
          <w:lang w:val="en-GB"/>
        </w:rPr>
        <w:t xml:space="preserve">gender recognition </w:t>
      </w:r>
      <w:r w:rsidRPr="0028108F">
        <w:rPr>
          <w:rFonts w:ascii="Arial" w:hAnsi="Arial" w:cs="Arial"/>
          <w:color w:val="000000" w:themeColor="text1"/>
          <w:szCs w:val="24"/>
          <w:lang w:val="en-GB"/>
        </w:rPr>
        <w:t>models.</w:t>
      </w:r>
    </w:p>
    <w:p w:rsidR="001544FD" w:rsidRPr="0028108F" w:rsidRDefault="001544FD" w:rsidP="001544FD">
      <w:pPr>
        <w:adjustRightInd w:val="0"/>
        <w:snapToGrid w:val="0"/>
        <w:jc w:val="center"/>
        <w:rPr>
          <w:rFonts w:ascii="Arial" w:hAnsi="Arial" w:cs="Arial"/>
          <w:color w:val="000000" w:themeColor="text1"/>
          <w:szCs w:val="24"/>
          <w:lang w:val="en-GB"/>
        </w:rPr>
      </w:pPr>
    </w:p>
    <w:p w:rsidR="00085F74" w:rsidRPr="0028108F" w:rsidRDefault="00085F74" w:rsidP="001544FD">
      <w:pPr>
        <w:adjustRightInd w:val="0"/>
        <w:snapToGrid w:val="0"/>
        <w:jc w:val="center"/>
        <w:rPr>
          <w:rFonts w:ascii="Arial" w:hAnsi="Arial" w:cs="Arial"/>
          <w:i/>
          <w:color w:val="000000" w:themeColor="text1"/>
          <w:szCs w:val="24"/>
          <w:lang w:val="en-GB"/>
        </w:rPr>
      </w:pPr>
    </w:p>
    <w:p w:rsidR="005A0374" w:rsidRPr="0028108F" w:rsidRDefault="005A0374" w:rsidP="005A0374">
      <w:pPr>
        <w:rPr>
          <w:rFonts w:ascii="Arial" w:hAnsi="Arial" w:cs="Arial"/>
          <w:b/>
          <w:sz w:val="28"/>
          <w:szCs w:val="28"/>
          <w:lang w:val="en-GB"/>
        </w:rPr>
      </w:pPr>
      <w:r w:rsidRPr="0028108F">
        <w:rPr>
          <w:rFonts w:ascii="Arial" w:hAnsi="Arial" w:cs="Arial"/>
          <w:b/>
          <w:sz w:val="28"/>
          <w:szCs w:val="28"/>
          <w:lang w:val="en-GB"/>
        </w:rPr>
        <w:t>Issue for consultation</w:t>
      </w:r>
      <w:r w:rsidR="00084EA8" w:rsidRPr="00181CF2">
        <w:rPr>
          <w:rFonts w:ascii="Arial" w:hAnsi="Arial" w:cs="Arial"/>
          <w:b/>
          <w:sz w:val="28"/>
          <w:szCs w:val="28"/>
          <w:lang w:val="en-GB"/>
        </w:rPr>
        <w:t xml:space="preserve"> regarding a possible dual-track gender recognition scheme</w:t>
      </w:r>
    </w:p>
    <w:p w:rsidR="005A0374" w:rsidRPr="0028108F" w:rsidRDefault="005A0374" w:rsidP="005A0374">
      <w:pPr>
        <w:pStyle w:val="ListParagraph"/>
        <w:tabs>
          <w:tab w:val="left" w:pos="1418"/>
          <w:tab w:val="left" w:pos="2552"/>
        </w:tabs>
        <w:adjustRightInd w:val="0"/>
        <w:snapToGrid w:val="0"/>
        <w:ind w:leftChars="0" w:left="0"/>
        <w:jc w:val="both"/>
        <w:rPr>
          <w:rFonts w:ascii="Arial" w:hAnsi="Arial" w:cs="Arial"/>
          <w:szCs w:val="24"/>
          <w:lang w:val="en-GB"/>
        </w:rPr>
      </w:pP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r w:rsidRPr="0028108F">
        <w:rPr>
          <w:rFonts w:ascii="Arial" w:hAnsi="Arial" w:cs="Arial"/>
          <w:b/>
          <w:color w:val="000000" w:themeColor="text1"/>
          <w:szCs w:val="24"/>
          <w:u w:val="single"/>
          <w:lang w:val="en-GB"/>
        </w:rPr>
        <w:t xml:space="preserve">Issue for </w:t>
      </w:r>
      <w:r w:rsidR="00084EA8" w:rsidRPr="0028108F">
        <w:rPr>
          <w:rFonts w:ascii="Arial" w:hAnsi="Arial" w:cs="Arial"/>
          <w:b/>
          <w:color w:val="000000" w:themeColor="text1"/>
          <w:szCs w:val="24"/>
          <w:u w:val="single"/>
          <w:lang w:val="en-GB"/>
        </w:rPr>
        <w:t>C</w:t>
      </w:r>
      <w:r w:rsidRPr="0028108F">
        <w:rPr>
          <w:rFonts w:ascii="Arial" w:hAnsi="Arial" w:cs="Arial"/>
          <w:b/>
          <w:color w:val="000000" w:themeColor="text1"/>
          <w:szCs w:val="24"/>
          <w:u w:val="single"/>
          <w:lang w:val="en-GB"/>
        </w:rPr>
        <w:t>onsultation</w:t>
      </w:r>
      <w:r w:rsidR="00084EA8" w:rsidRPr="0028108F">
        <w:rPr>
          <w:rFonts w:ascii="Arial" w:hAnsi="Arial" w:cs="Arial"/>
          <w:b/>
          <w:color w:val="000000" w:themeColor="text1"/>
          <w:szCs w:val="24"/>
          <w:u w:val="single"/>
          <w:lang w:val="en-GB"/>
        </w:rPr>
        <w:t xml:space="preserve"> 16</w:t>
      </w:r>
      <w:r w:rsidRPr="00181CF2">
        <w:rPr>
          <w:rFonts w:ascii="Arial" w:hAnsi="Arial" w:cs="Arial"/>
          <w:b/>
          <w:color w:val="000000" w:themeColor="text1"/>
          <w:szCs w:val="24"/>
          <w:lang w:val="en-GB"/>
        </w:rPr>
        <w:t>:</w:t>
      </w:r>
      <w:r w:rsidR="001D0C3A" w:rsidRPr="0028108F">
        <w:rPr>
          <w:rFonts w:ascii="Arial" w:hAnsi="Arial" w:cs="Arial"/>
          <w:b/>
          <w:color w:val="000000" w:themeColor="text1"/>
          <w:szCs w:val="24"/>
          <w:lang w:val="en-GB"/>
        </w:rPr>
        <w:t xml:space="preserve"> </w:t>
      </w:r>
      <w:r w:rsidRPr="00C57CE1">
        <w:rPr>
          <w:rFonts w:ascii="Arial" w:hAnsi="Arial" w:cs="Arial"/>
          <w:b/>
          <w:color w:val="000000" w:themeColor="text1"/>
          <w:szCs w:val="24"/>
          <w:lang w:val="en-GB"/>
        </w:rPr>
        <w:t xml:space="preserve">We </w:t>
      </w:r>
      <w:r w:rsidR="005E6528">
        <w:rPr>
          <w:rFonts w:ascii="Arial" w:hAnsi="Arial" w:cs="Arial"/>
          <w:b/>
          <w:color w:val="000000" w:themeColor="text1"/>
          <w:szCs w:val="24"/>
          <w:lang w:val="en-GB"/>
        </w:rPr>
        <w:t>invite</w:t>
      </w:r>
      <w:r w:rsidRPr="00C57CE1">
        <w:rPr>
          <w:rFonts w:ascii="Arial" w:hAnsi="Arial" w:cs="Arial"/>
          <w:b/>
          <w:color w:val="000000" w:themeColor="text1"/>
          <w:szCs w:val="24"/>
          <w:lang w:val="en-GB"/>
        </w:rPr>
        <w:t xml:space="preserve"> views from the public on</w:t>
      </w:r>
      <w:r w:rsidR="00084EA8" w:rsidRPr="0028108F">
        <w:rPr>
          <w:rFonts w:ascii="Arial" w:hAnsi="Arial" w:cs="Arial"/>
          <w:b/>
          <w:color w:val="000000" w:themeColor="text1"/>
          <w:szCs w:val="24"/>
          <w:lang w:val="en-GB"/>
        </w:rPr>
        <w:t xml:space="preserve"> the following matters.</w:t>
      </w: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720" w:right="720"/>
        <w:jc w:val="both"/>
        <w:rPr>
          <w:rFonts w:ascii="Arial" w:hAnsi="Arial" w:cs="Arial"/>
          <w:b/>
          <w:color w:val="000000" w:themeColor="text1"/>
          <w:szCs w:val="24"/>
          <w:lang w:val="en-GB"/>
        </w:rPr>
      </w:pP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(1)</w:t>
      </w:r>
      <w:r w:rsidRPr="0028108F">
        <w:rPr>
          <w:rFonts w:ascii="Arial" w:hAnsi="Arial" w:cs="Arial"/>
          <w:b/>
          <w:color w:val="000000" w:themeColor="text1"/>
          <w:szCs w:val="24"/>
          <w:lang w:val="en-GB"/>
        </w:rPr>
        <w:tab/>
      </w:r>
      <w:r w:rsidR="00084EA8" w:rsidRPr="00181CF2">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n the event that a gender recognition scheme is </w:t>
      </w:r>
      <w:r w:rsidR="005E6528">
        <w:rPr>
          <w:rFonts w:ascii="Arial" w:hAnsi="Arial" w:cs="Arial" w:hint="eastAsia"/>
          <w:b/>
          <w:color w:val="000000" w:themeColor="text1"/>
          <w:szCs w:val="24"/>
          <w:lang w:val="en-GB"/>
        </w:rPr>
        <w:t xml:space="preserve">to be </w:t>
      </w:r>
      <w:r w:rsidRPr="0028108F">
        <w:rPr>
          <w:rFonts w:ascii="Arial" w:hAnsi="Arial" w:cs="Arial"/>
          <w:b/>
          <w:color w:val="000000" w:themeColor="text1"/>
          <w:szCs w:val="24"/>
          <w:lang w:val="en-GB"/>
        </w:rPr>
        <w:t>introduced in Hong Kong, whether a dual-track gender recognition scheme should be introduced with differing requirements (so that, for example, one person seeking full gender recognition for all legal purposes would have to satisfy stricter medical requirements (</w:t>
      </w:r>
      <w:r w:rsidR="00D6311F" w:rsidRPr="00181CF2">
        <w:rPr>
          <w:rFonts w:ascii="Arial" w:hAnsi="Arial" w:cs="Arial"/>
          <w:b/>
          <w:color w:val="000000" w:themeColor="text1"/>
          <w:szCs w:val="24"/>
          <w:lang w:val="en-GB"/>
        </w:rPr>
        <w:t>eg</w:t>
      </w:r>
      <w:r w:rsidRPr="0028108F">
        <w:rPr>
          <w:rFonts w:ascii="Arial" w:hAnsi="Arial" w:cs="Arial"/>
          <w:b/>
          <w:color w:val="000000" w:themeColor="text1"/>
          <w:szCs w:val="24"/>
          <w:lang w:val="en-GB"/>
        </w:rPr>
        <w:t>, gender reassignment surgery), while another person wishing to have only the sex marker changed on their Identity Card could be required to satisfy less stringent requirements (</w:t>
      </w:r>
      <w:r w:rsidR="00D6311F" w:rsidRPr="00181CF2">
        <w:rPr>
          <w:rFonts w:ascii="Arial" w:hAnsi="Arial" w:cs="Arial"/>
          <w:b/>
          <w:color w:val="000000" w:themeColor="text1"/>
          <w:szCs w:val="24"/>
          <w:lang w:val="en-GB"/>
        </w:rPr>
        <w:t>eg</w:t>
      </w:r>
      <w:r w:rsidRPr="0028108F">
        <w:rPr>
          <w:rFonts w:ascii="Arial" w:hAnsi="Arial" w:cs="Arial"/>
          <w:b/>
          <w:color w:val="000000" w:themeColor="text1"/>
          <w:szCs w:val="24"/>
          <w:lang w:val="en-GB"/>
        </w:rPr>
        <w:t xml:space="preserve">, proof of </w:t>
      </w:r>
      <w:r w:rsidRPr="0028108F">
        <w:rPr>
          <w:rFonts w:ascii="Arial" w:hAnsi="Arial" w:cs="Arial"/>
          <w:b/>
          <w:i/>
          <w:color w:val="000000" w:themeColor="text1"/>
          <w:szCs w:val="24"/>
          <w:lang w:val="en-GB"/>
        </w:rPr>
        <w:t>“real life test”</w:t>
      </w:r>
      <w:r w:rsidRPr="0028108F">
        <w:rPr>
          <w:rFonts w:ascii="Arial" w:hAnsi="Arial" w:cs="Arial"/>
          <w:b/>
          <w:color w:val="000000" w:themeColor="text1"/>
          <w:szCs w:val="24"/>
          <w:lang w:val="en-GB"/>
        </w:rPr>
        <w:t xml:space="preserve"> for a specific period).</w:t>
      </w:r>
    </w:p>
    <w:p w:rsidR="00B14A7F" w:rsidRDefault="00B14A7F"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p>
    <w:p w:rsidR="005A0374" w:rsidRPr="0028108F"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(2)</w:t>
      </w:r>
      <w:r w:rsidRPr="0028108F">
        <w:rPr>
          <w:rFonts w:ascii="Arial" w:hAnsi="Arial" w:cs="Arial"/>
          <w:b/>
          <w:color w:val="000000" w:themeColor="text1"/>
          <w:szCs w:val="24"/>
          <w:lang w:val="en-GB"/>
        </w:rPr>
        <w:tab/>
      </w:r>
      <w:r w:rsidR="00084EA8" w:rsidRPr="00181CF2">
        <w:rPr>
          <w:rFonts w:ascii="Arial" w:hAnsi="Arial" w:cs="Arial"/>
          <w:b/>
          <w:color w:val="000000" w:themeColor="text1"/>
          <w:szCs w:val="24"/>
          <w:lang w:val="en-GB"/>
        </w:rPr>
        <w:t>I</w:t>
      </w:r>
      <w:r w:rsidRPr="0028108F">
        <w:rPr>
          <w:rFonts w:ascii="Arial" w:hAnsi="Arial" w:cs="Arial"/>
          <w:b/>
          <w:color w:val="000000" w:themeColor="text1"/>
          <w:szCs w:val="24"/>
          <w:lang w:val="en-GB"/>
        </w:rPr>
        <w:t>f the answer to sub-paragraph (1) is “yes”, what should be the model of the dual-track scheme, and why.</w:t>
      </w:r>
    </w:p>
    <w:p w:rsidR="005A0374" w:rsidRPr="00B14A7F"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p>
    <w:p w:rsidR="00084EA8" w:rsidRPr="0028108F" w:rsidRDefault="005A0374" w:rsidP="0028108F">
      <w:pPr>
        <w:pBdr>
          <w:top w:val="single" w:sz="4" w:space="8" w:color="auto"/>
          <w:left w:val="single" w:sz="4" w:space="8" w:color="auto"/>
          <w:bottom w:val="single" w:sz="4" w:space="8" w:color="auto"/>
          <w:right w:val="single" w:sz="4" w:space="8" w:color="auto"/>
        </w:pBdr>
        <w:snapToGrid w:val="0"/>
        <w:ind w:left="1440" w:right="720" w:hanging="720"/>
        <w:jc w:val="both"/>
        <w:rPr>
          <w:rFonts w:ascii="Arial" w:hAnsi="Arial" w:cs="Arial"/>
          <w:b/>
          <w:color w:val="000000" w:themeColor="text1"/>
          <w:szCs w:val="24"/>
          <w:lang w:val="en-GB"/>
        </w:rPr>
      </w:pPr>
      <w:r w:rsidRPr="0028108F">
        <w:rPr>
          <w:rFonts w:ascii="Arial" w:hAnsi="Arial" w:cs="Arial"/>
          <w:b/>
          <w:color w:val="000000" w:themeColor="text1"/>
          <w:szCs w:val="24"/>
          <w:lang w:val="en-GB"/>
        </w:rPr>
        <w:t>(3)</w:t>
      </w:r>
      <w:r w:rsidRPr="0028108F">
        <w:rPr>
          <w:rFonts w:ascii="Arial" w:hAnsi="Arial" w:cs="Arial"/>
          <w:b/>
          <w:color w:val="000000" w:themeColor="text1"/>
          <w:szCs w:val="24"/>
          <w:lang w:val="en-GB"/>
        </w:rPr>
        <w:tab/>
      </w:r>
      <w:r w:rsidR="00084EA8" w:rsidRPr="00181CF2">
        <w:rPr>
          <w:rFonts w:ascii="Arial" w:hAnsi="Arial" w:cs="Arial"/>
          <w:b/>
          <w:color w:val="000000" w:themeColor="text1"/>
          <w:szCs w:val="24"/>
          <w:lang w:val="en-GB"/>
        </w:rPr>
        <w:t>I</w:t>
      </w:r>
      <w:r w:rsidRPr="0028108F">
        <w:rPr>
          <w:rFonts w:ascii="Arial" w:hAnsi="Arial" w:cs="Arial"/>
          <w:b/>
          <w:color w:val="000000" w:themeColor="text1"/>
          <w:szCs w:val="24"/>
          <w:lang w:val="en-GB"/>
        </w:rPr>
        <w:t xml:space="preserve">f the answer to sub-paragraph (1) is “no”, why </w:t>
      </w:r>
      <w:r w:rsidR="00E60BCF" w:rsidRPr="00181CF2">
        <w:rPr>
          <w:rFonts w:ascii="Arial" w:hAnsi="Arial" w:cs="Arial"/>
          <w:b/>
          <w:color w:val="000000" w:themeColor="text1"/>
          <w:szCs w:val="24"/>
          <w:lang w:val="en-GB"/>
        </w:rPr>
        <w:t>this</w:t>
      </w:r>
      <w:r w:rsidRPr="0028108F">
        <w:rPr>
          <w:rFonts w:ascii="Arial" w:hAnsi="Arial" w:cs="Arial"/>
          <w:b/>
          <w:color w:val="000000" w:themeColor="text1"/>
          <w:szCs w:val="24"/>
          <w:lang w:val="en-GB"/>
        </w:rPr>
        <w:t xml:space="preserve"> is so.</w:t>
      </w:r>
    </w:p>
    <w:p w:rsidR="00DE24BE" w:rsidRDefault="00DE24BE" w:rsidP="001544FD">
      <w:pPr>
        <w:adjustRightInd w:val="0"/>
        <w:snapToGrid w:val="0"/>
        <w:jc w:val="both"/>
        <w:rPr>
          <w:rFonts w:ascii="Arial" w:hAnsi="Arial" w:cs="Arial"/>
          <w:b/>
          <w:sz w:val="32"/>
          <w:szCs w:val="32"/>
          <w:lang w:val="en-GB"/>
        </w:rPr>
      </w:pPr>
    </w:p>
    <w:p w:rsidR="001544FD" w:rsidRPr="0028108F" w:rsidRDefault="001544FD" w:rsidP="001544FD">
      <w:pPr>
        <w:adjustRightInd w:val="0"/>
        <w:snapToGrid w:val="0"/>
        <w:jc w:val="both"/>
        <w:rPr>
          <w:rFonts w:ascii="Arial" w:hAnsi="Arial" w:cs="Arial"/>
          <w:b/>
          <w:sz w:val="32"/>
          <w:szCs w:val="32"/>
          <w:lang w:val="en-GB"/>
        </w:rPr>
      </w:pPr>
      <w:r w:rsidRPr="0028108F">
        <w:rPr>
          <w:rFonts w:ascii="Arial" w:hAnsi="Arial" w:cs="Arial"/>
          <w:b/>
          <w:sz w:val="32"/>
          <w:szCs w:val="32"/>
          <w:lang w:val="en-GB"/>
        </w:rPr>
        <w:t>CHAPTER 9</w:t>
      </w:r>
    </w:p>
    <w:p w:rsidR="001544FD" w:rsidRPr="0028108F" w:rsidRDefault="001544FD" w:rsidP="001544FD">
      <w:pPr>
        <w:adjustRightInd w:val="0"/>
        <w:snapToGrid w:val="0"/>
        <w:jc w:val="both"/>
        <w:rPr>
          <w:rFonts w:ascii="Arial" w:hAnsi="Arial" w:cs="Arial"/>
          <w:b/>
          <w:sz w:val="32"/>
          <w:szCs w:val="32"/>
          <w:lang w:val="en-GB"/>
        </w:rPr>
      </w:pPr>
    </w:p>
    <w:p w:rsidR="001544FD" w:rsidRPr="0028108F" w:rsidRDefault="001544FD" w:rsidP="001544FD">
      <w:pPr>
        <w:adjustRightInd w:val="0"/>
        <w:snapToGrid w:val="0"/>
        <w:jc w:val="both"/>
        <w:rPr>
          <w:rFonts w:ascii="Arial" w:hAnsi="Arial" w:cs="Arial"/>
          <w:b/>
          <w:caps/>
          <w:sz w:val="32"/>
          <w:szCs w:val="32"/>
          <w:lang w:val="en-GB"/>
        </w:rPr>
      </w:pPr>
      <w:r w:rsidRPr="0028108F">
        <w:rPr>
          <w:rFonts w:ascii="Arial" w:hAnsi="Arial" w:cs="Arial"/>
          <w:b/>
          <w:caps/>
          <w:sz w:val="32"/>
          <w:szCs w:val="32"/>
          <w:lang w:val="en-GB"/>
        </w:rPr>
        <w:t>other related matters</w:t>
      </w:r>
    </w:p>
    <w:p w:rsidR="001544FD" w:rsidRPr="0028108F" w:rsidRDefault="00201844" w:rsidP="001544FD">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w:t>
      </w:r>
    </w:p>
    <w:p w:rsidR="001544FD" w:rsidRPr="0028108F" w:rsidRDefault="001544FD" w:rsidP="001544FD">
      <w:pPr>
        <w:adjustRightInd w:val="0"/>
        <w:snapToGrid w:val="0"/>
        <w:jc w:val="both"/>
        <w:rPr>
          <w:rFonts w:ascii="Arial" w:hAnsi="Arial" w:cs="Arial"/>
          <w:sz w:val="32"/>
          <w:szCs w:val="32"/>
          <w:lang w:val="en-GB"/>
        </w:rPr>
      </w:pPr>
    </w:p>
    <w:p w:rsidR="001544FD" w:rsidRDefault="001544FD" w:rsidP="001544FD">
      <w:pPr>
        <w:adjustRightInd w:val="0"/>
        <w:snapToGrid w:val="0"/>
        <w:jc w:val="both"/>
        <w:rPr>
          <w:rFonts w:ascii="Arial" w:hAnsi="Arial" w:cs="Arial"/>
          <w:szCs w:val="24"/>
          <w:lang w:val="en-GB"/>
        </w:rPr>
      </w:pPr>
    </w:p>
    <w:p w:rsidR="00B14A7F" w:rsidRPr="0028108F" w:rsidRDefault="00B14A7F" w:rsidP="001544FD">
      <w:pPr>
        <w:adjustRightInd w:val="0"/>
        <w:snapToGrid w:val="0"/>
        <w:jc w:val="both"/>
        <w:rPr>
          <w:rFonts w:ascii="Arial" w:hAnsi="Arial" w:cs="Arial"/>
          <w:szCs w:val="24"/>
          <w:lang w:val="en-GB"/>
        </w:rPr>
      </w:pPr>
    </w:p>
    <w:p w:rsidR="001544FD" w:rsidRPr="0028108F" w:rsidRDefault="001544FD" w:rsidP="001544FD">
      <w:pPr>
        <w:adjustRightInd w:val="0"/>
        <w:snapToGrid w:val="0"/>
        <w:jc w:val="both"/>
        <w:rPr>
          <w:rFonts w:ascii="Arial" w:hAnsi="Arial" w:cs="Arial"/>
          <w:b/>
          <w:sz w:val="28"/>
          <w:szCs w:val="28"/>
          <w:lang w:val="en-GB"/>
        </w:rPr>
      </w:pPr>
      <w:r w:rsidRPr="0028108F">
        <w:rPr>
          <w:rFonts w:ascii="Arial" w:hAnsi="Arial" w:cs="Arial"/>
          <w:b/>
          <w:sz w:val="28"/>
          <w:szCs w:val="28"/>
          <w:lang w:val="en-GB"/>
        </w:rPr>
        <w:t>Introduction</w:t>
      </w:r>
    </w:p>
    <w:p w:rsidR="001544FD" w:rsidRPr="0028108F" w:rsidRDefault="001544FD" w:rsidP="001544FD">
      <w:pPr>
        <w:pStyle w:val="ListParagraph"/>
        <w:tabs>
          <w:tab w:val="left" w:pos="1418"/>
        </w:tabs>
        <w:adjustRightInd w:val="0"/>
        <w:snapToGrid w:val="0"/>
        <w:ind w:leftChars="0" w:left="0"/>
        <w:jc w:val="both"/>
        <w:rPr>
          <w:rFonts w:ascii="Arial" w:hAnsi="Arial" w:cs="Arial"/>
          <w:b/>
          <w:color w:val="000000" w:themeColor="text1"/>
          <w:szCs w:val="24"/>
          <w:lang w:val="en-GB"/>
        </w:rPr>
      </w:pPr>
    </w:p>
    <w:p w:rsidR="008F2221" w:rsidRPr="0028108F" w:rsidRDefault="00780583"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Chapters 6 to 8 we have examined different requirements that may be imposed on an applicant for gender recognition and the possible models </w:t>
      </w:r>
      <w:r w:rsidR="00473975" w:rsidRPr="0028108F">
        <w:rPr>
          <w:rFonts w:ascii="Arial" w:hAnsi="Arial" w:cs="Arial"/>
          <w:szCs w:val="24"/>
          <w:lang w:val="en-GB"/>
        </w:rPr>
        <w:t>of</w:t>
      </w:r>
      <w:r w:rsidRPr="0028108F">
        <w:rPr>
          <w:rFonts w:ascii="Arial" w:hAnsi="Arial" w:cs="Arial"/>
          <w:szCs w:val="24"/>
          <w:lang w:val="en-GB"/>
        </w:rPr>
        <w:t xml:space="preserve"> a gender recognition scheme.  </w:t>
      </w:r>
      <w:r w:rsidR="00473975" w:rsidRPr="0028108F">
        <w:rPr>
          <w:rFonts w:ascii="Arial" w:hAnsi="Arial" w:cs="Arial"/>
          <w:szCs w:val="24"/>
          <w:lang w:val="en-GB"/>
        </w:rPr>
        <w:t>The issues aris</w:t>
      </w:r>
      <w:r w:rsidR="008F2221" w:rsidRPr="0028108F">
        <w:rPr>
          <w:rFonts w:ascii="Arial" w:hAnsi="Arial" w:cs="Arial"/>
          <w:szCs w:val="24"/>
          <w:lang w:val="en-GB"/>
        </w:rPr>
        <w:t>ing</w:t>
      </w:r>
      <w:r w:rsidR="00473975" w:rsidRPr="0028108F">
        <w:rPr>
          <w:rFonts w:ascii="Arial" w:hAnsi="Arial" w:cs="Arial"/>
          <w:szCs w:val="24"/>
          <w:lang w:val="en-GB"/>
        </w:rPr>
        <w:t xml:space="preserve"> from those matter</w:t>
      </w:r>
      <w:r w:rsidR="008F2221" w:rsidRPr="0028108F">
        <w:rPr>
          <w:rFonts w:ascii="Arial" w:hAnsi="Arial" w:cs="Arial"/>
          <w:szCs w:val="24"/>
          <w:lang w:val="en-GB"/>
        </w:rPr>
        <w:t>s are</w:t>
      </w:r>
      <w:r w:rsidR="00E003FE" w:rsidRPr="0028108F">
        <w:rPr>
          <w:rFonts w:ascii="Arial" w:hAnsi="Arial" w:cs="Arial"/>
          <w:szCs w:val="24"/>
          <w:lang w:val="en-GB"/>
        </w:rPr>
        <w:t xml:space="preserve"> the subject of </w:t>
      </w:r>
      <w:r w:rsidR="008F2221" w:rsidRPr="0028108F">
        <w:rPr>
          <w:rFonts w:ascii="Arial" w:hAnsi="Arial" w:cs="Arial"/>
          <w:szCs w:val="24"/>
          <w:lang w:val="en-GB"/>
        </w:rPr>
        <w:t xml:space="preserve">the </w:t>
      </w:r>
      <w:r w:rsidR="00E003FE" w:rsidRPr="0028108F">
        <w:rPr>
          <w:rFonts w:ascii="Arial" w:hAnsi="Arial" w:cs="Arial"/>
          <w:szCs w:val="24"/>
          <w:lang w:val="en-GB"/>
        </w:rPr>
        <w:t xml:space="preserve">consultation in this </w:t>
      </w:r>
      <w:r w:rsidR="008F2221" w:rsidRPr="0028108F">
        <w:rPr>
          <w:rFonts w:ascii="Arial" w:hAnsi="Arial" w:cs="Arial"/>
          <w:szCs w:val="24"/>
          <w:lang w:val="en-GB"/>
        </w:rPr>
        <w:t>p</w:t>
      </w:r>
      <w:r w:rsidR="00E003FE" w:rsidRPr="0028108F">
        <w:rPr>
          <w:rFonts w:ascii="Arial" w:hAnsi="Arial" w:cs="Arial"/>
          <w:szCs w:val="24"/>
          <w:lang w:val="en-GB"/>
        </w:rPr>
        <w:t>aper</w:t>
      </w:r>
      <w:r w:rsidR="002E6A5C" w:rsidRPr="0028108F">
        <w:rPr>
          <w:rFonts w:ascii="Arial" w:hAnsi="Arial" w:cs="Arial"/>
          <w:szCs w:val="24"/>
          <w:lang w:val="en-GB"/>
        </w:rPr>
        <w:t xml:space="preserve">, and a summary of those issues </w:t>
      </w:r>
      <w:r w:rsidR="008F2221" w:rsidRPr="0028108F">
        <w:rPr>
          <w:rFonts w:ascii="Arial" w:hAnsi="Arial" w:cs="Arial"/>
          <w:szCs w:val="24"/>
          <w:lang w:val="en-GB"/>
        </w:rPr>
        <w:t>is</w:t>
      </w:r>
      <w:r w:rsidR="002E6A5C" w:rsidRPr="0028108F">
        <w:rPr>
          <w:rFonts w:ascii="Arial" w:hAnsi="Arial" w:cs="Arial"/>
          <w:szCs w:val="24"/>
          <w:lang w:val="en-GB"/>
        </w:rPr>
        <w:t xml:space="preserve"> set out in </w:t>
      </w:r>
      <w:r w:rsidR="002E6A5C" w:rsidRPr="008813DE">
        <w:rPr>
          <w:rFonts w:ascii="Arial" w:hAnsi="Arial" w:cs="Arial"/>
          <w:szCs w:val="24"/>
          <w:lang w:val="en-GB"/>
        </w:rPr>
        <w:t>Chapter 10</w:t>
      </w:r>
      <w:r w:rsidR="002E6A5C" w:rsidRPr="0028108F">
        <w:rPr>
          <w:rFonts w:ascii="Arial" w:hAnsi="Arial" w:cs="Arial"/>
          <w:szCs w:val="24"/>
          <w:lang w:val="en-GB"/>
        </w:rPr>
        <w:t xml:space="preserve"> for consultation purposes.</w:t>
      </w:r>
    </w:p>
    <w:p w:rsidR="008F2221" w:rsidRPr="0028108F" w:rsidRDefault="008F2221"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2E6A5C" w:rsidRPr="0028108F" w:rsidRDefault="002E6A5C"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  In addition to those topics, there are </w:t>
      </w:r>
      <w:r w:rsidR="001544FD" w:rsidRPr="0028108F">
        <w:rPr>
          <w:rFonts w:ascii="Arial" w:hAnsi="Arial" w:cs="Arial"/>
          <w:szCs w:val="24"/>
          <w:lang w:val="en-GB"/>
        </w:rPr>
        <w:t>other matters related to legal gender recognition</w:t>
      </w:r>
      <w:r w:rsidRPr="0028108F">
        <w:rPr>
          <w:rFonts w:ascii="Arial" w:hAnsi="Arial" w:cs="Arial"/>
          <w:szCs w:val="24"/>
          <w:lang w:val="en-GB"/>
        </w:rPr>
        <w:t xml:space="preserve"> that </w:t>
      </w:r>
      <w:r w:rsidR="008F2221" w:rsidRPr="0028108F">
        <w:rPr>
          <w:rFonts w:ascii="Arial" w:hAnsi="Arial" w:cs="Arial"/>
          <w:szCs w:val="24"/>
          <w:lang w:val="en-GB"/>
        </w:rPr>
        <w:t xml:space="preserve">may </w:t>
      </w:r>
      <w:r w:rsidRPr="0028108F">
        <w:rPr>
          <w:rFonts w:ascii="Arial" w:hAnsi="Arial" w:cs="Arial"/>
          <w:szCs w:val="24"/>
          <w:lang w:val="en-GB"/>
        </w:rPr>
        <w:t xml:space="preserve">have to be considered during the deliberation </w:t>
      </w:r>
      <w:r w:rsidR="008F2221" w:rsidRPr="0028108F">
        <w:rPr>
          <w:rFonts w:ascii="Arial" w:hAnsi="Arial" w:cs="Arial"/>
          <w:szCs w:val="24"/>
          <w:lang w:val="en-GB"/>
        </w:rPr>
        <w:t>on introducing</w:t>
      </w:r>
      <w:r w:rsidRPr="0028108F">
        <w:rPr>
          <w:rFonts w:ascii="Arial" w:hAnsi="Arial" w:cs="Arial"/>
          <w:szCs w:val="24"/>
          <w:lang w:val="en-GB"/>
        </w:rPr>
        <w:t xml:space="preserve"> a gender recognition scheme in Hong Kong.  </w:t>
      </w:r>
      <w:r w:rsidR="008F2221" w:rsidRPr="0028108F">
        <w:rPr>
          <w:rFonts w:ascii="Arial" w:hAnsi="Arial" w:cs="Arial"/>
          <w:szCs w:val="24"/>
          <w:lang w:val="en-GB"/>
        </w:rPr>
        <w:t xml:space="preserve">Likely </w:t>
      </w:r>
      <w:r w:rsidRPr="0028108F">
        <w:rPr>
          <w:rFonts w:ascii="Arial" w:hAnsi="Arial" w:cs="Arial"/>
          <w:szCs w:val="24"/>
          <w:lang w:val="en-GB"/>
        </w:rPr>
        <w:t>matters in this regard are listed</w:t>
      </w:r>
      <w:r w:rsidR="00264B98" w:rsidRPr="0028108F">
        <w:rPr>
          <w:rFonts w:ascii="Arial" w:hAnsi="Arial" w:cs="Arial"/>
          <w:szCs w:val="24"/>
          <w:lang w:val="en-GB"/>
        </w:rPr>
        <w:t xml:space="preserve"> </w:t>
      </w:r>
      <w:r w:rsidR="008F2221" w:rsidRPr="0028108F">
        <w:rPr>
          <w:rFonts w:ascii="Arial" w:hAnsi="Arial" w:cs="Arial"/>
          <w:szCs w:val="24"/>
          <w:lang w:val="en-GB"/>
        </w:rPr>
        <w:t>in</w:t>
      </w:r>
      <w:r w:rsidRPr="0028108F">
        <w:rPr>
          <w:rFonts w:ascii="Arial" w:hAnsi="Arial" w:cs="Arial"/>
          <w:szCs w:val="24"/>
          <w:lang w:val="en-GB"/>
        </w:rPr>
        <w:t xml:space="preserve"> paragraph </w:t>
      </w:r>
      <w:r w:rsidRPr="008813DE">
        <w:rPr>
          <w:rFonts w:ascii="Arial" w:hAnsi="Arial" w:cs="Arial"/>
          <w:szCs w:val="24"/>
          <w:lang w:val="en-GB"/>
        </w:rPr>
        <w:t>18</w:t>
      </w:r>
      <w:r w:rsidRPr="00181CF2">
        <w:rPr>
          <w:rFonts w:ascii="Arial" w:hAnsi="Arial" w:cs="Arial"/>
          <w:szCs w:val="24"/>
          <w:lang w:val="en-GB"/>
        </w:rPr>
        <w:t xml:space="preserve"> of</w:t>
      </w:r>
      <w:r w:rsidRPr="00C57CE1">
        <w:rPr>
          <w:rFonts w:ascii="Arial" w:hAnsi="Arial" w:cs="Arial"/>
          <w:szCs w:val="24"/>
          <w:lang w:val="en-GB"/>
        </w:rPr>
        <w:t xml:space="preserve"> the Preface </w:t>
      </w:r>
      <w:r w:rsidR="008F2221" w:rsidRPr="0028108F">
        <w:rPr>
          <w:rFonts w:ascii="Arial" w:hAnsi="Arial" w:cs="Arial"/>
          <w:szCs w:val="24"/>
          <w:lang w:val="en-GB"/>
        </w:rPr>
        <w:t>of</w:t>
      </w:r>
      <w:r w:rsidRPr="0028108F">
        <w:rPr>
          <w:rFonts w:ascii="Arial" w:hAnsi="Arial" w:cs="Arial"/>
          <w:szCs w:val="24"/>
          <w:lang w:val="en-GB"/>
        </w:rPr>
        <w:t xml:space="preserve"> this Consultation Paper </w:t>
      </w:r>
      <w:r w:rsidR="008F2221" w:rsidRPr="0028108F">
        <w:rPr>
          <w:rFonts w:ascii="Arial" w:hAnsi="Arial" w:cs="Arial"/>
          <w:szCs w:val="24"/>
          <w:lang w:val="en-GB"/>
        </w:rPr>
        <w:t>and are</w:t>
      </w:r>
      <w:r w:rsidRPr="0028108F">
        <w:rPr>
          <w:rFonts w:ascii="Arial" w:hAnsi="Arial" w:cs="Arial"/>
          <w:szCs w:val="24"/>
          <w:lang w:val="en-GB"/>
        </w:rPr>
        <w:t xml:space="preserve"> reiterated </w:t>
      </w:r>
      <w:r w:rsidR="008F2221" w:rsidRPr="0028108F">
        <w:rPr>
          <w:rFonts w:ascii="Arial" w:hAnsi="Arial" w:cs="Arial"/>
          <w:szCs w:val="24"/>
          <w:lang w:val="en-GB"/>
        </w:rPr>
        <w:t xml:space="preserve">below </w:t>
      </w:r>
      <w:r w:rsidRPr="0028108F">
        <w:rPr>
          <w:rFonts w:ascii="Arial" w:hAnsi="Arial" w:cs="Arial"/>
          <w:szCs w:val="24"/>
          <w:lang w:val="en-GB"/>
        </w:rPr>
        <w:t>as follows:</w:t>
      </w:r>
    </w:p>
    <w:p w:rsidR="002E6A5C" w:rsidRPr="0028108F" w:rsidRDefault="002E6A5C"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official documentation;</w:t>
      </w:r>
    </w:p>
    <w:p w:rsidR="002E6A5C" w:rsidRPr="0028108F" w:rsidRDefault="002E6A5C" w:rsidP="0028108F">
      <w:pPr>
        <w:pStyle w:val="ListParagraph"/>
        <w:tabs>
          <w:tab w:val="left" w:pos="1440"/>
        </w:tabs>
        <w:adjustRightInd w:val="0"/>
        <w:snapToGrid w:val="0"/>
        <w:ind w:leftChars="0" w:left="1418"/>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privacy and related matters (such as the need for legal protection of data about a person’s gender history);</w:t>
      </w:r>
    </w:p>
    <w:p w:rsidR="002E6A5C" w:rsidRPr="0028108F" w:rsidRDefault="002E6A5C" w:rsidP="0028108F">
      <w:pPr>
        <w:pStyle w:val="ListParagraph"/>
        <w:tabs>
          <w:tab w:val="left" w:pos="1440"/>
        </w:tabs>
        <w:adjustRightInd w:val="0"/>
        <w:snapToGrid w:val="0"/>
        <w:ind w:leftChars="0" w:left="1418"/>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family and parenthood matters (such as the status of a subsisting marriage to which the applicant is a party and the applicant’s parental rights and responsibilities);</w:t>
      </w:r>
    </w:p>
    <w:p w:rsidR="002E6A5C" w:rsidRPr="0028108F" w:rsidRDefault="002E6A5C" w:rsidP="0028108F">
      <w:pPr>
        <w:pStyle w:val="ListParagraph"/>
        <w:tabs>
          <w:tab w:val="left" w:pos="1440"/>
        </w:tabs>
        <w:adjustRightInd w:val="0"/>
        <w:snapToGrid w:val="0"/>
        <w:ind w:leftChars="0" w:left="1418"/>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criminal law, procedure and evidence matters (such as gender specific offences);</w:t>
      </w:r>
    </w:p>
    <w:p w:rsidR="002E6A5C" w:rsidRPr="0028108F" w:rsidRDefault="002E6A5C" w:rsidP="0028108F">
      <w:pPr>
        <w:pStyle w:val="ListParagraph"/>
        <w:tabs>
          <w:tab w:val="left" w:pos="1440"/>
        </w:tabs>
        <w:adjustRightInd w:val="0"/>
        <w:snapToGrid w:val="0"/>
        <w:ind w:leftChars="0" w:left="1418"/>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property and succession matters (such as the right of succession to property and the small house policy);</w:t>
      </w:r>
    </w:p>
    <w:p w:rsidR="002E6A5C" w:rsidRPr="0028108F" w:rsidRDefault="002E6A5C" w:rsidP="0028108F">
      <w:pPr>
        <w:pStyle w:val="ListParagraph"/>
        <w:tabs>
          <w:tab w:val="left" w:pos="1440"/>
          <w:tab w:val="left" w:pos="2552"/>
        </w:tabs>
        <w:autoSpaceDE w:val="0"/>
        <w:autoSpaceDN w:val="0"/>
        <w:adjustRightInd w:val="0"/>
        <w:snapToGrid w:val="0"/>
        <w:ind w:leftChars="0" w:left="0"/>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compensation and benefits matters (such as the right to receive social welfare benefits and pensions); and</w:t>
      </w:r>
    </w:p>
    <w:p w:rsidR="002E6A5C" w:rsidRPr="0028108F" w:rsidRDefault="002E6A5C" w:rsidP="0028108F">
      <w:pPr>
        <w:pStyle w:val="ListParagraph"/>
        <w:tabs>
          <w:tab w:val="left" w:pos="1440"/>
        </w:tabs>
        <w:adjustRightInd w:val="0"/>
        <w:snapToGrid w:val="0"/>
        <w:ind w:leftChars="0" w:left="1418"/>
        <w:jc w:val="both"/>
        <w:rPr>
          <w:rFonts w:ascii="Arial" w:hAnsi="Arial" w:cs="Arial"/>
          <w:szCs w:val="24"/>
          <w:lang w:val="en-GB"/>
        </w:rPr>
      </w:pPr>
    </w:p>
    <w:p w:rsidR="002E6A5C" w:rsidRPr="0028108F" w:rsidRDefault="002E6A5C" w:rsidP="0028108F">
      <w:pPr>
        <w:pStyle w:val="ListParagraph"/>
        <w:numPr>
          <w:ilvl w:val="0"/>
          <w:numId w:val="130"/>
        </w:numPr>
        <w:tabs>
          <w:tab w:val="left" w:pos="1440"/>
        </w:tabs>
        <w:adjustRightInd w:val="0"/>
        <w:snapToGrid w:val="0"/>
        <w:ind w:leftChars="0" w:left="1418" w:hanging="567"/>
        <w:jc w:val="both"/>
        <w:rPr>
          <w:rFonts w:ascii="Arial" w:hAnsi="Arial" w:cs="Arial"/>
          <w:szCs w:val="24"/>
          <w:lang w:val="en-GB"/>
        </w:rPr>
      </w:pPr>
      <w:r w:rsidRPr="0028108F">
        <w:rPr>
          <w:rFonts w:ascii="Arial" w:hAnsi="Arial" w:cs="Arial"/>
          <w:szCs w:val="24"/>
          <w:lang w:val="en-GB"/>
        </w:rPr>
        <w:t>tax related matters (such as entitlement to a married person's allowance).</w:t>
      </w:r>
    </w:p>
    <w:p w:rsidR="002E6A5C" w:rsidRPr="0028108F" w:rsidRDefault="002E6A5C" w:rsidP="0028108F">
      <w:pPr>
        <w:pStyle w:val="ListParagraph"/>
        <w:tabs>
          <w:tab w:val="left" w:pos="1418"/>
          <w:tab w:val="left" w:pos="2552"/>
        </w:tabs>
        <w:autoSpaceDE w:val="0"/>
        <w:autoSpaceDN w:val="0"/>
        <w:adjustRightInd w:val="0"/>
        <w:snapToGrid w:val="0"/>
        <w:ind w:leftChars="0" w:left="360"/>
        <w:jc w:val="both"/>
        <w:rPr>
          <w:rFonts w:ascii="Arial" w:hAnsi="Arial" w:cs="Arial"/>
          <w:szCs w:val="24"/>
          <w:lang w:val="en-GB"/>
        </w:rPr>
      </w:pPr>
    </w:p>
    <w:p w:rsidR="00264B98" w:rsidRPr="0028108F" w:rsidRDefault="002E6A5C"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w:t>
      </w:r>
      <w:r w:rsidR="00264B98" w:rsidRPr="0028108F">
        <w:rPr>
          <w:rFonts w:ascii="Arial" w:hAnsi="Arial" w:cs="Arial"/>
          <w:szCs w:val="24"/>
          <w:lang w:val="en-GB"/>
        </w:rPr>
        <w:t xml:space="preserve">above </w:t>
      </w:r>
      <w:r w:rsidR="008F2221" w:rsidRPr="0028108F">
        <w:rPr>
          <w:rFonts w:ascii="Arial" w:hAnsi="Arial" w:cs="Arial"/>
          <w:szCs w:val="24"/>
          <w:lang w:val="en-GB"/>
        </w:rPr>
        <w:t>matters</w:t>
      </w:r>
      <w:r w:rsidRPr="0028108F">
        <w:rPr>
          <w:rFonts w:ascii="Arial" w:hAnsi="Arial" w:cs="Arial"/>
          <w:szCs w:val="24"/>
          <w:lang w:val="en-GB"/>
        </w:rPr>
        <w:t xml:space="preserve"> are considered “</w:t>
      </w:r>
      <w:r w:rsidRPr="0028108F">
        <w:rPr>
          <w:rFonts w:ascii="Arial" w:hAnsi="Arial" w:cs="Arial"/>
          <w:i/>
          <w:szCs w:val="24"/>
          <w:lang w:val="en-GB"/>
        </w:rPr>
        <w:t>post-recognition</w:t>
      </w:r>
      <w:r w:rsidRPr="00181CF2">
        <w:rPr>
          <w:rFonts w:ascii="Arial" w:hAnsi="Arial" w:cs="Arial"/>
          <w:szCs w:val="24"/>
          <w:lang w:val="en-GB"/>
        </w:rPr>
        <w:t>” issues</w:t>
      </w:r>
      <w:r w:rsidR="008F2221" w:rsidRPr="00C57CE1">
        <w:rPr>
          <w:rFonts w:ascii="Arial" w:hAnsi="Arial" w:cs="Arial"/>
          <w:szCs w:val="24"/>
          <w:lang w:val="en-GB"/>
        </w:rPr>
        <w:t>,</w:t>
      </w:r>
      <w:r w:rsidRPr="0028108F">
        <w:rPr>
          <w:rFonts w:ascii="Arial" w:hAnsi="Arial" w:cs="Arial"/>
          <w:szCs w:val="24"/>
          <w:lang w:val="en-GB"/>
        </w:rPr>
        <w:t xml:space="preserve"> as they pertain to the effect of a recognised change of legal gender</w:t>
      </w:r>
      <w:r w:rsidR="00264B98" w:rsidRPr="0028108F">
        <w:rPr>
          <w:rFonts w:ascii="Arial" w:hAnsi="Arial" w:cs="Arial"/>
          <w:szCs w:val="24"/>
          <w:lang w:val="en-GB"/>
        </w:rPr>
        <w:t xml:space="preserve"> on existing laws and practice, </w:t>
      </w:r>
      <w:r w:rsidR="008F2221" w:rsidRPr="0028108F">
        <w:rPr>
          <w:rFonts w:ascii="Arial" w:hAnsi="Arial" w:cs="Arial"/>
          <w:szCs w:val="24"/>
          <w:lang w:val="en-GB"/>
        </w:rPr>
        <w:t xml:space="preserve">and </w:t>
      </w:r>
      <w:r w:rsidR="00DD1F6C" w:rsidRPr="0028108F" w:rsidDel="00BB3EC1">
        <w:rPr>
          <w:rFonts w:ascii="Arial" w:hAnsi="Arial" w:cs="Arial"/>
          <w:szCs w:val="24"/>
          <w:lang w:val="en-GB"/>
        </w:rPr>
        <w:t>touch on a wide range of legal areas with many possible legal consequences to be addressed</w:t>
      </w:r>
      <w:r w:rsidR="00DD1F6C" w:rsidRPr="0028108F">
        <w:rPr>
          <w:rFonts w:ascii="Arial" w:hAnsi="Arial" w:cs="Arial"/>
          <w:szCs w:val="24"/>
          <w:lang w:val="en-GB"/>
        </w:rPr>
        <w:t>.  These</w:t>
      </w:r>
      <w:r w:rsidR="00264B98" w:rsidRPr="0028108F">
        <w:rPr>
          <w:rFonts w:ascii="Arial" w:hAnsi="Arial" w:cs="Arial"/>
          <w:szCs w:val="24"/>
          <w:lang w:val="en-GB"/>
        </w:rPr>
        <w:t xml:space="preserve"> </w:t>
      </w:r>
      <w:r w:rsidR="008F2221" w:rsidRPr="0028108F">
        <w:rPr>
          <w:rFonts w:ascii="Arial" w:hAnsi="Arial" w:cs="Arial"/>
          <w:szCs w:val="24"/>
          <w:lang w:val="en-GB"/>
        </w:rPr>
        <w:t xml:space="preserve">will be </w:t>
      </w:r>
      <w:r w:rsidR="00264B98" w:rsidRPr="0028108F">
        <w:rPr>
          <w:rFonts w:ascii="Arial" w:hAnsi="Arial" w:cs="Arial"/>
          <w:szCs w:val="24"/>
          <w:lang w:val="en-GB"/>
        </w:rPr>
        <w:t xml:space="preserve">covered in the second part of the IWG’s study in the event that </w:t>
      </w:r>
      <w:r w:rsidR="008F2221" w:rsidRPr="0028108F">
        <w:rPr>
          <w:rFonts w:ascii="Arial" w:hAnsi="Arial" w:cs="Arial"/>
          <w:szCs w:val="24"/>
          <w:lang w:val="en-GB"/>
        </w:rPr>
        <w:t xml:space="preserve">it is to be recommended that </w:t>
      </w:r>
      <w:r w:rsidR="00264B98" w:rsidRPr="0028108F">
        <w:rPr>
          <w:rFonts w:ascii="Arial" w:hAnsi="Arial" w:cs="Arial"/>
          <w:szCs w:val="24"/>
          <w:lang w:val="en-GB"/>
        </w:rPr>
        <w:t xml:space="preserve">a gender recognition scheme </w:t>
      </w:r>
      <w:r w:rsidR="008F2221" w:rsidRPr="0028108F">
        <w:rPr>
          <w:rFonts w:ascii="Arial" w:hAnsi="Arial" w:cs="Arial"/>
          <w:szCs w:val="24"/>
          <w:lang w:val="en-GB"/>
        </w:rPr>
        <w:t xml:space="preserve">should </w:t>
      </w:r>
      <w:r w:rsidR="00264B98" w:rsidRPr="0028108F">
        <w:rPr>
          <w:rFonts w:ascii="Arial" w:hAnsi="Arial" w:cs="Arial"/>
          <w:szCs w:val="24"/>
          <w:lang w:val="en-GB"/>
        </w:rPr>
        <w:t xml:space="preserve">be established in Hong Kong (see paragraph </w:t>
      </w:r>
      <w:r w:rsidR="00264B98" w:rsidRPr="008813DE">
        <w:rPr>
          <w:rFonts w:ascii="Arial" w:hAnsi="Arial" w:cs="Arial"/>
          <w:szCs w:val="24"/>
          <w:lang w:val="en-GB"/>
        </w:rPr>
        <w:t>11</w:t>
      </w:r>
      <w:r w:rsidR="00264B98" w:rsidRPr="00181CF2">
        <w:rPr>
          <w:rFonts w:ascii="Arial" w:hAnsi="Arial" w:cs="Arial"/>
          <w:szCs w:val="24"/>
          <w:lang w:val="en-GB"/>
        </w:rPr>
        <w:t xml:space="preserve"> of the Preface).</w:t>
      </w:r>
      <w:r w:rsidR="00264B98" w:rsidRPr="00C57CE1">
        <w:rPr>
          <w:rFonts w:ascii="Arial" w:hAnsi="Arial" w:cs="Arial"/>
          <w:szCs w:val="24"/>
          <w:lang w:val="en-GB"/>
        </w:rPr>
        <w:t xml:space="preserve">  N</w:t>
      </w:r>
      <w:r w:rsidR="008F2221" w:rsidRPr="0028108F">
        <w:rPr>
          <w:rFonts w:ascii="Arial" w:hAnsi="Arial" w:cs="Arial"/>
          <w:szCs w:val="24"/>
          <w:lang w:val="en-GB"/>
        </w:rPr>
        <w:t>one</w:t>
      </w:r>
      <w:r w:rsidR="00264B98" w:rsidRPr="0028108F">
        <w:rPr>
          <w:rFonts w:ascii="Arial" w:hAnsi="Arial" w:cs="Arial"/>
          <w:szCs w:val="24"/>
          <w:lang w:val="en-GB"/>
        </w:rPr>
        <w:t xml:space="preserve">theless, it is considered that some of these matters, in particular items (a) and (b) above, would have </w:t>
      </w:r>
      <w:r w:rsidR="008F2221" w:rsidRPr="0028108F">
        <w:rPr>
          <w:rFonts w:ascii="Arial" w:hAnsi="Arial" w:cs="Arial"/>
          <w:szCs w:val="24"/>
          <w:lang w:val="en-GB"/>
        </w:rPr>
        <w:t xml:space="preserve">a </w:t>
      </w:r>
      <w:r w:rsidR="00264B98" w:rsidRPr="0028108F">
        <w:rPr>
          <w:rFonts w:ascii="Arial" w:hAnsi="Arial" w:cs="Arial"/>
          <w:szCs w:val="24"/>
          <w:lang w:val="en-GB"/>
        </w:rPr>
        <w:t xml:space="preserve">bearing on the </w:t>
      </w:r>
      <w:r w:rsidR="008F2221" w:rsidRPr="0028108F">
        <w:rPr>
          <w:rFonts w:ascii="Arial" w:hAnsi="Arial" w:cs="Arial"/>
          <w:szCs w:val="24"/>
          <w:lang w:val="en-GB"/>
        </w:rPr>
        <w:t xml:space="preserve">question of </w:t>
      </w:r>
      <w:r w:rsidR="00264B98" w:rsidRPr="0028108F">
        <w:rPr>
          <w:rFonts w:ascii="Arial" w:hAnsi="Arial" w:cs="Arial"/>
          <w:szCs w:val="24"/>
          <w:lang w:val="en-GB"/>
        </w:rPr>
        <w:t>“</w:t>
      </w:r>
      <w:r w:rsidR="00264B98" w:rsidRPr="0028108F">
        <w:rPr>
          <w:rFonts w:ascii="Arial" w:hAnsi="Arial" w:cs="Arial"/>
          <w:i/>
          <w:szCs w:val="24"/>
          <w:lang w:val="en-GB"/>
        </w:rPr>
        <w:t>recognition</w:t>
      </w:r>
      <w:r w:rsidR="00264B98" w:rsidRPr="00181CF2">
        <w:rPr>
          <w:rFonts w:ascii="Arial" w:hAnsi="Arial" w:cs="Arial"/>
          <w:szCs w:val="24"/>
          <w:lang w:val="en-GB"/>
        </w:rPr>
        <w:t xml:space="preserve">” </w:t>
      </w:r>
      <w:r w:rsidR="00264B98" w:rsidRPr="0028108F">
        <w:rPr>
          <w:rFonts w:ascii="Arial" w:hAnsi="Arial" w:cs="Arial"/>
          <w:szCs w:val="24"/>
          <w:lang w:val="en-GB"/>
        </w:rPr>
        <w:t>as well.  For example, whether or not to allow a successful applicant for gender recognition to have his/her gender marker on the</w:t>
      </w:r>
      <w:r w:rsidR="00E263E9" w:rsidRPr="0028108F">
        <w:rPr>
          <w:rFonts w:ascii="Arial" w:hAnsi="Arial" w:cs="Arial"/>
          <w:szCs w:val="24"/>
          <w:lang w:val="en-GB"/>
        </w:rPr>
        <w:t>ir</w:t>
      </w:r>
      <w:r w:rsidR="00264B98" w:rsidRPr="0028108F">
        <w:rPr>
          <w:rFonts w:ascii="Arial" w:hAnsi="Arial" w:cs="Arial"/>
          <w:szCs w:val="24"/>
          <w:lang w:val="en-GB"/>
        </w:rPr>
        <w:t xml:space="preserve"> birth certificate altered may be </w:t>
      </w:r>
      <w:r w:rsidR="00E263E9" w:rsidRPr="0028108F">
        <w:rPr>
          <w:rFonts w:ascii="Arial" w:hAnsi="Arial" w:cs="Arial"/>
          <w:szCs w:val="24"/>
          <w:lang w:val="en-GB"/>
        </w:rPr>
        <w:t xml:space="preserve">a matter </w:t>
      </w:r>
      <w:r w:rsidR="00264B98" w:rsidRPr="0028108F">
        <w:rPr>
          <w:rFonts w:ascii="Arial" w:hAnsi="Arial" w:cs="Arial"/>
          <w:szCs w:val="24"/>
          <w:lang w:val="en-GB"/>
        </w:rPr>
        <w:t xml:space="preserve">taken into account by some people </w:t>
      </w:r>
      <w:r w:rsidR="00831F1E" w:rsidRPr="0028108F">
        <w:rPr>
          <w:rFonts w:ascii="Arial" w:hAnsi="Arial" w:cs="Arial"/>
          <w:szCs w:val="24"/>
          <w:lang w:val="en-GB"/>
        </w:rPr>
        <w:t>in forming their opinions on what requirements should be imposed on the applicants for gender recognition.</w:t>
      </w:r>
    </w:p>
    <w:p w:rsidR="00831F1E" w:rsidRPr="0028108F" w:rsidRDefault="00831F1E"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831F1E" w:rsidRPr="0028108F" w:rsidRDefault="00DD1F6C"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With a view to presenting a more </w:t>
      </w:r>
      <w:r w:rsidR="00E263E9" w:rsidRPr="0028108F">
        <w:rPr>
          <w:rFonts w:ascii="Arial" w:hAnsi="Arial" w:cs="Arial"/>
          <w:szCs w:val="24"/>
          <w:lang w:val="en-GB"/>
        </w:rPr>
        <w:t>complete</w:t>
      </w:r>
      <w:r w:rsidRPr="0028108F">
        <w:rPr>
          <w:rFonts w:ascii="Arial" w:hAnsi="Arial" w:cs="Arial"/>
          <w:szCs w:val="24"/>
          <w:lang w:val="en-GB"/>
        </w:rPr>
        <w:t xml:space="preserve"> picture on the </w:t>
      </w:r>
      <w:r w:rsidR="00E263E9" w:rsidRPr="0028108F">
        <w:rPr>
          <w:rFonts w:ascii="Arial" w:hAnsi="Arial" w:cs="Arial"/>
          <w:szCs w:val="24"/>
          <w:lang w:val="en-GB"/>
        </w:rPr>
        <w:t xml:space="preserve">issues relevant to </w:t>
      </w:r>
      <w:r w:rsidRPr="0028108F">
        <w:rPr>
          <w:rFonts w:ascii="Arial" w:hAnsi="Arial" w:cs="Arial"/>
          <w:szCs w:val="24"/>
          <w:lang w:val="en-GB"/>
        </w:rPr>
        <w:t>“</w:t>
      </w:r>
      <w:r w:rsidRPr="0028108F">
        <w:rPr>
          <w:rFonts w:ascii="Arial" w:hAnsi="Arial" w:cs="Arial"/>
          <w:i/>
          <w:szCs w:val="24"/>
          <w:lang w:val="en-GB"/>
        </w:rPr>
        <w:t>recognition</w:t>
      </w:r>
      <w:r w:rsidRPr="00181CF2">
        <w:rPr>
          <w:rFonts w:ascii="Arial" w:hAnsi="Arial" w:cs="Arial"/>
          <w:szCs w:val="24"/>
          <w:lang w:val="en-GB"/>
        </w:rPr>
        <w:t>”</w:t>
      </w:r>
      <w:r w:rsidRPr="0028108F">
        <w:rPr>
          <w:rFonts w:ascii="Arial" w:hAnsi="Arial" w:cs="Arial"/>
          <w:szCs w:val="24"/>
          <w:lang w:val="en-GB"/>
        </w:rPr>
        <w:t xml:space="preserve"> </w:t>
      </w:r>
      <w:r w:rsidR="00E263E9" w:rsidRPr="0028108F">
        <w:rPr>
          <w:rFonts w:ascii="Arial" w:hAnsi="Arial" w:cs="Arial"/>
          <w:szCs w:val="24"/>
          <w:lang w:val="en-GB"/>
        </w:rPr>
        <w:t xml:space="preserve">to </w:t>
      </w:r>
      <w:r w:rsidRPr="0028108F">
        <w:rPr>
          <w:rFonts w:ascii="Arial" w:hAnsi="Arial" w:cs="Arial"/>
          <w:szCs w:val="24"/>
          <w:lang w:val="en-GB"/>
        </w:rPr>
        <w:t xml:space="preserve">help the public </w:t>
      </w:r>
      <w:r w:rsidR="00E263E9" w:rsidRPr="0028108F">
        <w:rPr>
          <w:rFonts w:ascii="Arial" w:hAnsi="Arial" w:cs="Arial"/>
          <w:szCs w:val="24"/>
          <w:lang w:val="en-GB"/>
        </w:rPr>
        <w:t xml:space="preserve">in providing their </w:t>
      </w:r>
      <w:r w:rsidRPr="0028108F">
        <w:rPr>
          <w:rFonts w:ascii="Arial" w:hAnsi="Arial" w:cs="Arial"/>
          <w:szCs w:val="24"/>
          <w:lang w:val="en-GB"/>
        </w:rPr>
        <w:t>views</w:t>
      </w:r>
      <w:r w:rsidR="00831F1E" w:rsidRPr="0028108F">
        <w:rPr>
          <w:rFonts w:ascii="Arial" w:hAnsi="Arial" w:cs="Arial"/>
          <w:szCs w:val="24"/>
          <w:lang w:val="en-GB"/>
        </w:rPr>
        <w:t xml:space="preserve">, this </w:t>
      </w:r>
      <w:r w:rsidR="00E263E9" w:rsidRPr="0028108F">
        <w:rPr>
          <w:rFonts w:ascii="Arial" w:hAnsi="Arial" w:cs="Arial"/>
          <w:szCs w:val="24"/>
          <w:lang w:val="en-GB"/>
        </w:rPr>
        <w:t>c</w:t>
      </w:r>
      <w:r w:rsidR="00831F1E" w:rsidRPr="0028108F">
        <w:rPr>
          <w:rFonts w:ascii="Arial" w:hAnsi="Arial" w:cs="Arial"/>
          <w:szCs w:val="24"/>
          <w:lang w:val="en-GB"/>
        </w:rPr>
        <w:t xml:space="preserve">hapter will </w:t>
      </w:r>
      <w:r w:rsidRPr="0028108F">
        <w:rPr>
          <w:rFonts w:ascii="Arial" w:hAnsi="Arial" w:cs="Arial"/>
          <w:szCs w:val="24"/>
          <w:lang w:val="en-GB"/>
        </w:rPr>
        <w:t>provide some general information and discussion on two topics: (1) alteration of birth certificate following gender recognition</w:t>
      </w:r>
      <w:r w:rsidR="00E263E9" w:rsidRPr="0028108F">
        <w:rPr>
          <w:rFonts w:ascii="Arial" w:hAnsi="Arial" w:cs="Arial"/>
          <w:szCs w:val="24"/>
          <w:lang w:val="en-GB"/>
        </w:rPr>
        <w:t>;</w:t>
      </w:r>
      <w:r w:rsidRPr="0028108F">
        <w:rPr>
          <w:rFonts w:ascii="Arial" w:hAnsi="Arial" w:cs="Arial"/>
          <w:szCs w:val="24"/>
          <w:lang w:val="en-GB"/>
        </w:rPr>
        <w:t xml:space="preserve"> and (2) protection of gender history.</w:t>
      </w:r>
      <w:r w:rsidR="005C6BBD" w:rsidRPr="0028108F">
        <w:rPr>
          <w:rFonts w:ascii="Arial" w:hAnsi="Arial" w:cs="Arial"/>
          <w:szCs w:val="24"/>
          <w:lang w:val="en-GB"/>
        </w:rPr>
        <w:t xml:space="preserve">  Since these matters will be covered in the second part of the IWG’s study on Post-Recognition Issues</w:t>
      </w:r>
      <w:r w:rsidR="00080250" w:rsidRPr="0028108F">
        <w:rPr>
          <w:rFonts w:ascii="Arial" w:hAnsi="Arial" w:cs="Arial"/>
          <w:szCs w:val="24"/>
          <w:lang w:val="en-GB"/>
        </w:rPr>
        <w:t>,</w:t>
      </w:r>
      <w:r w:rsidR="005C6BBD" w:rsidRPr="00181CF2">
        <w:rPr>
          <w:rStyle w:val="FootnoteReference"/>
          <w:rFonts w:ascii="Arial" w:hAnsi="Arial" w:cs="Arial"/>
          <w:szCs w:val="24"/>
          <w:lang w:val="en-GB"/>
        </w:rPr>
        <w:footnoteReference w:id="831"/>
      </w:r>
      <w:r w:rsidR="005C6BBD" w:rsidRPr="00181CF2">
        <w:rPr>
          <w:rFonts w:ascii="Arial" w:hAnsi="Arial" w:cs="Arial"/>
          <w:szCs w:val="24"/>
          <w:lang w:val="en-GB"/>
        </w:rPr>
        <w:t xml:space="preserve"> w</w:t>
      </w:r>
      <w:r w:rsidR="005C6BBD" w:rsidRPr="00C57CE1">
        <w:rPr>
          <w:rFonts w:ascii="Arial" w:hAnsi="Arial" w:cs="Arial"/>
          <w:szCs w:val="24"/>
          <w:lang w:val="en-GB"/>
        </w:rPr>
        <w:t xml:space="preserve">e will not </w:t>
      </w:r>
      <w:r w:rsidR="005C6BBD" w:rsidRPr="0028108F">
        <w:rPr>
          <w:rFonts w:ascii="Arial" w:hAnsi="Arial" w:cs="Arial"/>
          <w:szCs w:val="24"/>
          <w:lang w:val="en-GB"/>
        </w:rPr>
        <w:t>in this Consultation Paper pos</w:t>
      </w:r>
      <w:r w:rsidR="00E263E9" w:rsidRPr="0028108F">
        <w:rPr>
          <w:rFonts w:ascii="Arial" w:hAnsi="Arial" w:cs="Arial"/>
          <w:szCs w:val="24"/>
          <w:lang w:val="en-GB"/>
        </w:rPr>
        <w:t>e</w:t>
      </w:r>
      <w:r w:rsidR="005C6BBD" w:rsidRPr="0028108F">
        <w:rPr>
          <w:rFonts w:ascii="Arial" w:hAnsi="Arial" w:cs="Arial"/>
          <w:szCs w:val="24"/>
          <w:lang w:val="en-GB"/>
        </w:rPr>
        <w:t xml:space="preserve"> specific questions on these topics for consultation.  We nonetheless </w:t>
      </w:r>
      <w:r w:rsidR="005E6528">
        <w:rPr>
          <w:rFonts w:ascii="Arial" w:hAnsi="Arial" w:cs="Arial"/>
          <w:szCs w:val="24"/>
          <w:lang w:val="en-GB"/>
        </w:rPr>
        <w:t>invite</w:t>
      </w:r>
      <w:r w:rsidR="005C6BBD" w:rsidRPr="0028108F">
        <w:rPr>
          <w:rFonts w:ascii="Arial" w:hAnsi="Arial" w:cs="Arial"/>
          <w:szCs w:val="24"/>
          <w:lang w:val="en-GB"/>
        </w:rPr>
        <w:t xml:space="preserve"> views from the public on any issues aris</w:t>
      </w:r>
      <w:r w:rsidR="00E263E9" w:rsidRPr="0028108F">
        <w:rPr>
          <w:rFonts w:ascii="Arial" w:hAnsi="Arial" w:cs="Arial"/>
          <w:szCs w:val="24"/>
          <w:lang w:val="en-GB"/>
        </w:rPr>
        <w:t>ing</w:t>
      </w:r>
      <w:r w:rsidR="005C6BBD" w:rsidRPr="0028108F">
        <w:rPr>
          <w:rFonts w:ascii="Arial" w:hAnsi="Arial" w:cs="Arial"/>
          <w:szCs w:val="24"/>
          <w:lang w:val="en-GB"/>
        </w:rPr>
        <w:t xml:space="preserve"> there</w:t>
      </w:r>
      <w:r w:rsidR="00E263E9" w:rsidRPr="0028108F">
        <w:rPr>
          <w:rFonts w:ascii="Arial" w:hAnsi="Arial" w:cs="Arial"/>
          <w:szCs w:val="24"/>
          <w:lang w:val="en-GB"/>
        </w:rPr>
        <w:t>from</w:t>
      </w:r>
      <w:r w:rsidR="005C6BBD" w:rsidRPr="0028108F">
        <w:rPr>
          <w:rFonts w:ascii="Arial" w:hAnsi="Arial" w:cs="Arial"/>
          <w:szCs w:val="24"/>
          <w:lang w:val="en-GB"/>
        </w:rPr>
        <w:t>.</w:t>
      </w:r>
    </w:p>
    <w:p w:rsidR="001544FD" w:rsidRPr="0028108F"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28108F" w:rsidRDefault="00201844"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00000" w:themeColor="text1"/>
          <w:szCs w:val="24"/>
          <w:lang w:val="en-GB"/>
        </w:rPr>
        <w:t>As a matter of clarification</w:t>
      </w:r>
      <w:r w:rsidR="001544FD" w:rsidRPr="0028108F">
        <w:rPr>
          <w:rFonts w:ascii="Arial" w:hAnsi="Arial" w:cs="Arial"/>
          <w:color w:val="000000" w:themeColor="text1"/>
          <w:szCs w:val="24"/>
          <w:lang w:val="en-GB"/>
        </w:rPr>
        <w:t xml:space="preserve">, the </w:t>
      </w:r>
      <w:r w:rsidR="00655EB5" w:rsidRPr="0028108F">
        <w:rPr>
          <w:rFonts w:ascii="Arial" w:hAnsi="Arial" w:cs="Arial"/>
          <w:color w:val="000000" w:themeColor="text1"/>
          <w:szCs w:val="24"/>
          <w:lang w:val="en-GB"/>
        </w:rPr>
        <w:t>information and discussion presented</w:t>
      </w:r>
      <w:r w:rsidRPr="0028108F">
        <w:rPr>
          <w:rFonts w:ascii="Arial" w:hAnsi="Arial" w:cs="Arial"/>
          <w:color w:val="000000" w:themeColor="text1"/>
          <w:szCs w:val="24"/>
          <w:lang w:val="en-GB"/>
        </w:rPr>
        <w:t xml:space="preserve"> in this </w:t>
      </w:r>
      <w:r w:rsidR="00AA4FAA" w:rsidRPr="0028108F">
        <w:rPr>
          <w:rFonts w:ascii="Arial" w:hAnsi="Arial" w:cs="Arial"/>
          <w:color w:val="000000" w:themeColor="text1"/>
          <w:szCs w:val="24"/>
          <w:lang w:val="en-GB"/>
        </w:rPr>
        <w:t>c</w:t>
      </w:r>
      <w:r w:rsidR="00A42A11" w:rsidRPr="0028108F">
        <w:rPr>
          <w:rFonts w:ascii="Arial" w:hAnsi="Arial" w:cs="Arial"/>
          <w:color w:val="000000" w:themeColor="text1"/>
          <w:szCs w:val="24"/>
          <w:lang w:val="en-GB"/>
        </w:rPr>
        <w:t>hapter</w:t>
      </w:r>
      <w:r w:rsidR="001544FD" w:rsidRPr="0028108F">
        <w:rPr>
          <w:rFonts w:ascii="Arial" w:hAnsi="Arial" w:cs="Arial"/>
          <w:color w:val="000000" w:themeColor="text1"/>
          <w:szCs w:val="24"/>
          <w:lang w:val="en-GB"/>
        </w:rPr>
        <w:t xml:space="preserve"> do not </w:t>
      </w:r>
      <w:r w:rsidRPr="0028108F">
        <w:rPr>
          <w:rFonts w:ascii="Arial" w:hAnsi="Arial" w:cs="Arial"/>
          <w:color w:val="000000" w:themeColor="text1"/>
          <w:szCs w:val="24"/>
          <w:lang w:val="en-GB"/>
        </w:rPr>
        <w:t xml:space="preserve">necessarily </w:t>
      </w:r>
      <w:r w:rsidR="001544FD" w:rsidRPr="0028108F">
        <w:rPr>
          <w:rFonts w:ascii="Arial" w:hAnsi="Arial" w:cs="Arial"/>
          <w:color w:val="000000" w:themeColor="text1"/>
          <w:szCs w:val="24"/>
          <w:lang w:val="en-GB"/>
        </w:rPr>
        <w:t xml:space="preserve">represent the IWG’s stance on any of the issues.  </w:t>
      </w:r>
      <w:r w:rsidR="004160E0" w:rsidRPr="0028108F">
        <w:rPr>
          <w:rFonts w:ascii="Arial" w:hAnsi="Arial" w:cs="Arial"/>
          <w:color w:val="000000" w:themeColor="text1"/>
          <w:szCs w:val="24"/>
          <w:lang w:val="en-GB"/>
        </w:rPr>
        <w:t xml:space="preserve">No conclusion as to the IWG’s stance should therefore be drawn from the wording and mode of presentation of this chapter, nor from the citing or referring to the comments, observations or arguments made by individuals or organisations mentioned in this chapter.  </w:t>
      </w:r>
      <w:r w:rsidR="005E6528">
        <w:rPr>
          <w:rFonts w:ascii="Arial" w:hAnsi="Arial" w:cs="Arial" w:hint="eastAsia"/>
          <w:color w:val="000000" w:themeColor="text1"/>
          <w:szCs w:val="24"/>
          <w:lang w:val="en-GB"/>
        </w:rPr>
        <w:t xml:space="preserve">It should also be stressed that pending the result of the consultation, the IWG has not reached any conclusion on any of the issues.  </w:t>
      </w:r>
      <w:r w:rsidR="005E6528" w:rsidRPr="0028108F">
        <w:rPr>
          <w:rFonts w:ascii="Arial" w:hAnsi="Arial" w:cs="Arial"/>
          <w:color w:val="000000" w:themeColor="text1"/>
          <w:szCs w:val="24"/>
          <w:lang w:val="en-GB"/>
        </w:rPr>
        <w:t>Further, it should be borne in mind that the list of possible arguments discussed below is by no means exhaustive</w:t>
      </w:r>
      <w:r w:rsidR="005E6528">
        <w:rPr>
          <w:rFonts w:ascii="Arial" w:hAnsi="Arial" w:cs="Arial" w:hint="eastAsia"/>
          <w:color w:val="000000" w:themeColor="text1"/>
          <w:szCs w:val="24"/>
          <w:lang w:val="en-GB"/>
        </w:rPr>
        <w:t>, and that the IWG is prepared to consider such other arguments as may be appropriate.</w:t>
      </w:r>
    </w:p>
    <w:p w:rsidR="001544FD" w:rsidRPr="0028108F"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780583" w:rsidRPr="0028108F" w:rsidRDefault="00780583" w:rsidP="001544FD">
      <w:pPr>
        <w:pStyle w:val="ListParagraph"/>
        <w:tabs>
          <w:tab w:val="left" w:pos="1418"/>
          <w:tab w:val="left" w:pos="2552"/>
        </w:tabs>
        <w:autoSpaceDE w:val="0"/>
        <w:autoSpaceDN w:val="0"/>
        <w:adjustRightInd w:val="0"/>
        <w:snapToGrid w:val="0"/>
        <w:ind w:leftChars="0" w:left="0"/>
        <w:jc w:val="both"/>
        <w:rPr>
          <w:rFonts w:ascii="Arial" w:hAnsi="Arial" w:cs="Arial"/>
          <w:color w:val="0000FF"/>
          <w:szCs w:val="24"/>
          <w:lang w:val="en-GB"/>
        </w:rPr>
      </w:pPr>
    </w:p>
    <w:p w:rsidR="00780583" w:rsidRPr="00181CF2" w:rsidRDefault="00AA4FAA" w:rsidP="009A1AD2">
      <w:pPr>
        <w:keepNext/>
        <w:adjustRightInd w:val="0"/>
        <w:snapToGrid w:val="0"/>
        <w:jc w:val="both"/>
        <w:rPr>
          <w:rFonts w:ascii="Arial" w:hAnsi="Arial" w:cs="Arial"/>
          <w:i/>
          <w:color w:val="000000" w:themeColor="text1"/>
          <w:szCs w:val="24"/>
          <w:lang w:val="en-GB"/>
        </w:rPr>
      </w:pPr>
      <w:r w:rsidRPr="0028108F">
        <w:rPr>
          <w:rFonts w:ascii="Arial" w:hAnsi="Arial" w:cs="Arial"/>
          <w:b/>
          <w:sz w:val="28"/>
          <w:szCs w:val="28"/>
          <w:lang w:val="en-GB"/>
        </w:rPr>
        <w:t xml:space="preserve">Allowing </w:t>
      </w:r>
      <w:r w:rsidRPr="00181CF2">
        <w:rPr>
          <w:rFonts w:ascii="Arial" w:hAnsi="Arial" w:cs="Arial"/>
          <w:b/>
          <w:sz w:val="28"/>
          <w:szCs w:val="28"/>
          <w:lang w:val="en-GB"/>
        </w:rPr>
        <w:t>a</w:t>
      </w:r>
      <w:r w:rsidR="00780583" w:rsidRPr="0028108F">
        <w:rPr>
          <w:rFonts w:ascii="Arial" w:hAnsi="Arial" w:cs="Arial"/>
          <w:b/>
          <w:sz w:val="28"/>
          <w:szCs w:val="28"/>
          <w:lang w:val="en-GB"/>
        </w:rPr>
        <w:t>lteration of birth certificate following gender recognition</w:t>
      </w:r>
    </w:p>
    <w:p w:rsidR="00780583" w:rsidRPr="00C57CE1" w:rsidRDefault="00780583" w:rsidP="0028108F">
      <w:pPr>
        <w:pStyle w:val="ListParagraph"/>
        <w:keepNext/>
        <w:tabs>
          <w:tab w:val="left" w:pos="1418"/>
          <w:tab w:val="left" w:pos="2552"/>
        </w:tabs>
        <w:autoSpaceDE w:val="0"/>
        <w:autoSpaceDN w:val="0"/>
        <w:adjustRightInd w:val="0"/>
        <w:snapToGrid w:val="0"/>
        <w:ind w:leftChars="0" w:left="0"/>
        <w:jc w:val="both"/>
        <w:rPr>
          <w:rFonts w:ascii="Arial" w:hAnsi="Arial" w:cs="Arial"/>
          <w:szCs w:val="24"/>
          <w:lang w:val="en-GB"/>
        </w:rPr>
      </w:pPr>
    </w:p>
    <w:p w:rsidR="0001737F" w:rsidRPr="0028108F" w:rsidRDefault="0001737F" w:rsidP="0028108F">
      <w:pPr>
        <w:pStyle w:val="ListParagraph"/>
        <w:keepNext/>
        <w:widowControl/>
        <w:ind w:leftChars="0" w:hangingChars="200" w:hanging="480"/>
        <w:rPr>
          <w:rFonts w:ascii="Arial" w:hAnsi="Arial" w:cs="Arial"/>
          <w:i/>
          <w:szCs w:val="24"/>
          <w:lang w:val="en-GB"/>
        </w:rPr>
      </w:pPr>
      <w:r w:rsidRPr="0028108F">
        <w:rPr>
          <w:rFonts w:ascii="Arial" w:hAnsi="Arial" w:cs="Arial"/>
          <w:i/>
          <w:szCs w:val="24"/>
          <w:lang w:val="en-GB"/>
        </w:rPr>
        <w:t>Background information</w:t>
      </w:r>
    </w:p>
    <w:p w:rsidR="0001737F" w:rsidRPr="00181CF2" w:rsidRDefault="0001737F"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C22678" w:rsidRPr="0028108F" w:rsidRDefault="00C22678" w:rsidP="00C22678">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C57CE1">
        <w:rPr>
          <w:rFonts w:ascii="Arial" w:hAnsi="Arial" w:cs="Arial"/>
          <w:szCs w:val="24"/>
          <w:lang w:val="en-GB"/>
        </w:rPr>
        <w:t>In many of the jurisdictions studied, the law permits the alteration of entries in birth certi</w:t>
      </w:r>
      <w:r w:rsidRPr="0028108F">
        <w:rPr>
          <w:rFonts w:ascii="Arial" w:hAnsi="Arial" w:cs="Arial"/>
          <w:szCs w:val="24"/>
          <w:lang w:val="en-GB"/>
        </w:rPr>
        <w:t xml:space="preserve">ficates as part of, or as a result, of </w:t>
      </w:r>
      <w:r w:rsidR="00AA4FAA" w:rsidRPr="0028108F">
        <w:rPr>
          <w:rFonts w:ascii="Arial" w:hAnsi="Arial" w:cs="Arial"/>
          <w:szCs w:val="24"/>
          <w:lang w:val="en-GB"/>
        </w:rPr>
        <w:t xml:space="preserve">legal </w:t>
      </w:r>
      <w:r w:rsidRPr="0028108F">
        <w:rPr>
          <w:rFonts w:ascii="Arial" w:hAnsi="Arial" w:cs="Arial"/>
          <w:szCs w:val="24"/>
          <w:lang w:val="en-GB"/>
        </w:rPr>
        <w:t>gender recognition (see Annex A and Annex B for detailed information).</w:t>
      </w:r>
      <w:r w:rsidR="00D96ACE">
        <w:rPr>
          <w:rFonts w:ascii="Arial" w:hAnsi="Arial" w:cs="Arial"/>
          <w:szCs w:val="24"/>
          <w:lang w:val="en-GB"/>
        </w:rPr>
        <w:t xml:space="preserve"> </w:t>
      </w:r>
    </w:p>
    <w:p w:rsidR="00C22678" w:rsidRPr="0028108F" w:rsidRDefault="00C22678"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780583" w:rsidRPr="0028108F" w:rsidRDefault="00780583" w:rsidP="003323EB">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In Hong Kong, registration of births is governed by the Births and Deaths Registration Ordinance (Cap 174).  The criteria for determining the sex of a child at birth is not set out in the Ordinance, but </w:t>
      </w:r>
      <w:r w:rsidR="00F749BA" w:rsidRPr="0028108F">
        <w:rPr>
          <w:rFonts w:ascii="Arial" w:hAnsi="Arial" w:cs="Arial"/>
          <w:szCs w:val="24"/>
          <w:lang w:val="en-GB"/>
        </w:rPr>
        <w:t xml:space="preserve">it is </w:t>
      </w:r>
      <w:r w:rsidR="00AA4FAA" w:rsidRPr="0028108F">
        <w:rPr>
          <w:rFonts w:ascii="Arial" w:hAnsi="Arial" w:cs="Arial"/>
          <w:szCs w:val="24"/>
          <w:lang w:val="en-GB"/>
        </w:rPr>
        <w:t>noted</w:t>
      </w:r>
      <w:r w:rsidR="00F749BA" w:rsidRPr="0028108F">
        <w:rPr>
          <w:rFonts w:ascii="Arial" w:hAnsi="Arial" w:cs="Arial"/>
          <w:szCs w:val="24"/>
          <w:lang w:val="en-GB"/>
        </w:rPr>
        <w:t xml:space="preserve"> that </w:t>
      </w:r>
      <w:r w:rsidRPr="0028108F">
        <w:rPr>
          <w:rFonts w:ascii="Arial" w:hAnsi="Arial" w:cs="Arial"/>
          <w:szCs w:val="24"/>
          <w:lang w:val="en-GB"/>
        </w:rPr>
        <w:t>the practice of the Registrar of Births</w:t>
      </w:r>
      <w:r w:rsidR="00FA77E1">
        <w:rPr>
          <w:rFonts w:ascii="Arial" w:hAnsi="Arial" w:cs="Arial" w:hint="eastAsia"/>
          <w:szCs w:val="24"/>
          <w:lang w:val="en-GB"/>
        </w:rPr>
        <w:t xml:space="preserve"> and</w:t>
      </w:r>
      <w:r w:rsidRPr="0028108F">
        <w:rPr>
          <w:rFonts w:ascii="Arial" w:hAnsi="Arial" w:cs="Arial"/>
          <w:szCs w:val="24"/>
          <w:lang w:val="en-GB"/>
        </w:rPr>
        <w:t xml:space="preserve"> Deaths is to rely on the birth return furnished by the relevant hospital.</w:t>
      </w:r>
      <w:r w:rsidR="00F749BA" w:rsidRPr="00181CF2">
        <w:rPr>
          <w:rStyle w:val="FootnoteReference"/>
          <w:rFonts w:ascii="Arial" w:hAnsi="Arial" w:cs="Arial"/>
          <w:szCs w:val="24"/>
          <w:lang w:val="en-GB"/>
        </w:rPr>
        <w:footnoteReference w:id="832"/>
      </w:r>
      <w:r w:rsidRPr="00181CF2">
        <w:rPr>
          <w:rFonts w:ascii="Arial" w:hAnsi="Arial" w:cs="Arial"/>
          <w:szCs w:val="24"/>
          <w:lang w:val="en-GB"/>
        </w:rPr>
        <w:t xml:space="preserve">  </w:t>
      </w:r>
      <w:r w:rsidR="00F749BA" w:rsidRPr="00C57CE1">
        <w:rPr>
          <w:rFonts w:ascii="Arial" w:hAnsi="Arial" w:cs="Arial"/>
          <w:szCs w:val="24"/>
          <w:lang w:val="en-GB"/>
        </w:rPr>
        <w:t xml:space="preserve">Section 27(1)(b) of the </w:t>
      </w:r>
      <w:r w:rsidR="00F749BA" w:rsidRPr="0028108F">
        <w:rPr>
          <w:rFonts w:ascii="Arial" w:hAnsi="Arial" w:cs="Arial"/>
          <w:szCs w:val="24"/>
          <w:lang w:val="en-GB"/>
        </w:rPr>
        <w:t xml:space="preserve">Ordinance provides that clerical errors on the birth registers may be corrected.  Section 27(1)(c) allows for the correction of errors of fact and substance on </w:t>
      </w:r>
      <w:r w:rsidR="00AA4FAA" w:rsidRPr="0028108F">
        <w:rPr>
          <w:rFonts w:ascii="Arial" w:hAnsi="Arial" w:cs="Arial"/>
          <w:szCs w:val="24"/>
          <w:lang w:val="en-GB"/>
        </w:rPr>
        <w:t xml:space="preserve">the </w:t>
      </w:r>
      <w:r w:rsidR="00F749BA" w:rsidRPr="0028108F">
        <w:rPr>
          <w:rFonts w:ascii="Arial" w:hAnsi="Arial" w:cs="Arial"/>
          <w:szCs w:val="24"/>
          <w:lang w:val="en-GB"/>
        </w:rPr>
        <w:t>production of</w:t>
      </w:r>
      <w:r w:rsidR="00FA77E1">
        <w:rPr>
          <w:rFonts w:ascii="Arial" w:hAnsi="Arial" w:cs="Arial" w:hint="eastAsia"/>
          <w:szCs w:val="24"/>
          <w:lang w:val="en-GB"/>
        </w:rPr>
        <w:t xml:space="preserve"> evidence including</w:t>
      </w:r>
      <w:r w:rsidR="00F749BA" w:rsidRPr="0028108F">
        <w:rPr>
          <w:rFonts w:ascii="Arial" w:hAnsi="Arial" w:cs="Arial"/>
          <w:szCs w:val="24"/>
          <w:lang w:val="en-GB"/>
        </w:rPr>
        <w:t xml:space="preserve"> a declaration setting forth the nature of the error and the true facts of the case.  There are no other circumstances under which a birth certificate can be legally amended.  It follows that a</w:t>
      </w:r>
      <w:r w:rsidRPr="0028108F">
        <w:rPr>
          <w:rFonts w:ascii="Arial" w:hAnsi="Arial" w:cs="Arial"/>
          <w:szCs w:val="24"/>
          <w:lang w:val="en-GB"/>
        </w:rPr>
        <w:t xml:space="preserve"> birth certificate can</w:t>
      </w:r>
      <w:r w:rsidR="00F749BA" w:rsidRPr="0028108F">
        <w:rPr>
          <w:rFonts w:ascii="Arial" w:hAnsi="Arial" w:cs="Arial"/>
          <w:szCs w:val="24"/>
          <w:lang w:val="en-GB"/>
        </w:rPr>
        <w:t xml:space="preserve">not be amended unless </w:t>
      </w:r>
      <w:r w:rsidRPr="0028108F">
        <w:rPr>
          <w:rFonts w:ascii="Arial" w:hAnsi="Arial" w:cs="Arial"/>
          <w:szCs w:val="24"/>
          <w:lang w:val="en-GB"/>
        </w:rPr>
        <w:t>it can be shown there was a clerical error or an error of fact or substance when the birth was recorded.</w:t>
      </w:r>
      <w:r w:rsidR="00F749BA" w:rsidRPr="0028108F">
        <w:rPr>
          <w:rFonts w:ascii="Arial" w:hAnsi="Arial" w:cs="Arial"/>
          <w:szCs w:val="24"/>
          <w:lang w:val="en-GB"/>
        </w:rPr>
        <w:t xml:space="preserve">  There is no mechanism by which a person’s birth certificate can be amended to reflect his or her chosen or preferred gender, even after </w:t>
      </w:r>
      <w:r w:rsidR="00153A58" w:rsidRPr="0028108F">
        <w:rPr>
          <w:rFonts w:ascii="Arial" w:hAnsi="Arial" w:cs="Arial"/>
          <w:szCs w:val="24"/>
          <w:lang w:val="en-GB"/>
        </w:rPr>
        <w:t>full SRS.</w:t>
      </w:r>
    </w:p>
    <w:p w:rsidR="00153A58" w:rsidRPr="0028108F" w:rsidRDefault="00153A58"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780583" w:rsidRPr="0028108F" w:rsidRDefault="00153A58"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Ms W</w:t>
      </w:r>
      <w:r w:rsidR="00AA4FAA" w:rsidRPr="0028108F">
        <w:rPr>
          <w:rFonts w:ascii="Arial" w:hAnsi="Arial" w:cs="Arial"/>
          <w:szCs w:val="24"/>
          <w:lang w:val="en-GB"/>
        </w:rPr>
        <w:t xml:space="preserve">, of </w:t>
      </w:r>
      <w:r w:rsidR="00AA4FAA" w:rsidRPr="008813DE">
        <w:rPr>
          <w:rFonts w:ascii="Arial" w:hAnsi="Arial" w:cs="Arial"/>
          <w:i/>
          <w:szCs w:val="24"/>
          <w:lang w:val="en-GB"/>
        </w:rPr>
        <w:t>W</w:t>
      </w:r>
      <w:r w:rsidR="00AA4FAA" w:rsidRPr="0028108F">
        <w:rPr>
          <w:rFonts w:ascii="Arial" w:hAnsi="Arial" w:cs="Arial"/>
          <w:szCs w:val="24"/>
          <w:lang w:val="en-GB"/>
        </w:rPr>
        <w:t>’s case,</w:t>
      </w:r>
      <w:r w:rsidRPr="0028108F">
        <w:rPr>
          <w:rFonts w:ascii="Arial" w:hAnsi="Arial" w:cs="Arial"/>
          <w:szCs w:val="24"/>
          <w:lang w:val="en-GB"/>
        </w:rPr>
        <w:t xml:space="preserve"> once applied to alter the sex entry on her birth certificate, but the application was refused and the refusal was not challenged in the relevant proceedings.</w:t>
      </w:r>
      <w:r w:rsidRPr="00181CF2">
        <w:rPr>
          <w:rStyle w:val="FootnoteReference"/>
          <w:rFonts w:ascii="Arial" w:hAnsi="Arial" w:cs="Arial"/>
          <w:szCs w:val="24"/>
          <w:lang w:val="en-GB"/>
        </w:rPr>
        <w:footnoteReference w:id="833"/>
      </w:r>
      <w:r w:rsidRPr="00181CF2">
        <w:rPr>
          <w:rFonts w:ascii="Arial" w:hAnsi="Arial" w:cs="Arial"/>
          <w:szCs w:val="24"/>
          <w:lang w:val="en-GB"/>
        </w:rPr>
        <w:t xml:space="preserve">  </w:t>
      </w:r>
      <w:r w:rsidRPr="00C57CE1">
        <w:rPr>
          <w:rFonts w:ascii="Arial" w:hAnsi="Arial" w:cs="Arial"/>
          <w:szCs w:val="24"/>
          <w:lang w:val="en-GB"/>
        </w:rPr>
        <w:t xml:space="preserve">Nevertheless, it is relevant to consider whether such refusal could withstand future legal challenge. </w:t>
      </w:r>
      <w:r w:rsidR="00C22678" w:rsidRPr="0028108F">
        <w:rPr>
          <w:rFonts w:ascii="Arial" w:hAnsi="Arial" w:cs="Arial"/>
          <w:szCs w:val="24"/>
          <w:lang w:val="en-GB"/>
        </w:rPr>
        <w:t xml:space="preserve"> In the </w:t>
      </w:r>
      <w:r w:rsidR="00C22678" w:rsidRPr="0028108F">
        <w:rPr>
          <w:rFonts w:ascii="Arial" w:hAnsi="Arial" w:cs="Arial"/>
          <w:i/>
          <w:szCs w:val="24"/>
          <w:lang w:val="en-GB"/>
        </w:rPr>
        <w:t>Goodwin</w:t>
      </w:r>
      <w:r w:rsidR="00C22678" w:rsidRPr="00181CF2">
        <w:rPr>
          <w:rFonts w:ascii="Arial" w:hAnsi="Arial" w:cs="Arial"/>
          <w:szCs w:val="24"/>
          <w:lang w:val="en-GB"/>
        </w:rPr>
        <w:t xml:space="preserve"> case (see paragraph </w:t>
      </w:r>
      <w:r w:rsidR="00C22678" w:rsidRPr="008813DE">
        <w:rPr>
          <w:rFonts w:ascii="Arial" w:hAnsi="Arial" w:cs="Arial"/>
          <w:szCs w:val="24"/>
          <w:lang w:val="en-GB"/>
        </w:rPr>
        <w:t>3.36</w:t>
      </w:r>
      <w:r w:rsidR="00C22678" w:rsidRPr="00C57CE1">
        <w:rPr>
          <w:rFonts w:ascii="Arial" w:hAnsi="Arial" w:cs="Arial"/>
          <w:szCs w:val="24"/>
          <w:lang w:val="en-GB"/>
        </w:rPr>
        <w:t xml:space="preserve"> of this Consultation Paper</w:t>
      </w:r>
      <w:r w:rsidR="00C22678" w:rsidRPr="0028108F">
        <w:rPr>
          <w:rFonts w:ascii="Arial" w:hAnsi="Arial" w:cs="Arial"/>
          <w:szCs w:val="24"/>
          <w:lang w:val="en-GB"/>
        </w:rPr>
        <w:t xml:space="preserve"> for a summary of the judgment), the ECtHR</w:t>
      </w:r>
      <w:r w:rsidR="00780583" w:rsidRPr="0028108F">
        <w:rPr>
          <w:rFonts w:ascii="Arial" w:hAnsi="Arial" w:cs="Arial"/>
          <w:szCs w:val="24"/>
          <w:lang w:val="en-GB"/>
        </w:rPr>
        <w:t xml:space="preserve"> held that the </w:t>
      </w:r>
      <w:r w:rsidR="00C22678" w:rsidRPr="0028108F">
        <w:rPr>
          <w:rFonts w:ascii="Arial" w:hAnsi="Arial" w:cs="Arial"/>
          <w:szCs w:val="24"/>
          <w:lang w:val="en-GB"/>
        </w:rPr>
        <w:t xml:space="preserve">UK Government’s </w:t>
      </w:r>
      <w:r w:rsidR="00780583" w:rsidRPr="0028108F">
        <w:rPr>
          <w:rFonts w:ascii="Arial" w:hAnsi="Arial" w:cs="Arial"/>
          <w:szCs w:val="24"/>
          <w:lang w:val="en-GB"/>
        </w:rPr>
        <w:t>failure to allow post-operative transsexual persons to change their birth certificates</w:t>
      </w:r>
      <w:r w:rsidR="00C22678" w:rsidRPr="0028108F">
        <w:rPr>
          <w:rFonts w:ascii="Arial" w:hAnsi="Arial" w:cs="Arial"/>
          <w:szCs w:val="24"/>
          <w:lang w:val="en-GB"/>
        </w:rPr>
        <w:t xml:space="preserve"> </w:t>
      </w:r>
      <w:r w:rsidR="00780583" w:rsidRPr="0028108F">
        <w:rPr>
          <w:rFonts w:ascii="Arial" w:hAnsi="Arial" w:cs="Arial"/>
          <w:szCs w:val="24"/>
          <w:lang w:val="en-GB"/>
        </w:rPr>
        <w:t>and to recognise their chosen gender for marriage and other legal</w:t>
      </w:r>
      <w:r w:rsidR="00C22678" w:rsidRPr="0028108F">
        <w:rPr>
          <w:rFonts w:ascii="Arial" w:hAnsi="Arial" w:cs="Arial"/>
          <w:szCs w:val="24"/>
          <w:lang w:val="en-GB"/>
        </w:rPr>
        <w:t xml:space="preserve"> </w:t>
      </w:r>
      <w:r w:rsidR="00780583" w:rsidRPr="0028108F">
        <w:rPr>
          <w:rFonts w:ascii="Arial" w:hAnsi="Arial" w:cs="Arial"/>
          <w:szCs w:val="24"/>
          <w:lang w:val="en-GB"/>
        </w:rPr>
        <w:t>purposes constituted a violation of their right to respect for private life and</w:t>
      </w:r>
      <w:r w:rsidR="00C22678" w:rsidRPr="0028108F">
        <w:rPr>
          <w:rFonts w:ascii="Arial" w:hAnsi="Arial" w:cs="Arial"/>
          <w:szCs w:val="24"/>
          <w:lang w:val="en-GB"/>
        </w:rPr>
        <w:t xml:space="preserve"> </w:t>
      </w:r>
      <w:r w:rsidR="00780583" w:rsidRPr="0028108F">
        <w:rPr>
          <w:rFonts w:ascii="Arial" w:hAnsi="Arial" w:cs="Arial"/>
          <w:szCs w:val="24"/>
          <w:lang w:val="en-GB"/>
        </w:rPr>
        <w:t>their right to marry under the</w:t>
      </w:r>
      <w:r w:rsidR="007D3BD5">
        <w:rPr>
          <w:rFonts w:ascii="Arial" w:hAnsi="Arial" w:cs="Arial"/>
          <w:szCs w:val="24"/>
          <w:lang w:val="en-GB"/>
        </w:rPr>
        <w:t xml:space="preserve"> ECHR</w:t>
      </w:r>
      <w:r w:rsidR="00C22678" w:rsidRPr="0028108F">
        <w:rPr>
          <w:rFonts w:ascii="Arial" w:hAnsi="Arial" w:cs="Arial"/>
          <w:szCs w:val="24"/>
          <w:lang w:val="en-GB"/>
        </w:rPr>
        <w:t>.</w:t>
      </w:r>
      <w:r w:rsidR="00C22678" w:rsidRPr="00181CF2">
        <w:rPr>
          <w:rFonts w:ascii="Arial" w:hAnsi="Arial" w:cs="Arial"/>
          <w:szCs w:val="24"/>
          <w:lang w:val="en-GB"/>
        </w:rPr>
        <w:t xml:space="preserve">  </w:t>
      </w:r>
      <w:r w:rsidR="00C22678" w:rsidRPr="00C57CE1">
        <w:rPr>
          <w:rFonts w:ascii="Arial" w:hAnsi="Arial" w:cs="Arial"/>
          <w:szCs w:val="24"/>
          <w:lang w:val="en-GB"/>
        </w:rPr>
        <w:t>It is unclear w</w:t>
      </w:r>
      <w:r w:rsidR="00C22678" w:rsidRPr="0028108F">
        <w:rPr>
          <w:rFonts w:ascii="Arial" w:hAnsi="Arial" w:cs="Arial"/>
          <w:szCs w:val="24"/>
          <w:lang w:val="en-GB"/>
        </w:rPr>
        <w:t xml:space="preserve">hether the Hong Kong </w:t>
      </w:r>
      <w:r w:rsidR="00AA4FAA" w:rsidRPr="0028108F">
        <w:rPr>
          <w:rFonts w:ascii="Arial" w:hAnsi="Arial" w:cs="Arial"/>
          <w:szCs w:val="24"/>
          <w:lang w:val="en-GB"/>
        </w:rPr>
        <w:t>c</w:t>
      </w:r>
      <w:r w:rsidR="00C22678" w:rsidRPr="0028108F">
        <w:rPr>
          <w:rFonts w:ascii="Arial" w:hAnsi="Arial" w:cs="Arial"/>
          <w:szCs w:val="24"/>
          <w:lang w:val="en-GB"/>
        </w:rPr>
        <w:t xml:space="preserve">ourts would follow the decision of </w:t>
      </w:r>
      <w:r w:rsidR="00C22678" w:rsidRPr="0028108F">
        <w:rPr>
          <w:rFonts w:ascii="Arial" w:hAnsi="Arial" w:cs="Arial"/>
          <w:i/>
          <w:szCs w:val="24"/>
          <w:lang w:val="en-GB"/>
        </w:rPr>
        <w:t>Goodwin</w:t>
      </w:r>
      <w:r w:rsidR="00C22678" w:rsidRPr="0028108F">
        <w:rPr>
          <w:rFonts w:ascii="Arial" w:hAnsi="Arial" w:cs="Arial"/>
          <w:szCs w:val="24"/>
          <w:lang w:val="en-GB"/>
        </w:rPr>
        <w:t xml:space="preserve"> in case a challenge similar to Ms W</w:t>
      </w:r>
      <w:r w:rsidR="00AA4FAA" w:rsidRPr="0028108F">
        <w:rPr>
          <w:rFonts w:ascii="Arial" w:hAnsi="Arial" w:cs="Arial"/>
          <w:szCs w:val="24"/>
          <w:lang w:val="en-GB"/>
        </w:rPr>
        <w:t>’s</w:t>
      </w:r>
      <w:r w:rsidR="00C22678" w:rsidRPr="0028108F">
        <w:rPr>
          <w:rFonts w:ascii="Arial" w:hAnsi="Arial" w:cs="Arial"/>
          <w:szCs w:val="24"/>
          <w:lang w:val="en-GB"/>
        </w:rPr>
        <w:t xml:space="preserve"> is brought.  Even </w:t>
      </w:r>
      <w:r w:rsidR="00AA4FAA" w:rsidRPr="0028108F">
        <w:rPr>
          <w:rFonts w:ascii="Arial" w:hAnsi="Arial" w:cs="Arial"/>
          <w:szCs w:val="24"/>
          <w:lang w:val="en-GB"/>
        </w:rPr>
        <w:t>if</w:t>
      </w:r>
      <w:r w:rsidR="00C22678" w:rsidRPr="0028108F">
        <w:rPr>
          <w:rFonts w:ascii="Arial" w:hAnsi="Arial" w:cs="Arial"/>
          <w:szCs w:val="24"/>
          <w:lang w:val="en-GB"/>
        </w:rPr>
        <w:t xml:space="preserve"> </w:t>
      </w:r>
      <w:r w:rsidR="00C22678" w:rsidRPr="0028108F">
        <w:rPr>
          <w:rFonts w:ascii="Arial" w:hAnsi="Arial" w:cs="Arial"/>
          <w:i/>
          <w:szCs w:val="24"/>
          <w:lang w:val="en-GB"/>
        </w:rPr>
        <w:t>Goodwin</w:t>
      </w:r>
      <w:r w:rsidR="00C22678" w:rsidRPr="0028108F">
        <w:rPr>
          <w:rFonts w:ascii="Arial" w:hAnsi="Arial" w:cs="Arial"/>
          <w:szCs w:val="24"/>
          <w:lang w:val="en-GB"/>
        </w:rPr>
        <w:t xml:space="preserve"> is followed, it may offer little reference regarding the position of </w:t>
      </w:r>
      <w:r w:rsidR="00C22678" w:rsidRPr="0028108F">
        <w:rPr>
          <w:rFonts w:ascii="Arial" w:hAnsi="Arial" w:cs="Arial"/>
          <w:i/>
          <w:szCs w:val="24"/>
          <w:lang w:val="en-GB"/>
        </w:rPr>
        <w:t>pre</w:t>
      </w:r>
      <w:r w:rsidR="00C22678" w:rsidRPr="00181CF2">
        <w:rPr>
          <w:rFonts w:ascii="Arial" w:hAnsi="Arial" w:cs="Arial"/>
          <w:szCs w:val="24"/>
          <w:lang w:val="en-GB"/>
        </w:rPr>
        <w:t xml:space="preserve">-operative transgender persons in this </w:t>
      </w:r>
      <w:r w:rsidR="00C22678" w:rsidRPr="00C57CE1">
        <w:rPr>
          <w:rFonts w:ascii="Arial" w:hAnsi="Arial" w:cs="Arial"/>
          <w:szCs w:val="24"/>
          <w:lang w:val="en-GB"/>
        </w:rPr>
        <w:t>respect.</w:t>
      </w:r>
    </w:p>
    <w:p w:rsidR="00C22678" w:rsidRPr="0028108F" w:rsidRDefault="00C22678"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3323EB" w:rsidRPr="0028108F" w:rsidRDefault="00C22678" w:rsidP="0028108F">
      <w:pPr>
        <w:pStyle w:val="ListParagraph"/>
        <w:widowControl/>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181CF2">
        <w:rPr>
          <w:rFonts w:ascii="Arial" w:hAnsi="Arial" w:cs="Arial"/>
          <w:szCs w:val="24"/>
          <w:lang w:val="en-GB"/>
        </w:rPr>
        <w:t xml:space="preserve">If a gender recognition scheme is </w:t>
      </w:r>
      <w:r w:rsidR="00AA4FAA" w:rsidRPr="00C57CE1">
        <w:rPr>
          <w:rFonts w:ascii="Arial" w:hAnsi="Arial" w:cs="Arial"/>
          <w:szCs w:val="24"/>
          <w:lang w:val="en-GB"/>
        </w:rPr>
        <w:t>implemented</w:t>
      </w:r>
      <w:r w:rsidRPr="0028108F">
        <w:rPr>
          <w:rFonts w:ascii="Arial" w:hAnsi="Arial" w:cs="Arial"/>
          <w:szCs w:val="24"/>
          <w:lang w:val="en-GB"/>
        </w:rPr>
        <w:t xml:space="preserve"> in Hong Kong, it </w:t>
      </w:r>
      <w:r w:rsidR="00AA4FAA" w:rsidRPr="0028108F">
        <w:rPr>
          <w:rFonts w:ascii="Arial" w:hAnsi="Arial" w:cs="Arial"/>
          <w:szCs w:val="24"/>
          <w:lang w:val="en-GB"/>
        </w:rPr>
        <w:t xml:space="preserve">would be necessary </w:t>
      </w:r>
      <w:r w:rsidRPr="0028108F">
        <w:rPr>
          <w:rFonts w:ascii="Arial" w:hAnsi="Arial" w:cs="Arial"/>
          <w:szCs w:val="24"/>
          <w:lang w:val="en-GB"/>
        </w:rPr>
        <w:t>to decide whether a successful applicant is entitled to or must have his or her gender marker on the birth certificate altered to reflect the legally recognised gender.</w:t>
      </w:r>
      <w:r w:rsidR="00394A27" w:rsidRPr="0028108F">
        <w:rPr>
          <w:rFonts w:ascii="Arial" w:hAnsi="Arial" w:cs="Arial"/>
          <w:szCs w:val="24"/>
          <w:lang w:val="en-GB"/>
        </w:rPr>
        <w:t xml:space="preserve">  </w:t>
      </w:r>
      <w:r w:rsidR="007D3BD5">
        <w:rPr>
          <w:rFonts w:ascii="Arial" w:hAnsi="Arial" w:cs="Arial"/>
          <w:szCs w:val="24"/>
          <w:lang w:val="en-GB"/>
        </w:rPr>
        <w:t>S</w:t>
      </w:r>
      <w:r w:rsidR="009C67BF" w:rsidRPr="0028108F">
        <w:rPr>
          <w:rFonts w:ascii="Arial" w:hAnsi="Arial" w:cs="Arial"/>
          <w:szCs w:val="24"/>
          <w:lang w:val="en-GB"/>
        </w:rPr>
        <w:t>et out below</w:t>
      </w:r>
      <w:r w:rsidR="003323EB" w:rsidRPr="0028108F">
        <w:rPr>
          <w:rFonts w:ascii="Arial" w:hAnsi="Arial" w:cs="Arial"/>
          <w:szCs w:val="24"/>
          <w:lang w:val="en-GB"/>
        </w:rPr>
        <w:t xml:space="preserve"> are possible arguments in support of and against allowing the change of gender marker on a person’s birth certificate following gender recognition. </w:t>
      </w:r>
    </w:p>
    <w:p w:rsidR="0063690B" w:rsidRPr="0028108F" w:rsidRDefault="0063690B"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3323EB" w:rsidRPr="0028108F" w:rsidRDefault="003323EB" w:rsidP="0028108F">
      <w:pPr>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Arguments in support</w:t>
      </w:r>
    </w:p>
    <w:p w:rsidR="003323EB" w:rsidRPr="00181CF2" w:rsidRDefault="003323EB"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0B518A" w:rsidRPr="00181CF2" w:rsidRDefault="00486A65"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A</w:t>
      </w:r>
      <w:r w:rsidR="00394A27" w:rsidRPr="0028108F">
        <w:rPr>
          <w:rFonts w:ascii="Arial" w:hAnsi="Arial" w:cs="Arial"/>
          <w:szCs w:val="24"/>
          <w:lang w:val="en-GB"/>
        </w:rPr>
        <w:t xml:space="preserve">rguments in support of </w:t>
      </w:r>
      <w:r w:rsidRPr="0028108F">
        <w:rPr>
          <w:rFonts w:ascii="Arial" w:hAnsi="Arial" w:cs="Arial"/>
          <w:szCs w:val="24"/>
          <w:lang w:val="en-GB"/>
        </w:rPr>
        <w:t xml:space="preserve">allowing the </w:t>
      </w:r>
      <w:r w:rsidR="00394A27" w:rsidRPr="0028108F">
        <w:rPr>
          <w:rFonts w:ascii="Arial" w:hAnsi="Arial" w:cs="Arial"/>
          <w:szCs w:val="24"/>
          <w:lang w:val="en-GB"/>
        </w:rPr>
        <w:t xml:space="preserve">alternation of birth certificates </w:t>
      </w:r>
      <w:r w:rsidRPr="0028108F">
        <w:rPr>
          <w:rFonts w:ascii="Arial" w:hAnsi="Arial" w:cs="Arial"/>
          <w:szCs w:val="24"/>
          <w:lang w:val="en-GB"/>
        </w:rPr>
        <w:t xml:space="preserve">following gender recognition </w:t>
      </w:r>
      <w:r w:rsidR="00394A27" w:rsidRPr="0028108F">
        <w:rPr>
          <w:rFonts w:ascii="Arial" w:hAnsi="Arial" w:cs="Arial"/>
          <w:szCs w:val="24"/>
          <w:lang w:val="en-GB"/>
        </w:rPr>
        <w:t xml:space="preserve">would usually be that the inability of transgender persons to change their birth certificates would cause their biological sex and transgender </w:t>
      </w:r>
      <w:r w:rsidRPr="00181CF2">
        <w:rPr>
          <w:rFonts w:ascii="Arial" w:hAnsi="Arial" w:cs="Arial"/>
          <w:szCs w:val="24"/>
          <w:lang w:val="en-GB"/>
        </w:rPr>
        <w:t xml:space="preserve">status </w:t>
      </w:r>
      <w:r w:rsidR="00394A27" w:rsidRPr="0028108F">
        <w:rPr>
          <w:rFonts w:ascii="Arial" w:hAnsi="Arial" w:cs="Arial"/>
          <w:szCs w:val="24"/>
          <w:lang w:val="en-GB"/>
        </w:rPr>
        <w:t xml:space="preserve">be revealed against their wishes whenever they are required to produce their birth certificate.  </w:t>
      </w:r>
      <w:r w:rsidR="00394A27" w:rsidRPr="00181CF2">
        <w:rPr>
          <w:rFonts w:ascii="Arial" w:hAnsi="Arial" w:cs="Arial"/>
          <w:szCs w:val="24"/>
          <w:lang w:val="en-GB"/>
        </w:rPr>
        <w:t>T</w:t>
      </w:r>
      <w:r w:rsidR="00394A27" w:rsidRPr="0028108F">
        <w:rPr>
          <w:rFonts w:ascii="Arial" w:hAnsi="Arial" w:cs="Arial"/>
          <w:szCs w:val="24"/>
          <w:lang w:val="en-GB"/>
        </w:rPr>
        <w:t>his would arguably make them vulnerable to prejudice and discrimination.</w:t>
      </w:r>
      <w:r w:rsidR="00394A27" w:rsidRPr="00181CF2">
        <w:rPr>
          <w:rStyle w:val="FootnoteReference"/>
          <w:rFonts w:ascii="Arial" w:hAnsi="Arial" w:cs="Arial"/>
          <w:szCs w:val="24"/>
          <w:lang w:val="en-GB"/>
        </w:rPr>
        <w:footnoteReference w:id="834"/>
      </w:r>
      <w:r w:rsidR="00394A27" w:rsidRPr="00181CF2">
        <w:rPr>
          <w:rFonts w:ascii="Arial" w:hAnsi="Arial" w:cs="Arial"/>
          <w:szCs w:val="24"/>
          <w:lang w:val="en-GB"/>
        </w:rPr>
        <w:t xml:space="preserve">  </w:t>
      </w:r>
      <w:r w:rsidR="000B518A" w:rsidRPr="00C57CE1">
        <w:rPr>
          <w:rFonts w:ascii="Arial" w:hAnsi="Arial" w:cs="Arial"/>
          <w:szCs w:val="24"/>
          <w:lang w:val="en-GB"/>
        </w:rPr>
        <w:t>Although there is curren</w:t>
      </w:r>
      <w:r w:rsidR="000B518A" w:rsidRPr="0028108F">
        <w:rPr>
          <w:rFonts w:ascii="Arial" w:hAnsi="Arial" w:cs="Arial"/>
          <w:szCs w:val="24"/>
          <w:lang w:val="en-GB"/>
        </w:rPr>
        <w:t xml:space="preserve">tly </w:t>
      </w:r>
      <w:r w:rsidR="00E15C0A" w:rsidRPr="0028108F">
        <w:rPr>
          <w:rFonts w:ascii="Arial" w:hAnsi="Arial" w:cs="Arial"/>
          <w:szCs w:val="24"/>
          <w:lang w:val="en-GB"/>
        </w:rPr>
        <w:t>little</w:t>
      </w:r>
      <w:r w:rsidR="000B518A" w:rsidRPr="0028108F">
        <w:rPr>
          <w:rFonts w:ascii="Arial" w:hAnsi="Arial" w:cs="Arial"/>
          <w:szCs w:val="24"/>
          <w:lang w:val="en-GB"/>
        </w:rPr>
        <w:t xml:space="preserve"> information as to how often a person may be required, both in a legal or non-legal setting, to present his or her birth certificate, it is a fact that a person’s birth certificate remains the mechanism by which his or her sex is determined for the purpose of Hong Kong</w:t>
      </w:r>
      <w:r w:rsidR="00715946" w:rsidRPr="0028108F">
        <w:rPr>
          <w:rFonts w:ascii="Arial" w:hAnsi="Arial" w:cs="Arial"/>
          <w:szCs w:val="24"/>
          <w:lang w:val="en-GB"/>
        </w:rPr>
        <w:t xml:space="preserve"> law</w:t>
      </w:r>
      <w:r w:rsidR="000B518A" w:rsidRPr="0028108F">
        <w:rPr>
          <w:rFonts w:ascii="Arial" w:hAnsi="Arial" w:cs="Arial"/>
          <w:szCs w:val="24"/>
          <w:lang w:val="en-GB"/>
        </w:rPr>
        <w:t>.</w:t>
      </w:r>
      <w:r w:rsidR="0063690B" w:rsidRPr="0028108F">
        <w:rPr>
          <w:rFonts w:ascii="Arial" w:hAnsi="Arial" w:cs="Arial"/>
          <w:szCs w:val="24"/>
          <w:lang w:val="en-GB"/>
        </w:rPr>
        <w:t xml:space="preserve">  This would lead to the argument that legal gender recognition must entail a change of the gender marker on birth certificate</w:t>
      </w:r>
      <w:r w:rsidR="00463CD1" w:rsidRPr="0028108F">
        <w:rPr>
          <w:rFonts w:ascii="Arial" w:hAnsi="Arial" w:cs="Arial"/>
          <w:szCs w:val="24"/>
          <w:lang w:val="en-GB"/>
        </w:rPr>
        <w:t>,</w:t>
      </w:r>
      <w:r w:rsidR="0063690B" w:rsidRPr="0028108F">
        <w:rPr>
          <w:rFonts w:ascii="Arial" w:hAnsi="Arial" w:cs="Arial"/>
          <w:szCs w:val="24"/>
          <w:lang w:val="en-GB"/>
        </w:rPr>
        <w:t xml:space="preserve"> failing which successful applicants for gender recognition would be “</w:t>
      </w:r>
      <w:r w:rsidR="0063690B" w:rsidRPr="0028108F">
        <w:rPr>
          <w:rFonts w:ascii="Arial" w:hAnsi="Arial" w:cs="Arial"/>
          <w:i/>
          <w:szCs w:val="24"/>
          <w:lang w:val="en-GB"/>
        </w:rPr>
        <w:t>permanently stranded as their designated birth sex for all legal purposes.</w:t>
      </w:r>
      <w:r w:rsidR="0063690B" w:rsidRPr="0028108F">
        <w:rPr>
          <w:rFonts w:ascii="Arial" w:hAnsi="Arial" w:cs="Arial"/>
          <w:szCs w:val="24"/>
          <w:lang w:val="en-GB"/>
        </w:rPr>
        <w:t>”</w:t>
      </w:r>
      <w:r w:rsidR="0063690B" w:rsidRPr="00181CF2">
        <w:rPr>
          <w:rStyle w:val="FootnoteReference"/>
          <w:rFonts w:ascii="Arial" w:hAnsi="Arial" w:cs="Arial"/>
          <w:szCs w:val="24"/>
          <w:lang w:val="en-GB"/>
        </w:rPr>
        <w:footnoteReference w:id="835"/>
      </w:r>
    </w:p>
    <w:p w:rsidR="000B518A" w:rsidRPr="00C57CE1" w:rsidRDefault="000B518A" w:rsidP="003323EB">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780583" w:rsidRPr="0028108F" w:rsidRDefault="000B518A"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Further, there may be </w:t>
      </w:r>
      <w:r w:rsidR="00463CD1" w:rsidRPr="0028108F">
        <w:rPr>
          <w:rFonts w:ascii="Arial" w:hAnsi="Arial" w:cs="Arial"/>
          <w:szCs w:val="24"/>
          <w:lang w:val="en-GB"/>
        </w:rPr>
        <w:t>in</w:t>
      </w:r>
      <w:r w:rsidRPr="0028108F">
        <w:rPr>
          <w:rFonts w:ascii="Arial" w:hAnsi="Arial" w:cs="Arial"/>
          <w:szCs w:val="24"/>
          <w:lang w:val="en-GB"/>
        </w:rPr>
        <w:t xml:space="preserve">sufficient information </w:t>
      </w:r>
      <w:r w:rsidR="00463CD1" w:rsidRPr="0028108F">
        <w:rPr>
          <w:rFonts w:ascii="Arial" w:hAnsi="Arial" w:cs="Arial"/>
          <w:szCs w:val="24"/>
          <w:lang w:val="en-GB"/>
        </w:rPr>
        <w:t>on</w:t>
      </w:r>
      <w:r w:rsidRPr="0028108F">
        <w:rPr>
          <w:rFonts w:ascii="Arial" w:hAnsi="Arial" w:cs="Arial"/>
          <w:szCs w:val="24"/>
          <w:lang w:val="en-GB"/>
        </w:rPr>
        <w:t xml:space="preserve"> how often the discrepancy between a transgender person’s appearance and the gender marker on the</w:t>
      </w:r>
      <w:r w:rsidR="00463CD1" w:rsidRPr="0028108F">
        <w:rPr>
          <w:rFonts w:ascii="Arial" w:hAnsi="Arial" w:cs="Arial"/>
          <w:szCs w:val="24"/>
          <w:lang w:val="en-GB"/>
        </w:rPr>
        <w:t>ir</w:t>
      </w:r>
      <w:r w:rsidRPr="0028108F">
        <w:rPr>
          <w:rFonts w:ascii="Arial" w:hAnsi="Arial" w:cs="Arial"/>
          <w:szCs w:val="24"/>
          <w:lang w:val="en-GB"/>
        </w:rPr>
        <w:t xml:space="preserve"> birth certificate is source of humiliation and embarrassment.  However, </w:t>
      </w:r>
      <w:r w:rsidRPr="0028108F">
        <w:rPr>
          <w:rFonts w:ascii="Arial" w:hAnsi="Arial" w:cs="Arial"/>
          <w:i/>
          <w:szCs w:val="24"/>
          <w:lang w:val="en-GB"/>
        </w:rPr>
        <w:t>Goodwin</w:t>
      </w:r>
      <w:r w:rsidRPr="0028108F">
        <w:rPr>
          <w:rFonts w:ascii="Arial" w:hAnsi="Arial" w:cs="Arial"/>
          <w:szCs w:val="24"/>
          <w:lang w:val="en-GB"/>
        </w:rPr>
        <w:t xml:space="preserve"> held that </w:t>
      </w:r>
      <w:r w:rsidR="008C0E68" w:rsidRPr="0028108F">
        <w:rPr>
          <w:rFonts w:ascii="Arial" w:hAnsi="Arial" w:cs="Arial"/>
          <w:szCs w:val="24"/>
          <w:lang w:val="en-GB"/>
        </w:rPr>
        <w:t>the right to respect for one’s private life is interfered with irrespective of the frequency of humiliation and embarrassment caused by the discordance of reality and entry in the birth certificate.</w:t>
      </w:r>
      <w:r w:rsidR="00E721F3" w:rsidRPr="00181CF2">
        <w:rPr>
          <w:rStyle w:val="FootnoteReference"/>
          <w:rFonts w:ascii="Arial" w:hAnsi="Arial" w:cs="Arial"/>
          <w:color w:val="000000" w:themeColor="text1"/>
          <w:szCs w:val="24"/>
          <w:lang w:val="en-GB"/>
        </w:rPr>
        <w:footnoteReference w:id="836"/>
      </w:r>
      <w:r w:rsidR="0063690B" w:rsidRPr="00181CF2">
        <w:rPr>
          <w:rFonts w:ascii="Arial" w:hAnsi="Arial" w:cs="Arial"/>
          <w:szCs w:val="24"/>
          <w:lang w:val="en-GB"/>
        </w:rPr>
        <w:t xml:space="preserve">  </w:t>
      </w:r>
      <w:r w:rsidR="0063690B" w:rsidRPr="00C57CE1">
        <w:rPr>
          <w:rFonts w:ascii="Arial" w:hAnsi="Arial" w:cs="Arial"/>
          <w:szCs w:val="24"/>
          <w:lang w:val="en-GB"/>
        </w:rPr>
        <w:t xml:space="preserve">Some people might therefore argue that, </w:t>
      </w:r>
      <w:r w:rsidR="0063690B" w:rsidRPr="0028108F">
        <w:rPr>
          <w:rFonts w:ascii="Arial" w:hAnsi="Arial" w:cs="Arial"/>
          <w:szCs w:val="24"/>
          <w:lang w:val="en-GB"/>
        </w:rPr>
        <w:t xml:space="preserve">when the birth certificate contains an entry incompatible with that person’s appearance and acquired gender, to show that birth certificate would expose the person’s gender history which may result in the person being excluded from certain employment and </w:t>
      </w:r>
      <w:r w:rsidR="00463CD1" w:rsidRPr="0028108F">
        <w:rPr>
          <w:rFonts w:ascii="Arial" w:hAnsi="Arial" w:cs="Arial"/>
          <w:szCs w:val="24"/>
          <w:lang w:val="en-GB"/>
        </w:rPr>
        <w:t xml:space="preserve">other </w:t>
      </w:r>
      <w:r w:rsidR="0063690B" w:rsidRPr="0028108F">
        <w:rPr>
          <w:rFonts w:ascii="Arial" w:hAnsi="Arial" w:cs="Arial"/>
          <w:szCs w:val="24"/>
          <w:lang w:val="en-GB"/>
        </w:rPr>
        <w:t xml:space="preserve">activities due to existing discrimination towards transsexual persons. </w:t>
      </w:r>
    </w:p>
    <w:p w:rsidR="003323EB" w:rsidRPr="0028108F" w:rsidRDefault="003323EB"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01737F" w:rsidRPr="0028108F" w:rsidRDefault="003323EB"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181CF2">
        <w:rPr>
          <w:rFonts w:ascii="Arial" w:hAnsi="Arial" w:cs="Arial"/>
          <w:szCs w:val="24"/>
          <w:lang w:val="en-GB"/>
        </w:rPr>
        <w:t>The ar</w:t>
      </w:r>
      <w:r w:rsidRPr="00C57CE1">
        <w:rPr>
          <w:rFonts w:ascii="Arial" w:hAnsi="Arial" w:cs="Arial"/>
          <w:szCs w:val="24"/>
          <w:lang w:val="en-GB"/>
        </w:rPr>
        <w:t>gument that allowing alteration would undermine the function and integrity of the birth record system might be challeng</w:t>
      </w:r>
      <w:r w:rsidRPr="0028108F">
        <w:rPr>
          <w:rFonts w:ascii="Arial" w:hAnsi="Arial" w:cs="Arial"/>
          <w:szCs w:val="24"/>
          <w:lang w:val="en-GB"/>
        </w:rPr>
        <w:t xml:space="preserve">ed on the basis that there are existing exceptions.  For example, in the case of adoptions, section 19 of the Adoption Ordinance (Cap 290) provides that </w:t>
      </w:r>
      <w:r w:rsidR="0001737F" w:rsidRPr="0028108F">
        <w:rPr>
          <w:rFonts w:ascii="Arial" w:hAnsi="Arial" w:cs="Arial"/>
          <w:szCs w:val="24"/>
          <w:lang w:val="en-GB"/>
        </w:rPr>
        <w:t xml:space="preserve">a child adopted under an adoption order will be given a new birth certificate with the original birth entry marked with the word </w:t>
      </w:r>
      <w:r w:rsidR="0001737F" w:rsidRPr="0028108F">
        <w:rPr>
          <w:rFonts w:ascii="Arial" w:hAnsi="Arial" w:cs="Arial"/>
          <w:i/>
          <w:szCs w:val="24"/>
          <w:lang w:val="en-GB"/>
        </w:rPr>
        <w:t>“Adopted”.</w:t>
      </w:r>
      <w:r w:rsidR="0001737F" w:rsidRPr="00181CF2">
        <w:rPr>
          <w:rFonts w:ascii="Arial" w:hAnsi="Arial" w:cs="Arial"/>
          <w:szCs w:val="24"/>
          <w:lang w:val="en-GB"/>
        </w:rPr>
        <w:t xml:space="preserve">  Separately, amendments to a birth certificate are possible in cases of re-registration of the father of an illegitimate child, re-registration after declaration of parentage or legitimacy, and re-registration after pare</w:t>
      </w:r>
      <w:r w:rsidR="0001737F" w:rsidRPr="00C57CE1">
        <w:rPr>
          <w:rFonts w:ascii="Arial" w:hAnsi="Arial" w:cs="Arial"/>
          <w:szCs w:val="24"/>
          <w:lang w:val="en-GB"/>
        </w:rPr>
        <w:t>ntal order in favour of gamete donors.</w:t>
      </w:r>
      <w:r w:rsidR="0001737F" w:rsidRPr="00181CF2">
        <w:rPr>
          <w:rStyle w:val="FootnoteReference"/>
          <w:rFonts w:ascii="Arial" w:hAnsi="Arial" w:cs="Arial"/>
          <w:szCs w:val="24"/>
          <w:lang w:val="en-GB"/>
        </w:rPr>
        <w:footnoteReference w:id="837"/>
      </w:r>
      <w:r w:rsidR="0001737F" w:rsidRPr="00181CF2">
        <w:rPr>
          <w:rFonts w:ascii="Arial" w:hAnsi="Arial" w:cs="Arial"/>
          <w:szCs w:val="24"/>
          <w:lang w:val="en-GB"/>
        </w:rPr>
        <w:t xml:space="preserve">  Arguably, these exceptions have not undermined the historical nature of the record nor the integrity of the </w:t>
      </w:r>
      <w:r w:rsidR="0001737F" w:rsidRPr="00C57CE1">
        <w:rPr>
          <w:rFonts w:ascii="Arial" w:hAnsi="Arial" w:cs="Arial"/>
          <w:szCs w:val="24"/>
          <w:lang w:val="en-GB"/>
        </w:rPr>
        <w:t>birth</w:t>
      </w:r>
      <w:r w:rsidR="0001737F" w:rsidRPr="0028108F">
        <w:rPr>
          <w:rFonts w:ascii="Arial" w:hAnsi="Arial" w:cs="Arial"/>
          <w:szCs w:val="24"/>
          <w:lang w:val="en-GB"/>
        </w:rPr>
        <w:t xml:space="preserve"> record system.  Some might also argue that in view of the relatively small number of transgender persons, any exception created for them is unlikely to be unduly burdensome.  </w:t>
      </w:r>
    </w:p>
    <w:p w:rsidR="0001737F" w:rsidRDefault="0001737F" w:rsidP="0028108F">
      <w:pPr>
        <w:pStyle w:val="ListParagraph"/>
        <w:rPr>
          <w:rFonts w:ascii="Arial" w:hAnsi="Arial" w:cs="Arial"/>
          <w:szCs w:val="24"/>
          <w:lang w:val="en-GB"/>
        </w:rPr>
      </w:pPr>
    </w:p>
    <w:p w:rsidR="00B14A7F" w:rsidRPr="0028108F" w:rsidRDefault="00B14A7F" w:rsidP="0028108F">
      <w:pPr>
        <w:pStyle w:val="ListParagraph"/>
        <w:rPr>
          <w:rFonts w:ascii="Arial" w:hAnsi="Arial" w:cs="Arial"/>
          <w:szCs w:val="24"/>
          <w:lang w:val="en-GB"/>
        </w:rPr>
      </w:pPr>
    </w:p>
    <w:p w:rsidR="004423E1" w:rsidRPr="0028108F" w:rsidRDefault="004423E1" w:rsidP="0028108F">
      <w:pPr>
        <w:autoSpaceDE w:val="0"/>
        <w:autoSpaceDN w:val="0"/>
        <w:adjustRightInd w:val="0"/>
        <w:snapToGrid w:val="0"/>
        <w:jc w:val="both"/>
        <w:rPr>
          <w:rFonts w:ascii="Arial" w:hAnsi="Arial" w:cs="Arial"/>
          <w:i/>
          <w:szCs w:val="24"/>
          <w:lang w:val="en-GB"/>
        </w:rPr>
      </w:pPr>
      <w:r w:rsidRPr="0028108F">
        <w:rPr>
          <w:rFonts w:ascii="Arial" w:hAnsi="Arial" w:cs="Arial"/>
          <w:i/>
          <w:szCs w:val="24"/>
          <w:lang w:val="en-GB"/>
        </w:rPr>
        <w:t>Arguments against</w:t>
      </w:r>
    </w:p>
    <w:p w:rsidR="004423E1" w:rsidRPr="00181CF2" w:rsidRDefault="004423E1" w:rsidP="004423E1">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4423E1" w:rsidRPr="0028108F" w:rsidRDefault="004423E1" w:rsidP="004423E1">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C57CE1">
        <w:rPr>
          <w:rFonts w:ascii="Arial" w:hAnsi="Arial" w:cs="Arial"/>
          <w:szCs w:val="24"/>
          <w:lang w:val="en-GB"/>
        </w:rPr>
        <w:t xml:space="preserve">Some may argue that a person’s birth certificate is the historical evidence of that person’s genetic gender.  It also represents an accurate entry at the time </w:t>
      </w:r>
      <w:r w:rsidRPr="0028108F">
        <w:rPr>
          <w:rFonts w:ascii="Arial" w:hAnsi="Arial" w:cs="Arial"/>
          <w:szCs w:val="24"/>
          <w:lang w:val="en-GB"/>
        </w:rPr>
        <w:t xml:space="preserve">when it was created.  Allowing alteration of the birth certificate for reasons other than a clerical error or an error of fact or substance would arguably undermine the function and integrity of the birth record system.  </w:t>
      </w:r>
    </w:p>
    <w:p w:rsidR="004423E1" w:rsidRPr="0028108F" w:rsidRDefault="004423E1" w:rsidP="004423E1">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4423E1" w:rsidRPr="00C57CE1" w:rsidRDefault="004423E1"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A further argument is that the birth record enables other people and organisations to verify a transgender person’s original sex and this could prevent forgery cases.  In jurisdictions where transsexuals are not required to disclose their transsexual identity to marriage partners, there were cases where their spouses felt being deceived and distressed after discovering the biological sex of them.</w:t>
      </w:r>
      <w:r w:rsidRPr="00181CF2">
        <w:rPr>
          <w:rStyle w:val="FootnoteReference"/>
          <w:rFonts w:ascii="Arial" w:hAnsi="Arial" w:cs="Arial"/>
          <w:lang w:val="en-GB"/>
        </w:rPr>
        <w:footnoteReference w:id="838"/>
      </w:r>
      <w:r w:rsidRPr="00181CF2">
        <w:rPr>
          <w:rFonts w:ascii="Arial" w:hAnsi="Arial" w:cs="Arial"/>
          <w:szCs w:val="24"/>
          <w:lang w:val="en-GB"/>
        </w:rPr>
        <w:t xml:space="preserve">  </w:t>
      </w:r>
    </w:p>
    <w:p w:rsidR="004423E1" w:rsidRPr="0028108F" w:rsidRDefault="004423E1" w:rsidP="008813DE">
      <w:pPr>
        <w:tabs>
          <w:tab w:val="left" w:pos="709"/>
        </w:tabs>
        <w:adjustRightInd w:val="0"/>
        <w:snapToGrid w:val="0"/>
        <w:ind w:left="709" w:hanging="709"/>
        <w:jc w:val="both"/>
        <w:rPr>
          <w:rFonts w:ascii="Arial" w:hAnsi="Arial" w:cs="Arial"/>
          <w:szCs w:val="24"/>
          <w:lang w:val="en-GB"/>
        </w:rPr>
      </w:pPr>
    </w:p>
    <w:p w:rsidR="004423E1" w:rsidRPr="0028108F" w:rsidRDefault="004423E1"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Medically speaking, some diseases are peculiar to one gender eg, only men might </w:t>
      </w:r>
      <w:r w:rsidR="00513E4A">
        <w:rPr>
          <w:rFonts w:ascii="Arial" w:hAnsi="Arial" w:cs="Arial" w:hint="eastAsia"/>
          <w:szCs w:val="24"/>
          <w:lang w:val="en-GB"/>
        </w:rPr>
        <w:t>have</w:t>
      </w:r>
      <w:r w:rsidR="00513E4A" w:rsidRPr="0028108F">
        <w:rPr>
          <w:rFonts w:ascii="Arial" w:hAnsi="Arial" w:cs="Arial"/>
          <w:szCs w:val="24"/>
          <w:lang w:val="en-GB"/>
        </w:rPr>
        <w:t xml:space="preserve"> </w:t>
      </w:r>
      <w:r w:rsidRPr="0028108F">
        <w:rPr>
          <w:rFonts w:ascii="Arial" w:hAnsi="Arial" w:cs="Arial"/>
          <w:szCs w:val="24"/>
          <w:lang w:val="en-GB"/>
        </w:rPr>
        <w:t>prostate cancer.  It has been argued that keeping the birth gender marker intact can prevent misconception of this factor in the course of body-checking or medical treatment.</w:t>
      </w:r>
    </w:p>
    <w:p w:rsidR="001544FD" w:rsidRDefault="001544FD" w:rsidP="0028108F">
      <w:pPr>
        <w:adjustRightInd w:val="0"/>
        <w:snapToGrid w:val="0"/>
        <w:jc w:val="both"/>
        <w:rPr>
          <w:rFonts w:ascii="Arial" w:hAnsi="Arial" w:cs="Arial"/>
          <w:b/>
          <w:sz w:val="28"/>
          <w:szCs w:val="28"/>
          <w:lang w:val="en-GB"/>
        </w:rPr>
      </w:pPr>
    </w:p>
    <w:p w:rsidR="00402ABB" w:rsidRPr="0028108F" w:rsidRDefault="00402ABB" w:rsidP="0028108F">
      <w:pPr>
        <w:adjustRightInd w:val="0"/>
        <w:snapToGrid w:val="0"/>
        <w:jc w:val="both"/>
        <w:rPr>
          <w:rFonts w:ascii="Arial" w:hAnsi="Arial" w:cs="Arial"/>
          <w:b/>
          <w:sz w:val="28"/>
          <w:szCs w:val="28"/>
          <w:lang w:val="en-GB"/>
        </w:rPr>
      </w:pPr>
    </w:p>
    <w:p w:rsidR="001544FD" w:rsidRPr="0028108F" w:rsidRDefault="00540F37" w:rsidP="0028108F">
      <w:pPr>
        <w:adjustRightInd w:val="0"/>
        <w:snapToGrid w:val="0"/>
        <w:jc w:val="both"/>
        <w:rPr>
          <w:rFonts w:ascii="Arial" w:hAnsi="Arial" w:cs="Arial"/>
          <w:b/>
          <w:sz w:val="28"/>
          <w:szCs w:val="28"/>
          <w:lang w:val="en-GB"/>
        </w:rPr>
      </w:pPr>
      <w:r w:rsidRPr="00181CF2">
        <w:rPr>
          <w:rFonts w:ascii="Arial" w:hAnsi="Arial" w:cs="Arial"/>
          <w:b/>
          <w:sz w:val="28"/>
          <w:szCs w:val="28"/>
          <w:lang w:val="en-GB"/>
        </w:rPr>
        <w:t>Disclosing h</w:t>
      </w:r>
      <w:r w:rsidR="001544FD" w:rsidRPr="0028108F">
        <w:rPr>
          <w:rFonts w:ascii="Arial" w:hAnsi="Arial" w:cs="Arial"/>
          <w:b/>
          <w:sz w:val="28"/>
          <w:szCs w:val="28"/>
          <w:lang w:val="en-GB"/>
        </w:rPr>
        <w:t xml:space="preserve">istory of gender change </w:t>
      </w:r>
    </w:p>
    <w:p w:rsidR="001544FD" w:rsidRPr="00181CF2" w:rsidRDefault="001544FD" w:rsidP="001544FD">
      <w:pPr>
        <w:tabs>
          <w:tab w:val="left" w:pos="709"/>
        </w:tabs>
        <w:adjustRightInd w:val="0"/>
        <w:snapToGrid w:val="0"/>
        <w:ind w:left="709" w:hanging="709"/>
        <w:jc w:val="both"/>
        <w:rPr>
          <w:rFonts w:ascii="Arial" w:hAnsi="Arial" w:cs="Arial"/>
          <w:szCs w:val="24"/>
          <w:lang w:val="en-GB"/>
        </w:rPr>
      </w:pPr>
    </w:p>
    <w:p w:rsidR="002805B8" w:rsidRPr="0028108F" w:rsidRDefault="00540F37"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Regardless of </w:t>
      </w:r>
      <w:r w:rsidR="002805B8" w:rsidRPr="0028108F">
        <w:rPr>
          <w:rFonts w:ascii="Arial" w:hAnsi="Arial" w:cs="Arial"/>
          <w:szCs w:val="24"/>
          <w:lang w:val="en-GB"/>
        </w:rPr>
        <w:t xml:space="preserve">whether gender recognition would result in </w:t>
      </w:r>
      <w:r w:rsidRPr="0028108F">
        <w:rPr>
          <w:rFonts w:ascii="Arial" w:hAnsi="Arial" w:cs="Arial"/>
          <w:szCs w:val="24"/>
          <w:lang w:val="en-GB"/>
        </w:rPr>
        <w:t xml:space="preserve">the </w:t>
      </w:r>
      <w:r w:rsidR="002805B8" w:rsidRPr="0028108F">
        <w:rPr>
          <w:rFonts w:ascii="Arial" w:hAnsi="Arial" w:cs="Arial"/>
          <w:szCs w:val="24"/>
          <w:lang w:val="en-GB"/>
        </w:rPr>
        <w:t>issu</w:t>
      </w:r>
      <w:r w:rsidRPr="0028108F">
        <w:rPr>
          <w:rFonts w:ascii="Arial" w:hAnsi="Arial" w:cs="Arial"/>
          <w:szCs w:val="24"/>
          <w:lang w:val="en-GB"/>
        </w:rPr>
        <w:t>ing</w:t>
      </w:r>
      <w:r w:rsidR="002805B8" w:rsidRPr="0028108F">
        <w:rPr>
          <w:rFonts w:ascii="Arial" w:hAnsi="Arial" w:cs="Arial"/>
          <w:szCs w:val="24"/>
          <w:lang w:val="en-GB"/>
        </w:rPr>
        <w:t xml:space="preserve"> of </w:t>
      </w:r>
      <w:r w:rsidRPr="0028108F">
        <w:rPr>
          <w:rFonts w:ascii="Arial" w:hAnsi="Arial" w:cs="Arial"/>
          <w:szCs w:val="24"/>
          <w:lang w:val="en-GB"/>
        </w:rPr>
        <w:t xml:space="preserve">a </w:t>
      </w:r>
      <w:r w:rsidR="002805B8" w:rsidRPr="0028108F">
        <w:rPr>
          <w:rFonts w:ascii="Arial" w:hAnsi="Arial" w:cs="Arial"/>
          <w:szCs w:val="24"/>
          <w:lang w:val="en-GB"/>
        </w:rPr>
        <w:t xml:space="preserve">new birth certificate or new HKIC, it </w:t>
      </w:r>
      <w:r w:rsidRPr="0028108F">
        <w:rPr>
          <w:rFonts w:ascii="Arial" w:hAnsi="Arial" w:cs="Arial"/>
          <w:szCs w:val="24"/>
          <w:lang w:val="en-GB"/>
        </w:rPr>
        <w:t xml:space="preserve">would need </w:t>
      </w:r>
      <w:r w:rsidR="002805B8" w:rsidRPr="0028108F">
        <w:rPr>
          <w:rFonts w:ascii="Arial" w:hAnsi="Arial" w:cs="Arial"/>
          <w:szCs w:val="24"/>
          <w:lang w:val="en-GB"/>
        </w:rPr>
        <w:t xml:space="preserve">to be determined whether the concerned person’s history of gender change </w:t>
      </w:r>
      <w:r w:rsidRPr="0028108F">
        <w:rPr>
          <w:rFonts w:ascii="Arial" w:hAnsi="Arial" w:cs="Arial"/>
          <w:szCs w:val="24"/>
          <w:lang w:val="en-GB"/>
        </w:rPr>
        <w:t>should be</w:t>
      </w:r>
      <w:r w:rsidR="002805B8" w:rsidRPr="0028108F">
        <w:rPr>
          <w:rFonts w:ascii="Arial" w:hAnsi="Arial" w:cs="Arial"/>
          <w:szCs w:val="24"/>
          <w:lang w:val="en-GB"/>
        </w:rPr>
        <w:t xml:space="preserve"> allowed to be searched or disclosed in certain circumstances. </w:t>
      </w:r>
    </w:p>
    <w:p w:rsidR="002805B8" w:rsidRPr="0028108F" w:rsidRDefault="002805B8"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28108F" w:rsidRDefault="001544FD"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In the UK, the Gender Recognition (Disclosure of Information) (England, Wales and Northern Ireland) (No 2) Order</w:t>
      </w:r>
      <w:r w:rsidRPr="00181CF2">
        <w:rPr>
          <w:rStyle w:val="FootnoteReference"/>
          <w:rFonts w:ascii="Arial" w:hAnsi="Arial" w:cs="Arial"/>
          <w:szCs w:val="24"/>
          <w:lang w:val="en-GB"/>
        </w:rPr>
        <w:footnoteReference w:id="839"/>
      </w:r>
      <w:r w:rsidRPr="00C57CE1">
        <w:rPr>
          <w:rFonts w:ascii="Arial" w:hAnsi="Arial" w:cs="Arial"/>
          <w:szCs w:val="24"/>
          <w:lang w:val="en-GB"/>
        </w:rPr>
        <w:t>prescribes circumstances where disclosure of protected information does not constitute an offence under section 22</w:t>
      </w:r>
      <w:r w:rsidRPr="0028108F">
        <w:rPr>
          <w:rFonts w:ascii="Arial" w:hAnsi="Arial" w:cs="Arial"/>
          <w:szCs w:val="24"/>
          <w:lang w:val="en-GB"/>
        </w:rPr>
        <w:t xml:space="preserve"> of the GRA (which </w:t>
      </w:r>
      <w:r w:rsidRPr="0028108F">
        <w:rPr>
          <w:rFonts w:ascii="Arial" w:hAnsi="Arial" w:cs="Arial"/>
          <w:color w:val="000000"/>
          <w:kern w:val="0"/>
          <w:szCs w:val="24"/>
          <w:lang w:val="en-GB"/>
        </w:rPr>
        <w:t xml:space="preserve">makes it an offence for a person to disclose information, acquired in an official capacity, concerning </w:t>
      </w:r>
      <w:r w:rsidR="00540F37" w:rsidRPr="0028108F">
        <w:rPr>
          <w:rFonts w:ascii="Arial" w:hAnsi="Arial" w:cs="Arial"/>
          <w:color w:val="000000"/>
          <w:kern w:val="0"/>
          <w:szCs w:val="24"/>
          <w:lang w:val="en-GB"/>
        </w:rPr>
        <w:t xml:space="preserve">a gender recognition </w:t>
      </w:r>
      <w:r w:rsidRPr="0028108F">
        <w:rPr>
          <w:rFonts w:ascii="Arial" w:hAnsi="Arial" w:cs="Arial"/>
          <w:color w:val="000000"/>
          <w:kern w:val="0"/>
          <w:szCs w:val="24"/>
          <w:lang w:val="en-GB"/>
        </w:rPr>
        <w:t xml:space="preserve">application or </w:t>
      </w:r>
      <w:r w:rsidR="00540F37" w:rsidRPr="0028108F">
        <w:rPr>
          <w:rFonts w:ascii="Arial" w:hAnsi="Arial" w:cs="Arial"/>
          <w:color w:val="000000"/>
          <w:kern w:val="0"/>
          <w:szCs w:val="24"/>
          <w:lang w:val="en-GB"/>
        </w:rPr>
        <w:t>a</w:t>
      </w:r>
      <w:r w:rsidRPr="0028108F">
        <w:rPr>
          <w:rFonts w:ascii="Arial" w:hAnsi="Arial" w:cs="Arial"/>
          <w:color w:val="000000"/>
          <w:kern w:val="0"/>
          <w:szCs w:val="24"/>
          <w:lang w:val="en-GB"/>
        </w:rPr>
        <w:t xml:space="preserve"> person’s previous gender).  The Order allows</w:t>
      </w:r>
      <w:r w:rsidRPr="0028108F">
        <w:rPr>
          <w:rFonts w:ascii="Arial" w:hAnsi="Arial" w:cs="Arial"/>
          <w:szCs w:val="24"/>
          <w:lang w:val="en-GB"/>
        </w:rPr>
        <w:t xml:space="preserve"> disclosure for the purpose</w:t>
      </w:r>
      <w:r w:rsidR="00540F37" w:rsidRPr="0028108F">
        <w:rPr>
          <w:rFonts w:ascii="Arial" w:hAnsi="Arial" w:cs="Arial"/>
          <w:szCs w:val="24"/>
          <w:lang w:val="en-GB"/>
        </w:rPr>
        <w:t>s</w:t>
      </w:r>
      <w:r w:rsidRPr="0028108F">
        <w:rPr>
          <w:rFonts w:ascii="Arial" w:hAnsi="Arial" w:cs="Arial"/>
          <w:szCs w:val="24"/>
          <w:lang w:val="en-GB"/>
        </w:rPr>
        <w:t xml:space="preserve"> of</w:t>
      </w:r>
      <w:r w:rsidR="00540F37" w:rsidRPr="0028108F">
        <w:rPr>
          <w:rFonts w:ascii="Arial" w:hAnsi="Arial" w:cs="Arial"/>
          <w:szCs w:val="24"/>
          <w:lang w:val="en-GB"/>
        </w:rPr>
        <w:t>:</w:t>
      </w:r>
      <w:r w:rsidRPr="0028108F">
        <w:rPr>
          <w:rFonts w:ascii="Arial" w:hAnsi="Arial" w:cs="Arial"/>
          <w:szCs w:val="24"/>
          <w:lang w:val="en-GB"/>
        </w:rPr>
        <w:t xml:space="preserve"> obtaining legal advice (Art 3)</w:t>
      </w:r>
      <w:r w:rsidR="00540F37" w:rsidRPr="0028108F">
        <w:rPr>
          <w:rFonts w:ascii="Arial" w:hAnsi="Arial" w:cs="Arial"/>
          <w:szCs w:val="24"/>
          <w:lang w:val="en-GB"/>
        </w:rPr>
        <w:t>;</w:t>
      </w:r>
      <w:r w:rsidRPr="0028108F">
        <w:rPr>
          <w:rFonts w:ascii="Arial" w:hAnsi="Arial" w:cs="Arial"/>
          <w:szCs w:val="24"/>
          <w:lang w:val="en-GB"/>
        </w:rPr>
        <w:t xml:space="preserve"> for religious purposes (Art 4)</w:t>
      </w:r>
      <w:r w:rsidR="00540F37" w:rsidRPr="0028108F">
        <w:rPr>
          <w:rFonts w:ascii="Arial" w:hAnsi="Arial" w:cs="Arial"/>
          <w:szCs w:val="24"/>
          <w:lang w:val="en-GB"/>
        </w:rPr>
        <w:t>;</w:t>
      </w:r>
      <w:r w:rsidRPr="0028108F">
        <w:rPr>
          <w:rFonts w:ascii="Arial" w:hAnsi="Arial" w:cs="Arial"/>
          <w:szCs w:val="24"/>
          <w:lang w:val="en-GB"/>
        </w:rPr>
        <w:t xml:space="preserve"> </w:t>
      </w:r>
      <w:r w:rsidR="00540F37" w:rsidRPr="0028108F">
        <w:rPr>
          <w:rFonts w:ascii="Arial" w:hAnsi="Arial" w:cs="Arial"/>
          <w:szCs w:val="24"/>
          <w:lang w:val="en-GB"/>
        </w:rPr>
        <w:t>f</w:t>
      </w:r>
      <w:r w:rsidRPr="0028108F">
        <w:rPr>
          <w:rFonts w:ascii="Arial" w:hAnsi="Arial" w:cs="Arial"/>
          <w:szCs w:val="24"/>
          <w:lang w:val="en-GB"/>
        </w:rPr>
        <w:t>or medical purposes (Art 5)</w:t>
      </w:r>
      <w:r w:rsidR="00540F37" w:rsidRPr="0028108F">
        <w:rPr>
          <w:rFonts w:ascii="Arial" w:hAnsi="Arial" w:cs="Arial"/>
          <w:szCs w:val="24"/>
          <w:lang w:val="en-GB"/>
        </w:rPr>
        <w:t>;</w:t>
      </w:r>
      <w:r w:rsidRPr="0028108F">
        <w:rPr>
          <w:rFonts w:ascii="Arial" w:hAnsi="Arial" w:cs="Arial"/>
          <w:szCs w:val="24"/>
          <w:lang w:val="en-GB"/>
        </w:rPr>
        <w:t xml:space="preserve"> by or on behalf of a credit reference agency (Art 6) and disclosure for purposes in relation to insolvency or bankruptcy (Art 7).  It is arguable that the UK’s approach protects the privacy of people </w:t>
      </w:r>
      <w:r w:rsidR="00AC4DDE" w:rsidRPr="0028108F">
        <w:rPr>
          <w:rFonts w:ascii="Arial" w:hAnsi="Arial" w:cs="Arial"/>
          <w:szCs w:val="24"/>
          <w:lang w:val="en-GB"/>
        </w:rPr>
        <w:t>when their</w:t>
      </w:r>
      <w:r w:rsidRPr="0028108F">
        <w:rPr>
          <w:rFonts w:ascii="Arial" w:hAnsi="Arial" w:cs="Arial"/>
          <w:szCs w:val="24"/>
          <w:lang w:val="en-GB"/>
        </w:rPr>
        <w:t xml:space="preserve"> desired gender </w:t>
      </w:r>
      <w:r w:rsidR="00AC4DDE" w:rsidRPr="0028108F">
        <w:rPr>
          <w:rFonts w:ascii="Arial" w:hAnsi="Arial" w:cs="Arial"/>
          <w:szCs w:val="24"/>
          <w:lang w:val="en-GB"/>
        </w:rPr>
        <w:t xml:space="preserve">has </w:t>
      </w:r>
      <w:r w:rsidRPr="0028108F">
        <w:rPr>
          <w:rFonts w:ascii="Arial" w:hAnsi="Arial" w:cs="Arial"/>
          <w:szCs w:val="24"/>
          <w:lang w:val="en-GB"/>
        </w:rPr>
        <w:t>be</w:t>
      </w:r>
      <w:r w:rsidR="00AC4DDE" w:rsidRPr="0028108F">
        <w:rPr>
          <w:rFonts w:ascii="Arial" w:hAnsi="Arial" w:cs="Arial"/>
          <w:szCs w:val="24"/>
          <w:lang w:val="en-GB"/>
        </w:rPr>
        <w:t>en</w:t>
      </w:r>
      <w:r w:rsidRPr="0028108F">
        <w:rPr>
          <w:rFonts w:ascii="Arial" w:hAnsi="Arial" w:cs="Arial"/>
          <w:szCs w:val="24"/>
          <w:lang w:val="en-GB"/>
        </w:rPr>
        <w:t xml:space="preserve"> legally recognised.</w:t>
      </w:r>
    </w:p>
    <w:p w:rsidR="00E5197F" w:rsidRPr="0028108F" w:rsidRDefault="00E5197F"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5197F" w:rsidRPr="0028108F" w:rsidRDefault="00E5197F" w:rsidP="0028108F">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181CF2">
        <w:rPr>
          <w:rFonts w:ascii="Arial" w:hAnsi="Arial" w:cs="Arial"/>
          <w:szCs w:val="24"/>
          <w:lang w:val="en-GB"/>
        </w:rPr>
        <w:t>It has been argued that i</w:t>
      </w:r>
      <w:r w:rsidRPr="00C57CE1">
        <w:rPr>
          <w:rFonts w:ascii="Arial" w:hAnsi="Arial" w:cs="Arial"/>
          <w:szCs w:val="24"/>
          <w:lang w:val="en-GB"/>
        </w:rPr>
        <w:t xml:space="preserve">n </w:t>
      </w:r>
      <w:r w:rsidRPr="0028108F">
        <w:rPr>
          <w:rFonts w:ascii="Arial" w:hAnsi="Arial" w:cs="Arial"/>
          <w:szCs w:val="24"/>
          <w:lang w:val="en-GB"/>
        </w:rPr>
        <w:t xml:space="preserve">circumstances where it is necessary to prove legal gender, it is inappropriate to request production of a GRC, as it is the new birth certificate issued after the granting of a GRC that provides evidence of a person’s legally recognised gender. The Statutory Code of Practice in respect of the Equality Act 2010 </w:t>
      </w:r>
      <w:r w:rsidR="007D3BD5">
        <w:rPr>
          <w:rFonts w:ascii="Arial" w:hAnsi="Arial" w:cs="Arial"/>
          <w:szCs w:val="24"/>
          <w:lang w:val="en-GB"/>
        </w:rPr>
        <w:t xml:space="preserve">issued by the Equality and Human Rights Commission </w:t>
      </w:r>
      <w:r w:rsidRPr="0028108F">
        <w:rPr>
          <w:rFonts w:ascii="Arial" w:hAnsi="Arial" w:cs="Arial"/>
          <w:szCs w:val="24"/>
          <w:lang w:val="en-GB"/>
        </w:rPr>
        <w:t>states:</w:t>
      </w:r>
    </w:p>
    <w:p w:rsidR="00E5197F" w:rsidRPr="0028108F" w:rsidRDefault="00E5197F"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E5197F" w:rsidRPr="00181CF2" w:rsidRDefault="00432470" w:rsidP="008813DE">
      <w:pPr>
        <w:pStyle w:val="ListParagraph"/>
        <w:tabs>
          <w:tab w:val="left" w:pos="1418"/>
          <w:tab w:val="left" w:pos="2552"/>
        </w:tabs>
        <w:autoSpaceDE w:val="0"/>
        <w:autoSpaceDN w:val="0"/>
        <w:adjustRightInd w:val="0"/>
        <w:snapToGrid w:val="0"/>
        <w:ind w:leftChars="354" w:left="850" w:rightChars="212" w:right="509"/>
        <w:jc w:val="both"/>
        <w:rPr>
          <w:rFonts w:ascii="Arial" w:hAnsi="Arial" w:cs="Arial"/>
          <w:szCs w:val="24"/>
          <w:lang w:val="en-GB"/>
        </w:rPr>
      </w:pPr>
      <w:r w:rsidRPr="0028108F">
        <w:rPr>
          <w:rFonts w:ascii="Arial" w:hAnsi="Arial" w:cs="Arial"/>
          <w:i/>
          <w:szCs w:val="24"/>
          <w:lang w:val="en-GB"/>
        </w:rPr>
        <w:t>“</w:t>
      </w:r>
      <w:r w:rsidR="00E5197F" w:rsidRPr="0028108F">
        <w:rPr>
          <w:rFonts w:ascii="Arial" w:hAnsi="Arial" w:cs="Arial"/>
          <w:i/>
          <w:szCs w:val="24"/>
          <w:lang w:val="en-GB"/>
        </w:rPr>
        <w:t>Transsexual people should not be routinely asked to produce their Gender</w:t>
      </w:r>
      <w:r w:rsidRPr="0028108F">
        <w:rPr>
          <w:rFonts w:ascii="Arial" w:hAnsi="Arial" w:cs="Arial"/>
          <w:i/>
          <w:szCs w:val="24"/>
          <w:lang w:val="en-GB"/>
        </w:rPr>
        <w:t xml:space="preserve"> </w:t>
      </w:r>
      <w:r w:rsidR="00E5197F" w:rsidRPr="0028108F">
        <w:rPr>
          <w:rFonts w:ascii="Arial" w:hAnsi="Arial" w:cs="Arial"/>
          <w:i/>
          <w:szCs w:val="24"/>
          <w:lang w:val="en-GB"/>
        </w:rPr>
        <w:t xml:space="preserve">Recognition Certificate as evidence of their legal gender. </w:t>
      </w:r>
      <w:r w:rsidRPr="0028108F">
        <w:rPr>
          <w:rFonts w:ascii="Arial" w:hAnsi="Arial" w:cs="Arial"/>
          <w:i/>
          <w:szCs w:val="24"/>
          <w:lang w:val="en-GB"/>
        </w:rPr>
        <w:t xml:space="preserve"> </w:t>
      </w:r>
      <w:r w:rsidR="00E5197F" w:rsidRPr="0028108F">
        <w:rPr>
          <w:rFonts w:ascii="Arial" w:hAnsi="Arial" w:cs="Arial"/>
          <w:i/>
          <w:szCs w:val="24"/>
          <w:lang w:val="en-GB"/>
        </w:rPr>
        <w:t xml:space="preserve">Such a request would compromise a transsexual person’s right to privacy. </w:t>
      </w:r>
      <w:r w:rsidRPr="0028108F">
        <w:rPr>
          <w:rFonts w:ascii="Arial" w:hAnsi="Arial" w:cs="Arial"/>
          <w:i/>
          <w:szCs w:val="24"/>
          <w:lang w:val="en-GB"/>
        </w:rPr>
        <w:t xml:space="preserve"> </w:t>
      </w:r>
      <w:r w:rsidR="00E5197F" w:rsidRPr="0028108F">
        <w:rPr>
          <w:rFonts w:ascii="Arial" w:hAnsi="Arial" w:cs="Arial"/>
          <w:i/>
          <w:szCs w:val="24"/>
          <w:lang w:val="en-GB"/>
        </w:rPr>
        <w:t>If a service provider</w:t>
      </w:r>
      <w:r w:rsidRPr="0028108F">
        <w:rPr>
          <w:rFonts w:ascii="Arial" w:hAnsi="Arial" w:cs="Arial"/>
          <w:i/>
          <w:szCs w:val="24"/>
          <w:lang w:val="en-GB"/>
        </w:rPr>
        <w:t xml:space="preserve"> </w:t>
      </w:r>
      <w:r w:rsidR="00E5197F" w:rsidRPr="0028108F">
        <w:rPr>
          <w:rFonts w:ascii="Arial" w:hAnsi="Arial" w:cs="Arial"/>
          <w:i/>
          <w:szCs w:val="24"/>
          <w:lang w:val="en-GB"/>
        </w:rPr>
        <w:t>requires proof of a person’s legal gender, then their (new) birth certificate</w:t>
      </w:r>
      <w:r w:rsidRPr="0028108F">
        <w:rPr>
          <w:rFonts w:ascii="Arial" w:hAnsi="Arial" w:cs="Arial"/>
          <w:i/>
          <w:szCs w:val="24"/>
          <w:lang w:val="en-GB"/>
        </w:rPr>
        <w:t xml:space="preserve"> </w:t>
      </w:r>
      <w:r w:rsidR="00E5197F" w:rsidRPr="0028108F">
        <w:rPr>
          <w:rFonts w:ascii="Arial" w:hAnsi="Arial" w:cs="Arial"/>
          <w:i/>
          <w:szCs w:val="24"/>
          <w:lang w:val="en-GB"/>
        </w:rPr>
        <w:t>should be sufficient confirmation.</w:t>
      </w:r>
      <w:r w:rsidRPr="0028108F">
        <w:rPr>
          <w:rFonts w:ascii="Arial" w:hAnsi="Arial" w:cs="Arial"/>
          <w:i/>
          <w:szCs w:val="24"/>
          <w:lang w:val="en-GB"/>
        </w:rPr>
        <w:t>”</w:t>
      </w:r>
      <w:r w:rsidRPr="00181CF2">
        <w:rPr>
          <w:rStyle w:val="FootnoteReference"/>
          <w:rFonts w:ascii="Arial" w:hAnsi="Arial" w:cs="Arial"/>
          <w:i/>
          <w:szCs w:val="24"/>
          <w:lang w:val="en-GB"/>
        </w:rPr>
        <w:footnoteReference w:id="840"/>
      </w:r>
    </w:p>
    <w:p w:rsidR="001544FD" w:rsidRPr="00C57CE1" w:rsidRDefault="001544FD" w:rsidP="001544FD">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181CF2" w:rsidRDefault="001544FD"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 xml:space="preserve">The right to privacy for Hong Kong </w:t>
      </w:r>
      <w:r w:rsidR="007D3BD5">
        <w:rPr>
          <w:rFonts w:ascii="Arial" w:hAnsi="Arial" w:cs="Arial"/>
          <w:szCs w:val="24"/>
          <w:lang w:val="en-GB"/>
        </w:rPr>
        <w:t xml:space="preserve">people </w:t>
      </w:r>
      <w:r w:rsidRPr="0028108F">
        <w:rPr>
          <w:rFonts w:ascii="Arial" w:hAnsi="Arial" w:cs="Arial"/>
          <w:szCs w:val="24"/>
          <w:lang w:val="en-GB"/>
        </w:rPr>
        <w:t>is guaranteed under Article 14 of the HKBOR.  As noted by Lisa Mottet, policymakers</w:t>
      </w:r>
      <w:r w:rsidR="00AC4DDE" w:rsidRPr="0028108F">
        <w:rPr>
          <w:rFonts w:ascii="Arial" w:hAnsi="Arial" w:cs="Arial"/>
          <w:szCs w:val="24"/>
          <w:lang w:val="en-GB"/>
        </w:rPr>
        <w:t>,</w:t>
      </w:r>
      <w:r w:rsidRPr="0028108F">
        <w:rPr>
          <w:rFonts w:ascii="Arial" w:hAnsi="Arial" w:cs="Arial"/>
          <w:szCs w:val="24"/>
          <w:lang w:val="en-GB"/>
        </w:rPr>
        <w:t xml:space="preserve"> in considering a policy related to privacy of transgender persons</w:t>
      </w:r>
      <w:r w:rsidR="00AC4DDE" w:rsidRPr="0028108F">
        <w:rPr>
          <w:rFonts w:ascii="Arial" w:hAnsi="Arial" w:cs="Arial"/>
          <w:szCs w:val="24"/>
          <w:lang w:val="en-GB"/>
        </w:rPr>
        <w:t>,</w:t>
      </w:r>
      <w:r w:rsidRPr="0028108F">
        <w:rPr>
          <w:rFonts w:ascii="Arial" w:hAnsi="Arial" w:cs="Arial"/>
          <w:szCs w:val="24"/>
          <w:lang w:val="en-GB"/>
        </w:rPr>
        <w:t xml:space="preserve"> should “</w:t>
      </w:r>
      <w:r w:rsidRPr="0028108F">
        <w:rPr>
          <w:rFonts w:ascii="Arial" w:hAnsi="Arial" w:cs="Arial"/>
          <w:i/>
          <w:szCs w:val="24"/>
          <w:lang w:val="en-GB"/>
        </w:rPr>
        <w:t>consider the impact of government disclosure on transgender people as well as constitutional privacy rights that may be implicated</w:t>
      </w:r>
      <w:r w:rsidRPr="0028108F">
        <w:rPr>
          <w:rFonts w:ascii="Arial" w:hAnsi="Arial" w:cs="Arial"/>
          <w:szCs w:val="24"/>
          <w:lang w:val="en-GB"/>
        </w:rPr>
        <w:t xml:space="preserve">” and a </w:t>
      </w:r>
      <w:r w:rsidR="00AC4DDE" w:rsidRPr="0028108F">
        <w:rPr>
          <w:rFonts w:ascii="Arial" w:hAnsi="Arial" w:cs="Arial"/>
          <w:szCs w:val="24"/>
          <w:lang w:val="en-GB"/>
        </w:rPr>
        <w:t>s</w:t>
      </w:r>
      <w:r w:rsidR="00F566FE" w:rsidRPr="0028108F">
        <w:rPr>
          <w:rFonts w:ascii="Arial" w:hAnsi="Arial" w:cs="Arial"/>
          <w:szCs w:val="24"/>
          <w:lang w:val="en-GB"/>
        </w:rPr>
        <w:t xml:space="preserve">tate </w:t>
      </w:r>
      <w:r w:rsidRPr="0028108F">
        <w:rPr>
          <w:rFonts w:ascii="Arial" w:hAnsi="Arial" w:cs="Arial"/>
          <w:szCs w:val="24"/>
          <w:lang w:val="en-GB"/>
        </w:rPr>
        <w:t>may be “</w:t>
      </w:r>
      <w:r w:rsidRPr="0028108F">
        <w:rPr>
          <w:rFonts w:ascii="Arial" w:hAnsi="Arial" w:cs="Arial"/>
          <w:i/>
          <w:szCs w:val="24"/>
          <w:lang w:val="en-GB"/>
        </w:rPr>
        <w:t>violating an individual’s right to privacy if it reveals information regarding a person’s gender assigned at birth, gender transition, or transgender status.</w:t>
      </w:r>
      <w:r w:rsidRPr="0028108F">
        <w:rPr>
          <w:rFonts w:ascii="Arial" w:hAnsi="Arial" w:cs="Arial"/>
          <w:szCs w:val="24"/>
          <w:lang w:val="en-GB"/>
        </w:rPr>
        <w:t>”</w:t>
      </w:r>
      <w:r w:rsidRPr="00181CF2">
        <w:rPr>
          <w:rStyle w:val="FootnoteReference"/>
          <w:rFonts w:ascii="Arial" w:hAnsi="Arial" w:cs="Arial"/>
          <w:szCs w:val="24"/>
          <w:lang w:val="en-GB"/>
        </w:rPr>
        <w:footnoteReference w:id="841"/>
      </w:r>
      <w:r w:rsidRPr="00181CF2">
        <w:rPr>
          <w:rFonts w:ascii="Arial" w:hAnsi="Arial" w:cs="Arial"/>
          <w:szCs w:val="24"/>
          <w:lang w:val="en-GB"/>
        </w:rPr>
        <w:t xml:space="preserve">  </w:t>
      </w:r>
    </w:p>
    <w:p w:rsidR="001544FD" w:rsidRPr="00C57CE1" w:rsidRDefault="001544FD"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1544FD" w:rsidRPr="00181CF2" w:rsidRDefault="001544FD"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szCs w:val="24"/>
          <w:lang w:val="en-GB"/>
        </w:rPr>
        <w:t>Given the risk of violence and discrimination that comes with being known as transgender,</w:t>
      </w:r>
      <w:r w:rsidRPr="0028108F" w:rsidDel="00F41AA2">
        <w:rPr>
          <w:rFonts w:ascii="Arial" w:hAnsi="Arial" w:cs="Arial"/>
          <w:szCs w:val="24"/>
          <w:lang w:val="en-GB"/>
        </w:rPr>
        <w:t xml:space="preserve"> </w:t>
      </w:r>
      <w:r w:rsidRPr="0028108F">
        <w:rPr>
          <w:rFonts w:ascii="Arial" w:hAnsi="Arial" w:cs="Arial"/>
          <w:szCs w:val="24"/>
          <w:lang w:val="en-GB"/>
        </w:rPr>
        <w:t>Lisa Mottet observed that some people desire to keep information about their transgender status limited to only those whom they choose to tell and “</w:t>
      </w:r>
      <w:r w:rsidRPr="0028108F">
        <w:rPr>
          <w:rFonts w:ascii="Arial" w:hAnsi="Arial" w:cs="Arial"/>
          <w:i/>
          <w:szCs w:val="24"/>
          <w:lang w:val="en-GB"/>
        </w:rPr>
        <w:t>[e]ven if the risk of violence is not present, being able to decide with whom and when to have a ‘coming out’ conversation should be a matter of individual choice.</w:t>
      </w:r>
      <w:r w:rsidRPr="0028108F">
        <w:rPr>
          <w:rFonts w:ascii="Arial" w:hAnsi="Arial" w:cs="Arial"/>
          <w:szCs w:val="24"/>
          <w:lang w:val="en-GB"/>
        </w:rPr>
        <w:t>”</w:t>
      </w:r>
      <w:r w:rsidRPr="00181CF2">
        <w:rPr>
          <w:rStyle w:val="FootnoteReference"/>
          <w:rFonts w:ascii="Arial" w:hAnsi="Arial" w:cs="Arial"/>
          <w:szCs w:val="24"/>
          <w:lang w:val="en-GB"/>
        </w:rPr>
        <w:footnoteReference w:id="842"/>
      </w:r>
    </w:p>
    <w:p w:rsidR="00C82E42" w:rsidRPr="0028108F" w:rsidRDefault="00C82E42" w:rsidP="0028108F">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432470" w:rsidRPr="0028108F" w:rsidRDefault="00C82E42"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181CF2">
        <w:rPr>
          <w:rFonts w:ascii="Arial" w:hAnsi="Arial" w:cs="Arial"/>
          <w:szCs w:val="24"/>
          <w:lang w:val="en-GB"/>
        </w:rPr>
        <w:t>However, there migh</w:t>
      </w:r>
      <w:r w:rsidRPr="00C57CE1">
        <w:rPr>
          <w:rFonts w:ascii="Arial" w:hAnsi="Arial" w:cs="Arial"/>
          <w:szCs w:val="24"/>
          <w:lang w:val="en-GB"/>
        </w:rPr>
        <w:t>t be situation</w:t>
      </w:r>
      <w:r w:rsidR="00CD682B" w:rsidRPr="0028108F">
        <w:rPr>
          <w:rFonts w:ascii="Arial" w:hAnsi="Arial" w:cs="Arial"/>
          <w:szCs w:val="24"/>
          <w:lang w:val="en-GB"/>
        </w:rPr>
        <w:t>s</w:t>
      </w:r>
      <w:r w:rsidRPr="0028108F">
        <w:rPr>
          <w:rFonts w:ascii="Arial" w:hAnsi="Arial" w:cs="Arial"/>
          <w:szCs w:val="24"/>
          <w:lang w:val="en-GB"/>
        </w:rPr>
        <w:t xml:space="preserve"> where a transgender person’s gender history is important and its revelation would </w:t>
      </w:r>
      <w:r w:rsidR="00ED3384" w:rsidRPr="0028108F">
        <w:rPr>
          <w:rFonts w:ascii="Arial" w:hAnsi="Arial" w:cs="Arial"/>
          <w:szCs w:val="24"/>
          <w:lang w:val="en-GB"/>
        </w:rPr>
        <w:t>be necessary for legal or policy reasons or for the sake of the public interest</w:t>
      </w:r>
      <w:r w:rsidR="00AC4DDE" w:rsidRPr="0028108F">
        <w:rPr>
          <w:rFonts w:ascii="Arial" w:hAnsi="Arial" w:cs="Arial"/>
          <w:szCs w:val="24"/>
          <w:lang w:val="en-GB"/>
        </w:rPr>
        <w:t>,</w:t>
      </w:r>
      <w:r w:rsidR="00432470" w:rsidRPr="0028108F">
        <w:rPr>
          <w:rFonts w:ascii="Arial" w:hAnsi="Arial" w:cs="Arial"/>
          <w:szCs w:val="24"/>
          <w:lang w:val="en-GB"/>
        </w:rPr>
        <w:t xml:space="preserve"> even though the consent for disclosure of the person concerned is not obtained</w:t>
      </w:r>
      <w:r w:rsidR="00ED3384" w:rsidRPr="0028108F">
        <w:rPr>
          <w:rFonts w:ascii="Arial" w:hAnsi="Arial" w:cs="Arial"/>
          <w:szCs w:val="24"/>
          <w:lang w:val="en-GB"/>
        </w:rPr>
        <w:t xml:space="preserve">.  For instance, non-disclosure of a person’s transgender status to his or her spouse before their marriage might impair validity of consent. </w:t>
      </w:r>
      <w:r w:rsidR="00ED3384" w:rsidRPr="0028108F">
        <w:rPr>
          <w:rStyle w:val="apple-converted-space"/>
          <w:rFonts w:ascii="Arial" w:hAnsi="Arial" w:cs="Arial"/>
          <w:color w:val="0A0A0A"/>
          <w:shd w:val="clear" w:color="auto" w:fill="FFFFFF"/>
        </w:rPr>
        <w:t> </w:t>
      </w:r>
      <w:r w:rsidR="00ED3384" w:rsidRPr="0028108F">
        <w:rPr>
          <w:rFonts w:ascii="Arial" w:hAnsi="Arial" w:cs="Arial"/>
          <w:color w:val="0A0A0A"/>
          <w:shd w:val="clear" w:color="auto" w:fill="FFFFFF"/>
        </w:rPr>
        <w:t xml:space="preserve">The information </w:t>
      </w:r>
      <w:r w:rsidR="00AC4DDE" w:rsidRPr="0028108F">
        <w:rPr>
          <w:rFonts w:ascii="Arial" w:hAnsi="Arial" w:cs="Arial"/>
          <w:color w:val="0A0A0A"/>
          <w:shd w:val="clear" w:color="auto" w:fill="FFFFFF"/>
        </w:rPr>
        <w:t>on</w:t>
      </w:r>
      <w:r w:rsidR="00ED3384" w:rsidRPr="0028108F">
        <w:rPr>
          <w:rFonts w:ascii="Arial" w:hAnsi="Arial" w:cs="Arial"/>
          <w:color w:val="0A0A0A"/>
          <w:shd w:val="clear" w:color="auto" w:fill="FFFFFF"/>
        </w:rPr>
        <w:t xml:space="preserve"> gender history might be required for the prevention or investigation of a crime.  Such information might also be needed by medical professionals at a time when the transgender person is too ill to be able to provide consent.  </w:t>
      </w:r>
      <w:r w:rsidR="00432470" w:rsidRPr="0028108F">
        <w:rPr>
          <w:rFonts w:ascii="Arial" w:hAnsi="Arial" w:cs="Arial"/>
          <w:color w:val="0A0A0A"/>
          <w:shd w:val="clear" w:color="auto" w:fill="FFFFFF"/>
        </w:rPr>
        <w:t xml:space="preserve">A person’s gender history would be needed to claim an inheritance where he/she is named in a will in his/her former identity.  </w:t>
      </w:r>
    </w:p>
    <w:p w:rsidR="00432470" w:rsidRPr="0028108F" w:rsidRDefault="00432470" w:rsidP="0028108F">
      <w:pPr>
        <w:pStyle w:val="ListParagraph"/>
        <w:tabs>
          <w:tab w:val="left" w:pos="1418"/>
          <w:tab w:val="left" w:pos="2552"/>
        </w:tabs>
        <w:autoSpaceDE w:val="0"/>
        <w:autoSpaceDN w:val="0"/>
        <w:adjustRightInd w:val="0"/>
        <w:snapToGrid w:val="0"/>
        <w:ind w:leftChars="0" w:left="0"/>
        <w:jc w:val="both"/>
        <w:rPr>
          <w:rFonts w:ascii="Arial" w:hAnsi="Arial" w:cs="Arial"/>
          <w:color w:val="0A0A0A"/>
          <w:shd w:val="clear" w:color="auto" w:fill="FFFFFF"/>
        </w:rPr>
      </w:pPr>
    </w:p>
    <w:p w:rsidR="00C82E42" w:rsidRPr="0028108F" w:rsidRDefault="00A81EBF" w:rsidP="001544F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szCs w:val="24"/>
          <w:lang w:val="en-GB"/>
        </w:rPr>
      </w:pPr>
      <w:r w:rsidRPr="0028108F">
        <w:rPr>
          <w:rFonts w:ascii="Arial" w:hAnsi="Arial" w:cs="Arial"/>
          <w:color w:val="0A0A0A"/>
          <w:shd w:val="clear" w:color="auto" w:fill="FFFFFF"/>
        </w:rPr>
        <w:t xml:space="preserve">The list </w:t>
      </w:r>
      <w:r w:rsidR="00AC4DDE" w:rsidRPr="0028108F">
        <w:rPr>
          <w:rFonts w:ascii="Arial" w:hAnsi="Arial" w:cs="Arial"/>
          <w:color w:val="0A0A0A"/>
          <w:shd w:val="clear" w:color="auto" w:fill="FFFFFF"/>
        </w:rPr>
        <w:t xml:space="preserve">above </w:t>
      </w:r>
      <w:r w:rsidRPr="0028108F">
        <w:rPr>
          <w:rFonts w:ascii="Arial" w:hAnsi="Arial" w:cs="Arial"/>
          <w:color w:val="0A0A0A"/>
          <w:shd w:val="clear" w:color="auto" w:fill="FFFFFF"/>
        </w:rPr>
        <w:t xml:space="preserve">of these matters is not exhaustive.  </w:t>
      </w:r>
      <w:r w:rsidR="00E638A6" w:rsidRPr="0028108F">
        <w:rPr>
          <w:rFonts w:ascii="Arial" w:hAnsi="Arial" w:cs="Arial"/>
          <w:color w:val="0A0A0A"/>
          <w:shd w:val="clear" w:color="auto" w:fill="FFFFFF"/>
        </w:rPr>
        <w:t xml:space="preserve">Giving exemptions for disclosure of people’s transgender status should be balanced against </w:t>
      </w:r>
      <w:r w:rsidR="00154985" w:rsidRPr="0028108F">
        <w:rPr>
          <w:rFonts w:ascii="Arial" w:hAnsi="Arial" w:cs="Arial"/>
          <w:color w:val="0A0A0A"/>
          <w:shd w:val="clear" w:color="auto" w:fill="FFFFFF"/>
        </w:rPr>
        <w:t xml:space="preserve">other policy rationales and </w:t>
      </w:r>
      <w:r w:rsidR="00E638A6" w:rsidRPr="0028108F">
        <w:rPr>
          <w:rFonts w:ascii="Arial" w:hAnsi="Arial" w:cs="Arial"/>
          <w:color w:val="0A0A0A"/>
          <w:shd w:val="clear" w:color="auto" w:fill="FFFFFF"/>
        </w:rPr>
        <w:t xml:space="preserve">the potential abuse of keeping such information confidential.  </w:t>
      </w:r>
      <w:r w:rsidRPr="0028108F">
        <w:rPr>
          <w:rFonts w:ascii="Arial" w:hAnsi="Arial" w:cs="Arial"/>
          <w:color w:val="0A0A0A"/>
          <w:shd w:val="clear" w:color="auto" w:fill="FFFFFF"/>
        </w:rPr>
        <w:t>It appears to be necessary to conduct a thorough study on the existing law under which disclosure of a transgender person’s gender history might be relevant.</w:t>
      </w:r>
    </w:p>
    <w:p w:rsidR="00287BB6" w:rsidRPr="00181CF2" w:rsidRDefault="00287BB6"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287BB6" w:rsidRPr="00C57CE1" w:rsidRDefault="00287BB6"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287BB6" w:rsidRPr="0028108F" w:rsidRDefault="00287BB6" w:rsidP="0028108F">
      <w:pPr>
        <w:pStyle w:val="ListParagraph"/>
        <w:ind w:leftChars="0" w:left="0"/>
        <w:rPr>
          <w:rFonts w:ascii="Arial" w:hAnsi="Arial" w:cs="Arial"/>
          <w:szCs w:val="24"/>
          <w:lang w:val="en-GB"/>
        </w:rPr>
      </w:pPr>
      <w:r w:rsidRPr="0028108F">
        <w:rPr>
          <w:rFonts w:ascii="Arial" w:hAnsi="Arial" w:cs="Arial"/>
          <w:b/>
          <w:sz w:val="28"/>
          <w:szCs w:val="28"/>
          <w:lang w:val="en-GB"/>
        </w:rPr>
        <w:t>Concluding remarks</w:t>
      </w:r>
    </w:p>
    <w:p w:rsidR="00287BB6" w:rsidRPr="0028108F" w:rsidRDefault="00287BB6" w:rsidP="008813DE">
      <w:pPr>
        <w:pStyle w:val="ListParagraph"/>
        <w:tabs>
          <w:tab w:val="left" w:pos="1418"/>
          <w:tab w:val="left" w:pos="2552"/>
        </w:tabs>
        <w:autoSpaceDE w:val="0"/>
        <w:autoSpaceDN w:val="0"/>
        <w:adjustRightInd w:val="0"/>
        <w:snapToGrid w:val="0"/>
        <w:ind w:leftChars="0" w:left="0"/>
        <w:jc w:val="both"/>
        <w:rPr>
          <w:rFonts w:ascii="Arial" w:hAnsi="Arial" w:cs="Arial"/>
          <w:szCs w:val="24"/>
          <w:lang w:val="en-GB"/>
        </w:rPr>
      </w:pPr>
    </w:p>
    <w:p w:rsidR="004506FA" w:rsidRPr="0028108F" w:rsidRDefault="00453260" w:rsidP="002B6B0D">
      <w:pPr>
        <w:pStyle w:val="ListParagraph"/>
        <w:numPr>
          <w:ilvl w:val="0"/>
          <w:numId w:val="106"/>
        </w:numPr>
        <w:tabs>
          <w:tab w:val="left" w:pos="1418"/>
          <w:tab w:val="left" w:pos="2552"/>
        </w:tabs>
        <w:autoSpaceDE w:val="0"/>
        <w:autoSpaceDN w:val="0"/>
        <w:adjustRightInd w:val="0"/>
        <w:snapToGrid w:val="0"/>
        <w:ind w:leftChars="0" w:left="0" w:firstLine="0"/>
        <w:jc w:val="both"/>
        <w:rPr>
          <w:rFonts w:ascii="Arial" w:hAnsi="Arial" w:cs="Arial"/>
          <w:b/>
          <w:sz w:val="32"/>
          <w:szCs w:val="32"/>
          <w:lang w:val="en-GB"/>
        </w:rPr>
      </w:pPr>
      <w:r w:rsidRPr="0028108F">
        <w:rPr>
          <w:rFonts w:ascii="Arial" w:hAnsi="Arial" w:cs="Arial"/>
          <w:szCs w:val="24"/>
          <w:lang w:val="en-GB"/>
        </w:rPr>
        <w:t xml:space="preserve">Birth registration is part of a complex system of the existing registers maintained by the government.  </w:t>
      </w:r>
      <w:r w:rsidR="002805B8" w:rsidRPr="0028108F">
        <w:rPr>
          <w:rFonts w:ascii="Arial" w:hAnsi="Arial" w:cs="Arial"/>
          <w:szCs w:val="24"/>
          <w:lang w:val="en-GB"/>
        </w:rPr>
        <w:t xml:space="preserve">Privacy of personal data is another </w:t>
      </w:r>
      <w:r w:rsidR="00C82E42" w:rsidRPr="0028108F">
        <w:rPr>
          <w:rFonts w:ascii="Arial" w:hAnsi="Arial" w:cs="Arial"/>
          <w:szCs w:val="24"/>
          <w:lang w:val="en-GB"/>
        </w:rPr>
        <w:t xml:space="preserve">sensitive </w:t>
      </w:r>
      <w:r w:rsidR="002805B8" w:rsidRPr="0028108F">
        <w:rPr>
          <w:rFonts w:ascii="Arial" w:hAnsi="Arial" w:cs="Arial"/>
          <w:szCs w:val="24"/>
          <w:lang w:val="en-GB"/>
        </w:rPr>
        <w:t xml:space="preserve">matter that warrants careful scrutiny before a policy decision is made to change the existing law.  </w:t>
      </w:r>
      <w:r w:rsidRPr="0028108F">
        <w:rPr>
          <w:rFonts w:ascii="Arial" w:hAnsi="Arial" w:cs="Arial"/>
          <w:szCs w:val="24"/>
          <w:lang w:val="en-GB"/>
        </w:rPr>
        <w:t>As such,</w:t>
      </w:r>
      <w:r w:rsidR="00CB67C6">
        <w:rPr>
          <w:rFonts w:ascii="Arial" w:hAnsi="Arial" w:cs="Arial" w:hint="eastAsia"/>
          <w:szCs w:val="24"/>
          <w:lang w:val="en-GB"/>
        </w:rPr>
        <w:t xml:space="preserve"> with regard to the issues of amending birth certificates </w:t>
      </w:r>
      <w:r w:rsidR="00CB67C6">
        <w:rPr>
          <w:rFonts w:ascii="Arial" w:hAnsi="Arial" w:cs="Arial"/>
          <w:szCs w:val="24"/>
          <w:lang w:val="en-GB"/>
        </w:rPr>
        <w:t>following</w:t>
      </w:r>
      <w:r w:rsidR="00CB67C6">
        <w:rPr>
          <w:rFonts w:ascii="Arial" w:hAnsi="Arial" w:cs="Arial" w:hint="eastAsia"/>
          <w:szCs w:val="24"/>
          <w:lang w:val="en-GB"/>
        </w:rPr>
        <w:t xml:space="preserve"> gender recognition and disclosure of gender history,</w:t>
      </w:r>
      <w:r w:rsidRPr="0028108F">
        <w:rPr>
          <w:rFonts w:ascii="Arial" w:hAnsi="Arial" w:cs="Arial"/>
          <w:szCs w:val="24"/>
          <w:lang w:val="en-GB"/>
        </w:rPr>
        <w:t xml:space="preserve"> </w:t>
      </w:r>
      <w:r w:rsidR="002805B8" w:rsidRPr="0028108F">
        <w:rPr>
          <w:rFonts w:ascii="Arial" w:hAnsi="Arial" w:cs="Arial"/>
          <w:szCs w:val="24"/>
          <w:lang w:val="en-GB"/>
        </w:rPr>
        <w:t>the</w:t>
      </w:r>
      <w:r w:rsidRPr="0028108F">
        <w:rPr>
          <w:rFonts w:ascii="Arial" w:hAnsi="Arial" w:cs="Arial"/>
          <w:szCs w:val="24"/>
          <w:lang w:val="en-GB"/>
        </w:rPr>
        <w:t xml:space="preserve"> rationale and coherency </w:t>
      </w:r>
      <w:r w:rsidR="002805B8" w:rsidRPr="0028108F">
        <w:rPr>
          <w:rFonts w:ascii="Arial" w:hAnsi="Arial" w:cs="Arial"/>
          <w:szCs w:val="24"/>
          <w:lang w:val="en-GB"/>
        </w:rPr>
        <w:t xml:space="preserve">of birth records and </w:t>
      </w:r>
      <w:r w:rsidR="00CD682B" w:rsidRPr="0028108F">
        <w:rPr>
          <w:rFonts w:ascii="Arial" w:hAnsi="Arial" w:cs="Arial"/>
          <w:szCs w:val="24"/>
          <w:lang w:val="en-GB"/>
        </w:rPr>
        <w:t xml:space="preserve">the </w:t>
      </w:r>
      <w:r w:rsidR="002805B8" w:rsidRPr="0028108F">
        <w:rPr>
          <w:rFonts w:ascii="Arial" w:hAnsi="Arial" w:cs="Arial"/>
          <w:szCs w:val="24"/>
          <w:lang w:val="en-GB"/>
        </w:rPr>
        <w:t xml:space="preserve">privacy </w:t>
      </w:r>
      <w:r w:rsidR="00CD682B" w:rsidRPr="0028108F">
        <w:rPr>
          <w:rFonts w:ascii="Arial" w:hAnsi="Arial" w:cs="Arial"/>
          <w:szCs w:val="24"/>
          <w:lang w:val="en-GB"/>
        </w:rPr>
        <w:t xml:space="preserve">law </w:t>
      </w:r>
      <w:r w:rsidRPr="0028108F">
        <w:rPr>
          <w:rFonts w:ascii="Arial" w:hAnsi="Arial" w:cs="Arial"/>
          <w:szCs w:val="24"/>
          <w:lang w:val="en-GB"/>
        </w:rPr>
        <w:t>should be reviewed before any actual solutions are proposed.  T</w:t>
      </w:r>
      <w:r w:rsidR="002805B8" w:rsidRPr="0028108F">
        <w:rPr>
          <w:rFonts w:ascii="Arial" w:hAnsi="Arial" w:cs="Arial"/>
          <w:szCs w:val="24"/>
          <w:lang w:val="en-GB"/>
        </w:rPr>
        <w:t>hese matters</w:t>
      </w:r>
      <w:r w:rsidRPr="0028108F">
        <w:rPr>
          <w:rFonts w:ascii="Arial" w:hAnsi="Arial" w:cs="Arial"/>
          <w:szCs w:val="24"/>
          <w:lang w:val="en-GB"/>
        </w:rPr>
        <w:t xml:space="preserve"> </w:t>
      </w:r>
      <w:r w:rsidR="002805B8" w:rsidRPr="0028108F">
        <w:rPr>
          <w:rFonts w:ascii="Arial" w:hAnsi="Arial" w:cs="Arial"/>
          <w:szCs w:val="24"/>
          <w:lang w:val="en-GB"/>
        </w:rPr>
        <w:t>are</w:t>
      </w:r>
      <w:r w:rsidRPr="0028108F">
        <w:rPr>
          <w:rFonts w:ascii="Arial" w:hAnsi="Arial" w:cs="Arial"/>
          <w:szCs w:val="24"/>
          <w:lang w:val="en-GB"/>
        </w:rPr>
        <w:t xml:space="preserve"> </w:t>
      </w:r>
      <w:r w:rsidR="00287BB6" w:rsidRPr="0028108F">
        <w:rPr>
          <w:rFonts w:ascii="Arial" w:hAnsi="Arial" w:cs="Arial"/>
          <w:szCs w:val="24"/>
          <w:lang w:val="en-GB"/>
        </w:rPr>
        <w:t xml:space="preserve">to be </w:t>
      </w:r>
      <w:r w:rsidRPr="0028108F">
        <w:rPr>
          <w:rFonts w:ascii="Arial" w:hAnsi="Arial" w:cs="Arial"/>
          <w:szCs w:val="24"/>
          <w:lang w:val="en-GB"/>
        </w:rPr>
        <w:t xml:space="preserve">covered in the second part of the IWG’s study on Post-Recognition Issues.  We nevertheless </w:t>
      </w:r>
      <w:r w:rsidR="005E6528">
        <w:rPr>
          <w:rFonts w:ascii="Arial" w:hAnsi="Arial" w:cs="Arial"/>
          <w:szCs w:val="24"/>
          <w:lang w:val="en-GB"/>
        </w:rPr>
        <w:t>invite</w:t>
      </w:r>
      <w:r w:rsidRPr="0028108F">
        <w:rPr>
          <w:rFonts w:ascii="Arial" w:hAnsi="Arial" w:cs="Arial"/>
          <w:szCs w:val="24"/>
          <w:lang w:val="en-GB"/>
        </w:rPr>
        <w:t xml:space="preserve"> views from the public on whether to allow the gender marker on a transgender person’s birth certificate to be altered following gender recognition</w:t>
      </w:r>
      <w:r w:rsidR="00A81EBF" w:rsidRPr="0028108F">
        <w:rPr>
          <w:rFonts w:ascii="Arial" w:hAnsi="Arial" w:cs="Arial"/>
          <w:szCs w:val="24"/>
          <w:lang w:val="en-GB"/>
        </w:rPr>
        <w:t xml:space="preserve">, and whether a successful applicant’s gender history </w:t>
      </w:r>
      <w:r w:rsidR="00287BB6" w:rsidRPr="0028108F">
        <w:rPr>
          <w:rFonts w:ascii="Arial" w:hAnsi="Arial" w:cs="Arial"/>
          <w:szCs w:val="24"/>
          <w:lang w:val="en-GB"/>
        </w:rPr>
        <w:t>could be</w:t>
      </w:r>
      <w:r w:rsidR="00A81EBF" w:rsidRPr="0028108F">
        <w:rPr>
          <w:rFonts w:ascii="Arial" w:hAnsi="Arial" w:cs="Arial"/>
          <w:szCs w:val="24"/>
          <w:lang w:val="en-GB"/>
        </w:rPr>
        <w:t xml:space="preserve"> allowed to be searched or disclosed on certain circumstances</w:t>
      </w:r>
      <w:r w:rsidRPr="0028108F">
        <w:rPr>
          <w:rFonts w:ascii="Arial" w:hAnsi="Arial" w:cs="Arial"/>
          <w:szCs w:val="24"/>
          <w:lang w:val="en-GB"/>
        </w:rPr>
        <w:t>.</w:t>
      </w:r>
    </w:p>
    <w:p w:rsidR="005266B3" w:rsidRPr="0028108F" w:rsidRDefault="005266B3">
      <w:pPr>
        <w:widowControl/>
        <w:rPr>
          <w:rFonts w:ascii="Arial" w:hAnsi="Arial" w:cs="Arial"/>
          <w:b/>
          <w:sz w:val="32"/>
          <w:szCs w:val="32"/>
          <w:lang w:val="en-GB"/>
        </w:rPr>
      </w:pPr>
      <w:r w:rsidRPr="0028108F">
        <w:rPr>
          <w:rFonts w:ascii="Arial" w:hAnsi="Arial" w:cs="Arial"/>
          <w:b/>
          <w:sz w:val="32"/>
          <w:szCs w:val="32"/>
          <w:lang w:val="en-GB"/>
        </w:rPr>
        <w:br w:type="page"/>
      </w:r>
    </w:p>
    <w:p w:rsidR="005266B3" w:rsidRPr="00181CF2" w:rsidRDefault="005266B3" w:rsidP="005266B3">
      <w:pPr>
        <w:adjustRightInd w:val="0"/>
        <w:snapToGrid w:val="0"/>
        <w:jc w:val="both"/>
        <w:rPr>
          <w:rFonts w:ascii="Arial" w:hAnsi="Arial" w:cs="Arial"/>
          <w:b/>
          <w:sz w:val="32"/>
          <w:szCs w:val="32"/>
          <w:lang w:val="en-GB"/>
        </w:rPr>
      </w:pPr>
      <w:r w:rsidRPr="0028108F">
        <w:rPr>
          <w:rFonts w:ascii="Arial" w:hAnsi="Arial" w:cs="Arial"/>
          <w:b/>
          <w:sz w:val="32"/>
          <w:szCs w:val="32"/>
          <w:lang w:val="en-GB"/>
        </w:rPr>
        <w:t>CHAPTER 10</w:t>
      </w:r>
    </w:p>
    <w:p w:rsidR="005266B3" w:rsidRPr="00C57CE1" w:rsidRDefault="005266B3" w:rsidP="005266B3">
      <w:pPr>
        <w:adjustRightInd w:val="0"/>
        <w:snapToGrid w:val="0"/>
        <w:jc w:val="both"/>
        <w:rPr>
          <w:rFonts w:ascii="Arial" w:hAnsi="Arial" w:cs="Arial"/>
          <w:b/>
          <w:sz w:val="32"/>
          <w:szCs w:val="32"/>
          <w:lang w:val="en-GB"/>
        </w:rPr>
      </w:pPr>
    </w:p>
    <w:p w:rsidR="005266B3" w:rsidRPr="0028108F" w:rsidRDefault="005266B3" w:rsidP="005266B3">
      <w:pPr>
        <w:adjustRightInd w:val="0"/>
        <w:snapToGrid w:val="0"/>
        <w:jc w:val="both"/>
        <w:rPr>
          <w:rFonts w:ascii="Arial" w:hAnsi="Arial" w:cs="Arial"/>
          <w:b/>
          <w:sz w:val="32"/>
          <w:szCs w:val="32"/>
          <w:lang w:val="en-GB"/>
        </w:rPr>
      </w:pPr>
      <w:r w:rsidRPr="0028108F">
        <w:rPr>
          <w:rFonts w:ascii="Arial" w:hAnsi="Arial" w:cs="Arial"/>
          <w:b/>
          <w:sz w:val="32"/>
          <w:szCs w:val="32"/>
          <w:lang w:val="en-GB"/>
        </w:rPr>
        <w:t>SUMMARY OF ISSUES FOR CONSULTATION</w:t>
      </w:r>
    </w:p>
    <w:p w:rsidR="005266B3" w:rsidRPr="0028108F" w:rsidRDefault="005266B3" w:rsidP="005266B3">
      <w:pPr>
        <w:adjustRightInd w:val="0"/>
        <w:snapToGrid w:val="0"/>
        <w:jc w:val="both"/>
        <w:rPr>
          <w:rFonts w:ascii="Arial" w:hAnsi="Arial" w:cs="Arial"/>
          <w:b/>
          <w:sz w:val="32"/>
          <w:szCs w:val="32"/>
          <w:lang w:val="en-GB"/>
        </w:rPr>
      </w:pPr>
      <w:r w:rsidRPr="0028108F">
        <w:rPr>
          <w:rFonts w:ascii="Arial" w:hAnsi="Arial" w:cs="Arial"/>
          <w:b/>
          <w:sz w:val="32"/>
          <w:szCs w:val="32"/>
          <w:lang w:val="en-GB"/>
        </w:rPr>
        <w:t>______________________________________</w:t>
      </w:r>
    </w:p>
    <w:p w:rsidR="005266B3" w:rsidRPr="0028108F" w:rsidRDefault="005266B3" w:rsidP="005266B3">
      <w:pPr>
        <w:adjustRightInd w:val="0"/>
        <w:snapToGrid w:val="0"/>
        <w:jc w:val="both"/>
        <w:rPr>
          <w:rFonts w:ascii="Arial" w:hAnsi="Arial" w:cs="Arial"/>
          <w:szCs w:val="24"/>
          <w:lang w:val="en-GB"/>
        </w:rPr>
      </w:pPr>
    </w:p>
    <w:p w:rsidR="005266B3" w:rsidRPr="0028108F" w:rsidRDefault="005266B3" w:rsidP="005266B3">
      <w:pPr>
        <w:adjustRightInd w:val="0"/>
        <w:snapToGrid w:val="0"/>
        <w:jc w:val="both"/>
        <w:rPr>
          <w:rFonts w:ascii="Arial" w:hAnsi="Arial" w:cs="Arial"/>
          <w:szCs w:val="24"/>
          <w:lang w:val="en-GB"/>
        </w:rPr>
      </w:pPr>
    </w:p>
    <w:p w:rsidR="007F7647" w:rsidRPr="00372E26" w:rsidRDefault="00E80A12" w:rsidP="007F7647">
      <w:pPr>
        <w:pStyle w:val="ListParagraph"/>
        <w:numPr>
          <w:ilvl w:val="0"/>
          <w:numId w:val="135"/>
        </w:numPr>
        <w:tabs>
          <w:tab w:val="left" w:pos="993"/>
        </w:tabs>
        <w:adjustRightInd w:val="0"/>
        <w:snapToGrid w:val="0"/>
        <w:ind w:leftChars="0" w:left="0" w:firstLine="0"/>
        <w:jc w:val="both"/>
        <w:rPr>
          <w:rFonts w:ascii="Arial" w:hAnsi="Arial" w:cs="Arial"/>
          <w:color w:val="0000FF"/>
          <w:szCs w:val="24"/>
          <w:lang w:val="en-GB"/>
        </w:rPr>
      </w:pPr>
      <w:r w:rsidRPr="00E80A12">
        <w:rPr>
          <w:rFonts w:ascii="Arial" w:hAnsi="Arial" w:cs="Arial" w:hint="eastAsia"/>
          <w:szCs w:val="24"/>
          <w:lang w:val="en-GB"/>
        </w:rPr>
        <w:t xml:space="preserve">This chapter summarises the issues for consultation set out in </w:t>
      </w:r>
      <w:r>
        <w:rPr>
          <w:rFonts w:ascii="Arial" w:hAnsi="Arial" w:cs="Arial" w:hint="eastAsia"/>
          <w:szCs w:val="24"/>
          <w:lang w:val="en-GB"/>
        </w:rPr>
        <w:t>C</w:t>
      </w:r>
      <w:r w:rsidRPr="00E80A12">
        <w:rPr>
          <w:rFonts w:ascii="Arial" w:hAnsi="Arial" w:cs="Arial" w:hint="eastAsia"/>
          <w:szCs w:val="24"/>
          <w:lang w:val="en-GB"/>
        </w:rPr>
        <w:t>hapters</w:t>
      </w:r>
      <w:r>
        <w:rPr>
          <w:rFonts w:ascii="Arial" w:hAnsi="Arial" w:cs="Arial" w:hint="eastAsia"/>
          <w:szCs w:val="24"/>
          <w:lang w:val="en-GB"/>
        </w:rPr>
        <w:t xml:space="preserve"> 5 to 8 of this Consultation Paper</w:t>
      </w:r>
      <w:r w:rsidRPr="00E80A12">
        <w:rPr>
          <w:rFonts w:ascii="Arial" w:hAnsi="Arial" w:cs="Arial" w:hint="eastAsia"/>
          <w:szCs w:val="24"/>
          <w:lang w:val="en-GB"/>
        </w:rPr>
        <w:t xml:space="preserve">.  </w:t>
      </w:r>
      <w:r w:rsidRPr="00E80A12">
        <w:rPr>
          <w:rFonts w:ascii="Arial" w:hAnsi="Arial" w:cs="Arial"/>
          <w:szCs w:val="24"/>
          <w:lang w:val="en-GB"/>
        </w:rPr>
        <w:t xml:space="preserve">To assist us with our further deliberations, we now invite views from the public on </w:t>
      </w:r>
      <w:r>
        <w:rPr>
          <w:rFonts w:ascii="Arial" w:hAnsi="Arial" w:cs="Arial" w:hint="eastAsia"/>
          <w:szCs w:val="24"/>
          <w:lang w:val="en-GB"/>
        </w:rPr>
        <w:t>those issues.</w:t>
      </w:r>
      <w:r w:rsidRPr="00E80A12">
        <w:rPr>
          <w:rFonts w:ascii="Arial" w:hAnsi="Arial" w:cs="Arial"/>
          <w:szCs w:val="24"/>
          <w:lang w:val="en-GB"/>
        </w:rPr>
        <w:t xml:space="preserve">  </w:t>
      </w:r>
    </w:p>
    <w:p w:rsidR="00E80A12" w:rsidRPr="00372E26" w:rsidRDefault="00E80A12" w:rsidP="00E80A12">
      <w:pPr>
        <w:adjustRightInd w:val="0"/>
        <w:snapToGrid w:val="0"/>
        <w:jc w:val="both"/>
        <w:rPr>
          <w:rFonts w:ascii="Arial" w:hAnsi="Arial" w:cs="Arial"/>
          <w:szCs w:val="24"/>
          <w:lang w:val="en-GB"/>
        </w:rPr>
      </w:pPr>
    </w:p>
    <w:p w:rsidR="005266B3" w:rsidRDefault="00E80A12" w:rsidP="00E80A12">
      <w:pPr>
        <w:pStyle w:val="ListParagraph"/>
        <w:numPr>
          <w:ilvl w:val="0"/>
          <w:numId w:val="135"/>
        </w:numPr>
        <w:tabs>
          <w:tab w:val="left" w:pos="993"/>
        </w:tabs>
        <w:adjustRightInd w:val="0"/>
        <w:snapToGrid w:val="0"/>
        <w:ind w:leftChars="0" w:left="0" w:firstLine="0"/>
        <w:jc w:val="both"/>
        <w:rPr>
          <w:rFonts w:ascii="Arial" w:hAnsi="Arial" w:cs="Arial"/>
          <w:szCs w:val="24"/>
          <w:lang w:val="en-GB"/>
        </w:rPr>
      </w:pPr>
      <w:r w:rsidRPr="00372E26">
        <w:rPr>
          <w:rFonts w:ascii="Arial" w:hAnsi="Arial" w:cs="Arial"/>
          <w:szCs w:val="24"/>
          <w:lang w:val="en-GB"/>
        </w:rPr>
        <w:t xml:space="preserve">In view of the complexity and importance of the issues surrounding gender recognition, in both the legal and social contexts, and in view of the wide-ranging approaches adopted by different jurisdictions around the world, the IWG has not yet arrived at any views on how these issues are to be dealt with, and maintains an open mind at this stage.  No conclusions as to the IWG’s stance should therefore be drawn from wording adopted, and mode of presentation, in the </w:t>
      </w:r>
      <w:r>
        <w:rPr>
          <w:rFonts w:ascii="Arial" w:hAnsi="Arial" w:cs="Arial" w:hint="eastAsia"/>
          <w:szCs w:val="24"/>
          <w:lang w:val="en-GB"/>
        </w:rPr>
        <w:t>issues</w:t>
      </w:r>
      <w:r w:rsidRPr="00372E26">
        <w:rPr>
          <w:rFonts w:ascii="Arial" w:hAnsi="Arial" w:cs="Arial"/>
          <w:szCs w:val="24"/>
          <w:lang w:val="en-GB"/>
        </w:rPr>
        <w:t xml:space="preserve"> set out below.</w:t>
      </w:r>
      <w:r w:rsidR="005E6528">
        <w:rPr>
          <w:rFonts w:ascii="Arial" w:hAnsi="Arial" w:cs="Arial" w:hint="eastAsia"/>
          <w:szCs w:val="24"/>
          <w:lang w:val="en-GB"/>
        </w:rPr>
        <w:t xml:space="preserve">  </w:t>
      </w:r>
    </w:p>
    <w:p w:rsidR="00E80A12" w:rsidRDefault="00E80A12" w:rsidP="00E80A12">
      <w:pPr>
        <w:pStyle w:val="ListParagraph"/>
        <w:tabs>
          <w:tab w:val="left" w:pos="993"/>
        </w:tabs>
        <w:adjustRightInd w:val="0"/>
        <w:snapToGrid w:val="0"/>
        <w:ind w:leftChars="0" w:left="0"/>
        <w:jc w:val="both"/>
        <w:rPr>
          <w:rFonts w:ascii="Arial" w:hAnsi="Arial" w:cs="Arial"/>
          <w:szCs w:val="24"/>
          <w:lang w:val="en-GB"/>
        </w:rPr>
      </w:pPr>
    </w:p>
    <w:p w:rsidR="00E80A12" w:rsidRPr="0028108F" w:rsidRDefault="00E80A12" w:rsidP="005266B3">
      <w:pPr>
        <w:adjustRightInd w:val="0"/>
        <w:snapToGrid w:val="0"/>
        <w:jc w:val="both"/>
        <w:rPr>
          <w:rFonts w:ascii="Arial" w:hAnsi="Arial" w:cs="Arial"/>
          <w:szCs w:val="24"/>
          <w:lang w:val="en-GB"/>
        </w:rPr>
      </w:pPr>
    </w:p>
    <w:p w:rsidR="005266B3" w:rsidRPr="0028108F" w:rsidRDefault="005266B3" w:rsidP="005266B3">
      <w:pPr>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w:t>
      </w:r>
      <w:r w:rsidRPr="0028108F">
        <w:rPr>
          <w:rFonts w:ascii="Arial" w:hAnsi="Arial" w:cs="Arial"/>
          <w:b/>
          <w:sz w:val="28"/>
          <w:szCs w:val="28"/>
          <w:lang w:val="en-GB"/>
        </w:rPr>
        <w:tab/>
        <w:t xml:space="preserve">Whether </w:t>
      </w:r>
      <w:r w:rsidR="004B3E1F">
        <w:rPr>
          <w:rFonts w:ascii="Arial" w:hAnsi="Arial" w:cs="Arial"/>
          <w:b/>
          <w:sz w:val="28"/>
          <w:szCs w:val="28"/>
          <w:lang w:val="en-GB"/>
        </w:rPr>
        <w:t>a gender recognition scheme should be introduced in Hong Kong</w:t>
      </w:r>
      <w:r w:rsidRPr="00C57CE1">
        <w:rPr>
          <w:rFonts w:ascii="Arial" w:hAnsi="Arial" w:cs="Arial"/>
          <w:b/>
          <w:sz w:val="28"/>
          <w:szCs w:val="28"/>
          <w:lang w:val="en-GB"/>
        </w:rPr>
        <w:t xml:space="preserve"> (see near paragraph </w:t>
      </w:r>
      <w:r w:rsidRPr="008813DE">
        <w:rPr>
          <w:rFonts w:ascii="Arial" w:hAnsi="Arial" w:cs="Arial"/>
          <w:b/>
          <w:sz w:val="28"/>
          <w:szCs w:val="28"/>
          <w:lang w:val="en-GB"/>
        </w:rPr>
        <w:t>5.49</w:t>
      </w:r>
      <w:r w:rsidRPr="0028108F">
        <w:rPr>
          <w:rFonts w:ascii="Arial" w:hAnsi="Arial" w:cs="Arial"/>
          <w:b/>
          <w:sz w:val="28"/>
          <w:szCs w:val="28"/>
          <w:lang w:val="en-GB"/>
        </w:rPr>
        <w:t xml:space="preserve">)  </w:t>
      </w:r>
    </w:p>
    <w:p w:rsidR="005266B3" w:rsidRPr="0028108F"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tabs>
          <w:tab w:val="left" w:pos="851"/>
        </w:tabs>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whether a gender recognition scheme should be introduced in Hong Kong to enable a person to acquire a legally recognised gender other than his or her birth gender. </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adjustRightInd w:val="0"/>
        <w:snapToGrid w:val="0"/>
        <w:ind w:leftChars="200" w:left="480"/>
        <w:jc w:val="both"/>
        <w:rPr>
          <w:rFonts w:ascii="Arial" w:hAnsi="Arial" w:cs="Arial"/>
          <w:b/>
          <w:sz w:val="28"/>
          <w:szCs w:val="28"/>
          <w:lang w:val="en-GB"/>
        </w:rPr>
      </w:pPr>
    </w:p>
    <w:p w:rsidR="005266B3" w:rsidRPr="00181CF2" w:rsidRDefault="005266B3" w:rsidP="005266B3">
      <w:pPr>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2:</w:t>
      </w:r>
      <w:r w:rsidRPr="0028108F">
        <w:rPr>
          <w:rFonts w:ascii="Arial" w:hAnsi="Arial" w:cs="Arial"/>
          <w:b/>
          <w:sz w:val="28"/>
          <w:szCs w:val="28"/>
          <w:lang w:val="en-GB"/>
        </w:rPr>
        <w:tab/>
        <w:t xml:space="preserve">Requirement of medical diagnosis for gender recognition (see near paragraph </w:t>
      </w:r>
      <w:r w:rsidRPr="008813DE">
        <w:rPr>
          <w:rFonts w:ascii="Arial" w:hAnsi="Arial" w:cs="Arial"/>
          <w:b/>
          <w:sz w:val="28"/>
          <w:szCs w:val="28"/>
          <w:lang w:val="en-GB"/>
        </w:rPr>
        <w:t>6.1</w:t>
      </w:r>
      <w:r w:rsidR="00181CF2" w:rsidRPr="008813DE">
        <w:rPr>
          <w:rFonts w:ascii="Arial" w:hAnsi="Arial" w:cs="Arial"/>
          <w:b/>
          <w:sz w:val="28"/>
          <w:szCs w:val="28"/>
          <w:lang w:val="en-GB"/>
        </w:rPr>
        <w:t>8</w:t>
      </w:r>
      <w:r w:rsidRPr="00EB268D">
        <w:rPr>
          <w:rFonts w:ascii="Arial" w:hAnsi="Arial" w:cs="Arial"/>
          <w:b/>
          <w:sz w:val="28"/>
          <w:szCs w:val="28"/>
          <w:lang w:val="en-GB"/>
        </w:rPr>
        <w:t>)</w:t>
      </w:r>
      <w:r w:rsidRPr="00181CF2">
        <w:rPr>
          <w:rFonts w:ascii="Arial" w:hAnsi="Arial" w:cs="Arial"/>
          <w:b/>
          <w:sz w:val="28"/>
          <w:szCs w:val="28"/>
          <w:lang w:val="en-GB"/>
        </w:rPr>
        <w:t xml:space="preserve"> </w:t>
      </w:r>
    </w:p>
    <w:p w:rsidR="005266B3" w:rsidRPr="00C57CE1" w:rsidRDefault="005266B3" w:rsidP="005266B3">
      <w:pPr>
        <w:adjustRightInd w:val="0"/>
        <w:snapToGrid w:val="0"/>
        <w:jc w:val="both"/>
        <w:rPr>
          <w:rFonts w:ascii="Arial" w:hAnsi="Arial" w:cs="Arial"/>
          <w:b/>
          <w:i/>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181CF2" w:rsidP="005266B3">
      <w:pPr>
        <w:pStyle w:val="ListParagraph"/>
        <w:numPr>
          <w:ilvl w:val="0"/>
          <w:numId w:val="115"/>
        </w:numPr>
        <w:adjustRightInd w:val="0"/>
        <w:snapToGrid w:val="0"/>
        <w:ind w:leftChars="0" w:left="851" w:hanging="851"/>
        <w:jc w:val="both"/>
        <w:rPr>
          <w:rFonts w:ascii="Arial" w:hAnsi="Arial" w:cs="Arial"/>
          <w:b/>
          <w:i/>
          <w:szCs w:val="24"/>
          <w:lang w:val="en-GB"/>
        </w:rPr>
      </w:pPr>
      <w:r w:rsidRPr="00181CF2">
        <w:rPr>
          <w:rFonts w:ascii="Arial" w:hAnsi="Arial" w:cs="Arial"/>
          <w:szCs w:val="24"/>
          <w:lang w:val="en-GB"/>
        </w:rPr>
        <w:t>In the event that a gender recognition scheme is</w:t>
      </w:r>
      <w:r w:rsidR="005E6528">
        <w:rPr>
          <w:rFonts w:ascii="Arial" w:hAnsi="Arial" w:cs="Arial" w:hint="eastAsia"/>
          <w:szCs w:val="24"/>
          <w:lang w:val="en-GB"/>
        </w:rPr>
        <w:t xml:space="preserve"> to be</w:t>
      </w:r>
      <w:r w:rsidRPr="00181CF2">
        <w:rPr>
          <w:rFonts w:ascii="Arial" w:hAnsi="Arial" w:cs="Arial"/>
          <w:szCs w:val="24"/>
          <w:lang w:val="en-GB"/>
        </w:rPr>
        <w:t xml:space="preserve"> introduced in Hong Kong, whether there should be a requirement of a medical diagnosis of, for example, gender dysphoria or gender identity disorder, for gender recognition, and why</w:t>
      </w:r>
      <w:r w:rsidR="005266B3" w:rsidRPr="00C57CE1">
        <w:rPr>
          <w:rFonts w:ascii="Arial" w:hAnsi="Arial" w:cs="Arial"/>
          <w:szCs w:val="24"/>
          <w:lang w:val="en-GB"/>
        </w:rPr>
        <w:t>.</w:t>
      </w:r>
    </w:p>
    <w:p w:rsidR="005266B3" w:rsidRPr="0028108F" w:rsidRDefault="005266B3" w:rsidP="005266B3">
      <w:pPr>
        <w:pStyle w:val="ListParagraph"/>
        <w:adjustRightInd w:val="0"/>
        <w:snapToGrid w:val="0"/>
        <w:ind w:leftChars="0" w:left="851"/>
        <w:jc w:val="both"/>
        <w:rPr>
          <w:rFonts w:ascii="Arial" w:hAnsi="Arial" w:cs="Arial"/>
          <w:b/>
          <w:i/>
          <w:szCs w:val="24"/>
          <w:lang w:val="en-GB"/>
        </w:rPr>
      </w:pPr>
    </w:p>
    <w:p w:rsidR="005266B3" w:rsidRPr="0028108F" w:rsidRDefault="00181CF2" w:rsidP="005266B3">
      <w:pPr>
        <w:pStyle w:val="ListParagraph"/>
        <w:numPr>
          <w:ilvl w:val="0"/>
          <w:numId w:val="115"/>
        </w:numPr>
        <w:adjustRightInd w:val="0"/>
        <w:snapToGrid w:val="0"/>
        <w:ind w:leftChars="0" w:left="851" w:hanging="851"/>
        <w:jc w:val="both"/>
        <w:rPr>
          <w:rFonts w:ascii="Arial" w:hAnsi="Arial" w:cs="Arial"/>
          <w:b/>
          <w:i/>
          <w:szCs w:val="24"/>
          <w:lang w:val="en-GB"/>
        </w:rPr>
      </w:pPr>
      <w:r w:rsidRPr="00181CF2">
        <w:rPr>
          <w:rFonts w:ascii="Arial" w:hAnsi="Arial" w:cs="Arial"/>
          <w:szCs w:val="24"/>
          <w:lang w:val="en-GB"/>
        </w:rPr>
        <w:t>If the answer to sub-paragraph (1) is “yes”, what kind of evidence should be provided by an applicant for gender recognition</w:t>
      </w:r>
      <w:r w:rsidR="005266B3" w:rsidRPr="00C57CE1">
        <w:rPr>
          <w:rFonts w:ascii="Arial" w:hAnsi="Arial" w:cs="Arial"/>
          <w:szCs w:val="24"/>
          <w:lang w:val="en-GB"/>
        </w:rPr>
        <w:t>.</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181CF2" w:rsidRDefault="005266B3" w:rsidP="005266B3">
      <w:pPr>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3:</w:t>
      </w:r>
      <w:r w:rsidRPr="0028108F">
        <w:rPr>
          <w:rFonts w:ascii="Arial" w:hAnsi="Arial" w:cs="Arial"/>
          <w:b/>
          <w:sz w:val="28"/>
          <w:szCs w:val="28"/>
          <w:lang w:val="en-GB"/>
        </w:rPr>
        <w:tab/>
        <w:t>Requirement of “</w:t>
      </w:r>
      <w:r w:rsidRPr="0028108F">
        <w:rPr>
          <w:rFonts w:ascii="Arial" w:hAnsi="Arial" w:cs="Arial"/>
          <w:b/>
          <w:i/>
          <w:sz w:val="28"/>
          <w:szCs w:val="28"/>
          <w:lang w:val="en-GB"/>
        </w:rPr>
        <w:t>real life test</w:t>
      </w:r>
      <w:r w:rsidRPr="00181CF2">
        <w:rPr>
          <w:rFonts w:ascii="Arial" w:hAnsi="Arial" w:cs="Arial"/>
          <w:b/>
          <w:sz w:val="28"/>
          <w:szCs w:val="28"/>
          <w:lang w:val="en-GB"/>
        </w:rPr>
        <w:t xml:space="preserve">” for gender recognition (see near paragraph </w:t>
      </w:r>
      <w:r w:rsidRPr="008813DE">
        <w:rPr>
          <w:rFonts w:ascii="Arial" w:hAnsi="Arial" w:cs="Arial"/>
          <w:b/>
          <w:sz w:val="28"/>
          <w:szCs w:val="28"/>
          <w:lang w:val="en-GB"/>
        </w:rPr>
        <w:t>6.2</w:t>
      </w:r>
      <w:r w:rsidR="00181CF2" w:rsidRPr="008813DE">
        <w:rPr>
          <w:rFonts w:ascii="Arial" w:hAnsi="Arial" w:cs="Arial"/>
          <w:b/>
          <w:sz w:val="28"/>
          <w:szCs w:val="28"/>
          <w:lang w:val="en-GB"/>
        </w:rPr>
        <w:t>5</w:t>
      </w:r>
      <w:r w:rsidRPr="00EB268D">
        <w:rPr>
          <w:rFonts w:ascii="Arial" w:hAnsi="Arial" w:cs="Arial"/>
          <w:b/>
          <w:sz w:val="28"/>
          <w:szCs w:val="28"/>
          <w:lang w:val="en-GB"/>
        </w:rPr>
        <w:t>)</w:t>
      </w:r>
    </w:p>
    <w:p w:rsidR="005266B3" w:rsidRPr="00C57CE1" w:rsidRDefault="005266B3" w:rsidP="005266B3">
      <w:pPr>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16"/>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there should be a requirement of </w:t>
      </w:r>
      <w:r w:rsidRPr="0028108F">
        <w:rPr>
          <w:rFonts w:ascii="Arial" w:hAnsi="Arial" w:cs="Arial"/>
          <w:i/>
          <w:szCs w:val="24"/>
          <w:lang w:val="en-GB"/>
        </w:rPr>
        <w:t>“real life test”</w:t>
      </w:r>
      <w:r w:rsidRPr="0028108F">
        <w:rPr>
          <w:rFonts w:ascii="Arial" w:hAnsi="Arial" w:cs="Arial"/>
          <w:szCs w:val="24"/>
          <w:lang w:val="en-GB"/>
        </w:rPr>
        <w:t xml:space="preserve"> for gender recognition, and why.</w:t>
      </w:r>
    </w:p>
    <w:p w:rsidR="005266B3" w:rsidRPr="0028108F" w:rsidRDefault="005266B3" w:rsidP="005266B3">
      <w:pPr>
        <w:tabs>
          <w:tab w:val="left" w:pos="851"/>
        </w:tabs>
        <w:adjustRightInd w:val="0"/>
        <w:snapToGrid w:val="0"/>
        <w:ind w:leftChars="200" w:left="1331" w:hanging="851"/>
        <w:jc w:val="both"/>
        <w:rPr>
          <w:rFonts w:ascii="Arial" w:hAnsi="Arial" w:cs="Arial"/>
          <w:szCs w:val="24"/>
          <w:lang w:val="en-GB"/>
        </w:rPr>
      </w:pPr>
    </w:p>
    <w:p w:rsidR="005266B3" w:rsidRPr="0028108F" w:rsidRDefault="005266B3" w:rsidP="005266B3">
      <w:pPr>
        <w:pStyle w:val="ListParagraph"/>
        <w:numPr>
          <w:ilvl w:val="0"/>
          <w:numId w:val="116"/>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w:t>
      </w:r>
    </w:p>
    <w:p w:rsidR="005266B3" w:rsidRPr="0028108F" w:rsidRDefault="005266B3" w:rsidP="005266B3">
      <w:pPr>
        <w:tabs>
          <w:tab w:val="left" w:pos="1418"/>
        </w:tabs>
        <w:adjustRightInd w:val="0"/>
        <w:snapToGrid w:val="0"/>
        <w:jc w:val="both"/>
        <w:rPr>
          <w:rFonts w:ascii="Arial" w:hAnsi="Arial" w:cs="Arial"/>
          <w:szCs w:val="24"/>
          <w:lang w:val="en-GB"/>
        </w:rPr>
      </w:pPr>
    </w:p>
    <w:p w:rsidR="005266B3" w:rsidRPr="00181CF2" w:rsidRDefault="00181CF2" w:rsidP="005266B3">
      <w:pPr>
        <w:pStyle w:val="ListParagraph"/>
        <w:numPr>
          <w:ilvl w:val="0"/>
          <w:numId w:val="45"/>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what should an applicant for gender recognition have undertaken in order to satisfy a requirement that he or she has undergone a</w:t>
      </w:r>
      <w:r w:rsidR="005266B3" w:rsidRPr="0028108F">
        <w:rPr>
          <w:rFonts w:ascii="Arial" w:hAnsi="Arial" w:cs="Arial"/>
          <w:i/>
          <w:szCs w:val="24"/>
          <w:lang w:val="en-GB"/>
        </w:rPr>
        <w:t xml:space="preserve"> “</w:t>
      </w:r>
      <w:r w:rsidR="005266B3" w:rsidRPr="00181CF2">
        <w:rPr>
          <w:rFonts w:ascii="Arial" w:hAnsi="Arial" w:cs="Arial"/>
          <w:i/>
          <w:szCs w:val="24"/>
          <w:lang w:val="en-GB"/>
        </w:rPr>
        <w:t>real life test</w:t>
      </w:r>
      <w:r w:rsidR="005266B3" w:rsidRPr="00181CF2">
        <w:rPr>
          <w:rFonts w:ascii="Arial" w:hAnsi="Arial" w:cs="Arial"/>
          <w:szCs w:val="24"/>
          <w:lang w:val="en-GB"/>
        </w:rPr>
        <w:t>”;</w:t>
      </w:r>
    </w:p>
    <w:p w:rsidR="005266B3" w:rsidRPr="00C57CE1"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pStyle w:val="ListParagraph"/>
        <w:numPr>
          <w:ilvl w:val="0"/>
          <w:numId w:val="45"/>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what should be the duration of a “</w:t>
      </w:r>
      <w:r w:rsidRPr="0028108F">
        <w:rPr>
          <w:rFonts w:ascii="Arial" w:hAnsi="Arial" w:cs="Arial"/>
          <w:i/>
          <w:szCs w:val="24"/>
          <w:lang w:val="en-GB"/>
        </w:rPr>
        <w:t>real life test</w:t>
      </w:r>
      <w:r w:rsidRPr="0028108F">
        <w:rPr>
          <w:rFonts w:ascii="Arial" w:hAnsi="Arial" w:cs="Arial"/>
          <w:szCs w:val="24"/>
          <w:lang w:val="en-GB"/>
        </w:rPr>
        <w:t>”; and</w:t>
      </w:r>
    </w:p>
    <w:p w:rsidR="005266B3" w:rsidRPr="0028108F"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pStyle w:val="ListParagraph"/>
        <w:numPr>
          <w:ilvl w:val="0"/>
          <w:numId w:val="45"/>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what kind of evidence should be provided by an applicant for gender recognition to show that he or she has undergone a </w:t>
      </w:r>
      <w:r w:rsidRPr="0028108F">
        <w:rPr>
          <w:rFonts w:ascii="Arial" w:hAnsi="Arial" w:cs="Arial"/>
          <w:i/>
          <w:szCs w:val="24"/>
          <w:lang w:val="en-GB"/>
        </w:rPr>
        <w:t>“real life test”</w:t>
      </w:r>
      <w:r w:rsidRPr="0028108F">
        <w:rPr>
          <w:rFonts w:ascii="Arial" w:hAnsi="Arial" w:cs="Arial"/>
          <w:szCs w:val="24"/>
          <w:lang w:val="en-GB"/>
        </w:rPr>
        <w:t xml:space="preserve"> for the specified duration. </w:t>
      </w:r>
    </w:p>
    <w:p w:rsidR="005266B3" w:rsidRPr="0028108F" w:rsidRDefault="005266B3" w:rsidP="0028108F">
      <w:pPr>
        <w:pStyle w:val="ListParagraph"/>
        <w:tabs>
          <w:tab w:val="left" w:pos="851"/>
        </w:tabs>
        <w:adjustRightInd w:val="0"/>
        <w:snapToGrid w:val="0"/>
        <w:ind w:leftChars="0" w:left="851"/>
        <w:jc w:val="both"/>
        <w:rPr>
          <w:rFonts w:ascii="Arial" w:hAnsi="Arial" w:cs="Arial"/>
          <w:b/>
          <w:szCs w:val="24"/>
          <w:lang w:val="en-GB"/>
        </w:rPr>
      </w:pPr>
    </w:p>
    <w:p w:rsidR="005266B3" w:rsidRPr="00C57CE1" w:rsidRDefault="005266B3" w:rsidP="005266B3">
      <w:pPr>
        <w:pStyle w:val="ListParagraph"/>
        <w:numPr>
          <w:ilvl w:val="0"/>
          <w:numId w:val="116"/>
        </w:numPr>
        <w:tabs>
          <w:tab w:val="left" w:pos="851"/>
        </w:tabs>
        <w:adjustRightInd w:val="0"/>
        <w:snapToGrid w:val="0"/>
        <w:ind w:leftChars="0" w:left="851" w:hanging="851"/>
        <w:jc w:val="both"/>
        <w:rPr>
          <w:rFonts w:ascii="Arial" w:hAnsi="Arial" w:cs="Arial"/>
          <w:szCs w:val="24"/>
          <w:lang w:val="en-GB"/>
        </w:rPr>
      </w:pPr>
      <w:r w:rsidRPr="00181CF2">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181CF2">
        <w:rPr>
          <w:rFonts w:ascii="Arial" w:hAnsi="Arial" w:cs="Arial"/>
          <w:szCs w:val="24"/>
          <w:lang w:val="en-GB"/>
        </w:rPr>
        <w:t>in Hong Kong, whether there should be a requirement of intention on the part of the applicant to live permanently the acquire</w:t>
      </w:r>
      <w:r w:rsidRPr="00C57CE1">
        <w:rPr>
          <w:rFonts w:ascii="Arial" w:hAnsi="Arial" w:cs="Arial"/>
          <w:szCs w:val="24"/>
          <w:lang w:val="en-GB"/>
        </w:rPr>
        <w:t>d gender, and why.</w:t>
      </w:r>
    </w:p>
    <w:p w:rsidR="005266B3" w:rsidRPr="0028108F" w:rsidRDefault="005266B3" w:rsidP="005266B3">
      <w:pPr>
        <w:pStyle w:val="ListParagraph"/>
        <w:tabs>
          <w:tab w:val="left" w:pos="851"/>
        </w:tabs>
        <w:adjustRightInd w:val="0"/>
        <w:snapToGrid w:val="0"/>
        <w:ind w:leftChars="0" w:left="851"/>
        <w:jc w:val="both"/>
        <w:rPr>
          <w:rFonts w:ascii="Arial" w:hAnsi="Arial" w:cs="Arial"/>
          <w:szCs w:val="24"/>
          <w:lang w:val="en-GB"/>
        </w:rPr>
      </w:pPr>
    </w:p>
    <w:p w:rsidR="005266B3" w:rsidRPr="0028108F" w:rsidRDefault="005266B3" w:rsidP="005266B3">
      <w:pPr>
        <w:pStyle w:val="ListParagraph"/>
        <w:numPr>
          <w:ilvl w:val="0"/>
          <w:numId w:val="116"/>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(3) is “yes”, what kind of evidence should be required.</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181CF2" w:rsidRDefault="005266B3" w:rsidP="005266B3">
      <w:pPr>
        <w:tabs>
          <w:tab w:val="left" w:pos="851"/>
        </w:tabs>
        <w:adjustRightInd w:val="0"/>
        <w:snapToGrid w:val="0"/>
        <w:ind w:left="1440" w:hanging="1440"/>
        <w:jc w:val="both"/>
        <w:rPr>
          <w:rFonts w:ascii="Arial" w:hAnsi="Arial" w:cs="Arial"/>
          <w:b/>
          <w:i/>
          <w:szCs w:val="24"/>
          <w:lang w:val="en-GB"/>
        </w:rPr>
      </w:pPr>
      <w:r w:rsidRPr="0028108F">
        <w:rPr>
          <w:rFonts w:ascii="Arial" w:hAnsi="Arial" w:cs="Arial"/>
          <w:b/>
          <w:sz w:val="28"/>
          <w:szCs w:val="28"/>
          <w:lang w:val="en-GB"/>
        </w:rPr>
        <w:t>Issue 4:</w:t>
      </w:r>
      <w:r w:rsidRPr="0028108F">
        <w:rPr>
          <w:rFonts w:ascii="Arial" w:hAnsi="Arial" w:cs="Arial"/>
          <w:b/>
          <w:sz w:val="28"/>
          <w:szCs w:val="28"/>
          <w:lang w:val="en-GB"/>
        </w:rPr>
        <w:tab/>
        <w:t xml:space="preserve">Requirement of hormonal treatment and psychotherapy for gender recognition (near paragraph </w:t>
      </w:r>
      <w:r w:rsidRPr="008813DE">
        <w:rPr>
          <w:rFonts w:ascii="Arial" w:hAnsi="Arial" w:cs="Arial"/>
          <w:b/>
          <w:sz w:val="28"/>
          <w:szCs w:val="28"/>
          <w:lang w:val="en-GB"/>
        </w:rPr>
        <w:t>6.3</w:t>
      </w:r>
      <w:r w:rsidR="00181CF2" w:rsidRPr="008813DE">
        <w:rPr>
          <w:rFonts w:ascii="Arial" w:hAnsi="Arial" w:cs="Arial"/>
          <w:b/>
          <w:sz w:val="28"/>
          <w:szCs w:val="28"/>
          <w:lang w:val="en-GB"/>
        </w:rPr>
        <w:t>4</w:t>
      </w:r>
      <w:r w:rsidRPr="00181CF2">
        <w:rPr>
          <w:rFonts w:ascii="Arial" w:hAnsi="Arial" w:cs="Arial"/>
          <w:b/>
          <w:sz w:val="28"/>
          <w:szCs w:val="28"/>
          <w:lang w:val="en-GB"/>
        </w:rPr>
        <w:t>)</w:t>
      </w:r>
    </w:p>
    <w:p w:rsidR="005266B3" w:rsidRPr="00C57CE1" w:rsidRDefault="005266B3" w:rsidP="005266B3">
      <w:pPr>
        <w:tabs>
          <w:tab w:val="left" w:pos="851"/>
        </w:tabs>
        <w:adjustRightInd w:val="0"/>
        <w:snapToGrid w:val="0"/>
        <w:ind w:leftChars="200" w:left="1331" w:hanging="851"/>
        <w:jc w:val="both"/>
        <w:rPr>
          <w:rFonts w:ascii="Arial" w:hAnsi="Arial" w:cs="Arial"/>
          <w:b/>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17"/>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a requirement for hormonal treatment and/or other medical treatment(s) (</w:t>
      </w:r>
      <w:r w:rsidR="00D6311F" w:rsidRPr="0028108F">
        <w:rPr>
          <w:rFonts w:ascii="Arial" w:hAnsi="Arial" w:cs="Arial"/>
          <w:szCs w:val="24"/>
          <w:lang w:val="en-GB"/>
        </w:rPr>
        <w:t>eg</w:t>
      </w:r>
      <w:r w:rsidRPr="0028108F">
        <w:rPr>
          <w:rFonts w:ascii="Arial" w:hAnsi="Arial" w:cs="Arial"/>
          <w:szCs w:val="24"/>
          <w:lang w:val="en-GB"/>
        </w:rPr>
        <w:t>, psychotherapy) for gender recognition, and why.</w:t>
      </w:r>
    </w:p>
    <w:p w:rsidR="005266B3" w:rsidRPr="0028108F" w:rsidRDefault="005266B3" w:rsidP="005266B3">
      <w:pPr>
        <w:tabs>
          <w:tab w:val="left" w:pos="851"/>
        </w:tabs>
        <w:adjustRightInd w:val="0"/>
        <w:snapToGrid w:val="0"/>
        <w:ind w:leftChars="200" w:left="1331" w:hanging="851"/>
        <w:jc w:val="both"/>
        <w:rPr>
          <w:rFonts w:ascii="Arial" w:hAnsi="Arial" w:cs="Arial"/>
          <w:szCs w:val="24"/>
          <w:lang w:val="en-GB"/>
        </w:rPr>
      </w:pPr>
    </w:p>
    <w:p w:rsidR="005266B3" w:rsidRPr="0028108F" w:rsidRDefault="005266B3" w:rsidP="005266B3">
      <w:pPr>
        <w:pStyle w:val="ListParagraph"/>
        <w:numPr>
          <w:ilvl w:val="0"/>
          <w:numId w:val="117"/>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If the answer to sub-paragraph (1) is “yes”, </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181CF2" w:rsidRDefault="005266B3" w:rsidP="005266B3">
      <w:pPr>
        <w:pStyle w:val="ListParagraph"/>
        <w:numPr>
          <w:ilvl w:val="0"/>
          <w:numId w:val="44"/>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what kind of treatment(s) should be required and/or to what effect the </w:t>
      </w:r>
      <w:r w:rsidR="00181CF2">
        <w:rPr>
          <w:rFonts w:ascii="Arial" w:hAnsi="Arial" w:cs="Arial"/>
          <w:szCs w:val="24"/>
          <w:lang w:val="en-GB"/>
        </w:rPr>
        <w:t xml:space="preserve">should the </w:t>
      </w:r>
      <w:r w:rsidRPr="00181CF2">
        <w:rPr>
          <w:rFonts w:ascii="Arial" w:hAnsi="Arial" w:cs="Arial"/>
          <w:szCs w:val="24"/>
          <w:lang w:val="en-GB"/>
        </w:rPr>
        <w:t>treatment(s) achieve; and</w:t>
      </w:r>
    </w:p>
    <w:p w:rsidR="005266B3" w:rsidRPr="00181CF2" w:rsidRDefault="005266B3" w:rsidP="0028108F">
      <w:pPr>
        <w:pStyle w:val="ListParagraph"/>
        <w:tabs>
          <w:tab w:val="left" w:pos="851"/>
        </w:tabs>
        <w:adjustRightInd w:val="0"/>
        <w:snapToGrid w:val="0"/>
        <w:ind w:leftChars="0" w:left="1985"/>
        <w:jc w:val="both"/>
        <w:rPr>
          <w:rFonts w:ascii="Arial" w:hAnsi="Arial" w:cs="Arial"/>
          <w:szCs w:val="24"/>
          <w:lang w:val="en-GB"/>
        </w:rPr>
      </w:pPr>
    </w:p>
    <w:p w:rsidR="005266B3" w:rsidRPr="00C57CE1" w:rsidRDefault="005266B3" w:rsidP="005266B3">
      <w:pPr>
        <w:pStyle w:val="ListParagraph"/>
        <w:numPr>
          <w:ilvl w:val="0"/>
          <w:numId w:val="44"/>
        </w:numPr>
        <w:tabs>
          <w:tab w:val="left" w:pos="851"/>
        </w:tabs>
        <w:adjustRightInd w:val="0"/>
        <w:snapToGrid w:val="0"/>
        <w:ind w:leftChars="0" w:left="1701" w:hanging="850"/>
        <w:jc w:val="both"/>
        <w:rPr>
          <w:rFonts w:ascii="Arial" w:hAnsi="Arial" w:cs="Arial"/>
          <w:szCs w:val="24"/>
          <w:lang w:val="en-GB"/>
        </w:rPr>
      </w:pPr>
      <w:r w:rsidRPr="00181CF2">
        <w:rPr>
          <w:rFonts w:ascii="Arial" w:hAnsi="Arial" w:cs="Arial"/>
          <w:szCs w:val="24"/>
          <w:lang w:val="en-GB"/>
        </w:rPr>
        <w:t>what kind of evidence</w:t>
      </w:r>
      <w:r w:rsidR="00181CF2" w:rsidRPr="0028108F">
        <w:rPr>
          <w:rFonts w:ascii="Arial" w:hAnsi="Arial" w:cs="Arial"/>
          <w:szCs w:val="24"/>
          <w:lang w:val="en-GB"/>
        </w:rPr>
        <w:t xml:space="preserve"> should an applicant for gender recognition provide on this</w:t>
      </w:r>
      <w:r w:rsidRPr="00C57CE1">
        <w:rPr>
          <w:rFonts w:ascii="Arial" w:hAnsi="Arial" w:cs="Arial"/>
          <w:szCs w:val="24"/>
          <w:lang w:val="en-GB"/>
        </w:rPr>
        <w:t>.</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181CF2" w:rsidRDefault="005266B3" w:rsidP="005266B3">
      <w:pPr>
        <w:tabs>
          <w:tab w:val="left" w:pos="851"/>
        </w:tabs>
        <w:adjustRightInd w:val="0"/>
        <w:snapToGrid w:val="0"/>
        <w:ind w:left="1440" w:hanging="1440"/>
        <w:jc w:val="both"/>
        <w:rPr>
          <w:rFonts w:ascii="Arial" w:hAnsi="Arial" w:cs="Arial"/>
          <w:b/>
          <w:i/>
          <w:szCs w:val="24"/>
          <w:lang w:val="en-GB"/>
        </w:rPr>
      </w:pPr>
      <w:r w:rsidRPr="0028108F">
        <w:rPr>
          <w:rFonts w:ascii="Arial" w:hAnsi="Arial" w:cs="Arial"/>
          <w:b/>
          <w:sz w:val="28"/>
          <w:szCs w:val="28"/>
          <w:lang w:val="en-GB"/>
        </w:rPr>
        <w:t>Issue 5:</w:t>
      </w:r>
      <w:r w:rsidRPr="0028108F">
        <w:rPr>
          <w:rFonts w:ascii="Arial" w:hAnsi="Arial" w:cs="Arial"/>
          <w:b/>
          <w:sz w:val="28"/>
          <w:szCs w:val="28"/>
          <w:lang w:val="en-GB"/>
        </w:rPr>
        <w:tab/>
        <w:t xml:space="preserve">Requirement of SRS and other </w:t>
      </w:r>
      <w:r w:rsidRPr="00181CF2">
        <w:rPr>
          <w:rFonts w:ascii="Arial" w:hAnsi="Arial" w:cs="Arial"/>
          <w:b/>
          <w:sz w:val="28"/>
          <w:szCs w:val="28"/>
          <w:lang w:val="en-GB"/>
        </w:rPr>
        <w:t xml:space="preserve">surgical treatments for gender recognition (near paragraph </w:t>
      </w:r>
      <w:r w:rsidRPr="008813DE">
        <w:rPr>
          <w:rFonts w:ascii="Arial" w:hAnsi="Arial" w:cs="Arial"/>
          <w:b/>
          <w:sz w:val="28"/>
          <w:szCs w:val="28"/>
          <w:lang w:val="en-GB"/>
        </w:rPr>
        <w:t>6.9</w:t>
      </w:r>
      <w:r w:rsidR="00181CF2" w:rsidRPr="008813DE">
        <w:rPr>
          <w:rFonts w:ascii="Arial" w:hAnsi="Arial" w:cs="Arial"/>
          <w:b/>
          <w:sz w:val="28"/>
          <w:szCs w:val="28"/>
          <w:lang w:val="en-GB"/>
        </w:rPr>
        <w:t>3</w:t>
      </w:r>
      <w:r w:rsidRPr="00181CF2">
        <w:rPr>
          <w:rFonts w:ascii="Arial" w:hAnsi="Arial" w:cs="Arial"/>
          <w:b/>
          <w:sz w:val="28"/>
          <w:szCs w:val="28"/>
          <w:lang w:val="en-GB"/>
        </w:rPr>
        <w:t>)</w:t>
      </w:r>
      <w:r w:rsidR="00181CF2">
        <w:rPr>
          <w:rFonts w:ascii="Arial" w:hAnsi="Arial" w:cs="Arial"/>
          <w:b/>
          <w:sz w:val="28"/>
          <w:szCs w:val="28"/>
          <w:lang w:val="en-GB"/>
        </w:rPr>
        <w:t xml:space="preserve"> </w:t>
      </w:r>
    </w:p>
    <w:p w:rsidR="005266B3" w:rsidRPr="00C57CE1" w:rsidRDefault="005266B3" w:rsidP="005266B3">
      <w:pPr>
        <w:tabs>
          <w:tab w:val="left" w:pos="851"/>
        </w:tabs>
        <w:adjustRightInd w:val="0"/>
        <w:snapToGrid w:val="0"/>
        <w:ind w:leftChars="200" w:left="1331" w:hanging="851"/>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18"/>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Insofar as the </w:t>
      </w:r>
      <w:r w:rsidRPr="0028108F">
        <w:rPr>
          <w:rFonts w:ascii="Arial" w:hAnsi="Arial" w:cs="Arial"/>
          <w:lang w:val="en-GB"/>
        </w:rPr>
        <w:t>practice in Hong Kong is concerned</w:t>
      </w:r>
      <w:r w:rsidRPr="0028108F">
        <w:rPr>
          <w:rFonts w:ascii="Arial" w:hAnsi="Arial" w:cs="Arial"/>
          <w:szCs w:val="24"/>
          <w:lang w:val="en-GB"/>
        </w:rPr>
        <w:t xml:space="preserve">, full sex reassignment surgery requires </w:t>
      </w:r>
      <w:r w:rsidRPr="0028108F">
        <w:rPr>
          <w:rFonts w:ascii="Arial" w:hAnsi="Arial" w:cs="Arial"/>
          <w:kern w:val="0"/>
          <w:szCs w:val="24"/>
          <w:lang w:val="en-GB"/>
        </w:rPr>
        <w:t>removal of the original genital organs and construction of some form of genital organs of the opposite sex.</w:t>
      </w:r>
      <w:r w:rsidRPr="0028108F">
        <w:rPr>
          <w:rFonts w:ascii="Arial" w:hAnsi="Arial" w:cs="Arial"/>
          <w:szCs w:val="24"/>
          <w:lang w:val="en-GB"/>
        </w:rPr>
        <w:t xml:space="preserve">  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t>
      </w:r>
      <w:r w:rsidR="00181CF2" w:rsidRPr="0028108F">
        <w:rPr>
          <w:rFonts w:ascii="Arial" w:hAnsi="Arial" w:cs="Arial"/>
          <w:szCs w:val="24"/>
          <w:lang w:val="en-GB"/>
        </w:rPr>
        <w:t>should there be a requirement for the applicant to have undergone partial/full sex reassignment surgery, and if so, why?</w:t>
      </w:r>
      <w:r w:rsidRPr="0028108F">
        <w:rPr>
          <w:rFonts w:ascii="Arial" w:hAnsi="Arial" w:cs="Arial"/>
          <w:szCs w:val="24"/>
          <w:lang w:val="en-GB"/>
        </w:rPr>
        <w:t xml:space="preserve"> </w:t>
      </w:r>
    </w:p>
    <w:p w:rsidR="005266B3" w:rsidRPr="0028108F" w:rsidRDefault="005266B3" w:rsidP="005266B3">
      <w:pPr>
        <w:pStyle w:val="ListParagraph"/>
        <w:tabs>
          <w:tab w:val="left" w:pos="851"/>
        </w:tabs>
        <w:adjustRightInd w:val="0"/>
        <w:snapToGrid w:val="0"/>
        <w:ind w:leftChars="0" w:left="840"/>
        <w:jc w:val="both"/>
        <w:rPr>
          <w:rFonts w:ascii="Arial" w:hAnsi="Arial" w:cs="Arial"/>
          <w:szCs w:val="24"/>
          <w:lang w:val="en-GB"/>
        </w:rPr>
      </w:pPr>
    </w:p>
    <w:p w:rsidR="005266B3" w:rsidRPr="0028108F" w:rsidRDefault="005266B3" w:rsidP="005266B3">
      <w:pPr>
        <w:pStyle w:val="ListParagraph"/>
        <w:numPr>
          <w:ilvl w:val="0"/>
          <w:numId w:val="118"/>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If the answer to sub-paragraph (1) is “yes”,</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9A1AD2">
      <w:pPr>
        <w:pStyle w:val="ListParagraph"/>
        <w:widowControl/>
        <w:numPr>
          <w:ilvl w:val="0"/>
          <w:numId w:val="42"/>
        </w:numPr>
        <w:tabs>
          <w:tab w:val="left" w:pos="851"/>
        </w:tabs>
        <w:adjustRightInd w:val="0"/>
        <w:snapToGrid w:val="0"/>
        <w:ind w:leftChars="0" w:left="1700" w:hanging="850"/>
        <w:jc w:val="both"/>
        <w:rPr>
          <w:rFonts w:ascii="Arial" w:hAnsi="Arial" w:cs="Arial"/>
          <w:szCs w:val="24"/>
          <w:lang w:val="en-GB"/>
        </w:rPr>
      </w:pPr>
      <w:r w:rsidRPr="0028108F">
        <w:rPr>
          <w:rFonts w:ascii="Arial" w:hAnsi="Arial" w:cs="Arial"/>
          <w:szCs w:val="24"/>
          <w:lang w:val="en-GB"/>
        </w:rPr>
        <w:t xml:space="preserve">regarding the extent of the surgery required, whether there should be a requirement of </w:t>
      </w:r>
      <w:r w:rsidRPr="0028108F">
        <w:rPr>
          <w:rFonts w:ascii="Arial" w:hAnsi="Arial" w:cs="Arial"/>
          <w:szCs w:val="24"/>
          <w:u w:val="single"/>
          <w:lang w:val="en-GB"/>
        </w:rPr>
        <w:t>full</w:t>
      </w:r>
      <w:r w:rsidRPr="0028108F">
        <w:rPr>
          <w:rFonts w:ascii="Arial" w:hAnsi="Arial" w:cs="Arial"/>
          <w:szCs w:val="24"/>
          <w:lang w:val="en-GB"/>
        </w:rPr>
        <w:t xml:space="preserve"> sex reassignment surgery as currently adopted in Hong Kong, and why;  </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42"/>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if the answer to sub-paragraph (a) is “no”, what type of </w:t>
      </w:r>
      <w:r w:rsidRPr="0028108F">
        <w:rPr>
          <w:rFonts w:ascii="Arial" w:hAnsi="Arial" w:cs="Arial"/>
          <w:szCs w:val="24"/>
          <w:u w:val="single"/>
          <w:lang w:val="en-GB"/>
        </w:rPr>
        <w:t>partial</w:t>
      </w:r>
      <w:r w:rsidRPr="0028108F">
        <w:rPr>
          <w:rFonts w:ascii="Arial" w:hAnsi="Arial" w:cs="Arial"/>
          <w:szCs w:val="24"/>
          <w:lang w:val="en-GB"/>
        </w:rPr>
        <w:t xml:space="preserve"> sex reassignment surgery (</w:t>
      </w:r>
      <w:r w:rsidR="00D6311F" w:rsidRPr="0028108F">
        <w:rPr>
          <w:rFonts w:ascii="Arial" w:hAnsi="Arial" w:cs="Arial"/>
          <w:szCs w:val="24"/>
          <w:lang w:val="en-GB"/>
        </w:rPr>
        <w:t>ie</w:t>
      </w:r>
      <w:r w:rsidR="006B78C8">
        <w:rPr>
          <w:rFonts w:ascii="Arial" w:hAnsi="Arial" w:cs="Arial" w:hint="eastAsia"/>
          <w:szCs w:val="24"/>
          <w:lang w:val="en-GB"/>
        </w:rPr>
        <w:t>,</w:t>
      </w:r>
      <w:r w:rsidRPr="0028108F">
        <w:rPr>
          <w:rFonts w:ascii="Arial" w:hAnsi="Arial" w:cs="Arial"/>
          <w:szCs w:val="24"/>
          <w:lang w:val="en-GB"/>
        </w:rPr>
        <w:t xml:space="preserve"> the extent of the partial surgery) would be sufficient, and why;</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pStyle w:val="ListParagraph"/>
        <w:numPr>
          <w:ilvl w:val="0"/>
          <w:numId w:val="42"/>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other than a partial/full sex reassignment surgery, what kind of surgery should be required (including non-genital surgery such as plastic surgery, reconstruction of chest, etc), and why;</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pStyle w:val="ListParagraph"/>
        <w:numPr>
          <w:ilvl w:val="0"/>
          <w:numId w:val="42"/>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what kind of evidence in this respect should be provided by an applicant for gender recognition;</w:t>
      </w:r>
    </w:p>
    <w:p w:rsidR="005266B3" w:rsidRPr="0028108F" w:rsidRDefault="005266B3" w:rsidP="005266B3">
      <w:pPr>
        <w:pStyle w:val="ListParagraph"/>
        <w:rPr>
          <w:rFonts w:ascii="Arial" w:hAnsi="Arial" w:cs="Arial"/>
          <w:szCs w:val="24"/>
          <w:lang w:val="en-GB"/>
        </w:rPr>
      </w:pPr>
    </w:p>
    <w:p w:rsidR="005266B3" w:rsidRPr="00181CF2" w:rsidRDefault="005266B3" w:rsidP="005266B3">
      <w:pPr>
        <w:pStyle w:val="ListParagraph"/>
        <w:snapToGrid w:val="0"/>
        <w:ind w:leftChars="354" w:left="1697" w:hangingChars="353" w:hanging="847"/>
        <w:jc w:val="both"/>
        <w:rPr>
          <w:rFonts w:ascii="Arial" w:hAnsi="Arial" w:cs="Arial"/>
          <w:szCs w:val="24"/>
          <w:lang w:val="en-GB"/>
        </w:rPr>
      </w:pPr>
      <w:r w:rsidRPr="0028108F">
        <w:rPr>
          <w:rFonts w:ascii="Arial" w:hAnsi="Arial" w:cs="Arial"/>
          <w:szCs w:val="24"/>
          <w:lang w:val="en-GB"/>
        </w:rPr>
        <w:t>(e)</w:t>
      </w:r>
      <w:r w:rsidRPr="00181CF2">
        <w:rPr>
          <w:rFonts w:ascii="Arial" w:hAnsi="Arial" w:cs="Arial"/>
          <w:szCs w:val="24"/>
          <w:lang w:val="en-GB"/>
        </w:rPr>
        <w:tab/>
        <w:t xml:space="preserve">whether sex reassignment surgery carried out in a country or territory outside Hong Kong should be recognised in Hong Kong for the purposes of gender recognition, and why; and </w:t>
      </w:r>
    </w:p>
    <w:p w:rsidR="005266B3" w:rsidRPr="00C57CE1" w:rsidRDefault="005266B3" w:rsidP="005266B3">
      <w:pPr>
        <w:pStyle w:val="ListParagraph"/>
        <w:snapToGrid w:val="0"/>
        <w:ind w:leftChars="348" w:left="835"/>
        <w:jc w:val="both"/>
        <w:rPr>
          <w:rFonts w:ascii="Arial" w:hAnsi="Arial" w:cs="Arial"/>
          <w:szCs w:val="24"/>
          <w:lang w:val="en-GB"/>
        </w:rPr>
      </w:pPr>
    </w:p>
    <w:p w:rsidR="005266B3" w:rsidRPr="0028108F" w:rsidRDefault="005266B3" w:rsidP="005266B3">
      <w:pPr>
        <w:pStyle w:val="ListParagraph"/>
        <w:snapToGrid w:val="0"/>
        <w:ind w:leftChars="354" w:left="1697" w:hangingChars="353" w:hanging="847"/>
        <w:jc w:val="both"/>
        <w:rPr>
          <w:rFonts w:ascii="Arial" w:hAnsi="Arial" w:cs="Arial"/>
          <w:szCs w:val="24"/>
          <w:lang w:val="en-GB"/>
        </w:rPr>
      </w:pPr>
      <w:r w:rsidRPr="0028108F">
        <w:rPr>
          <w:rFonts w:ascii="Arial" w:hAnsi="Arial" w:cs="Arial"/>
          <w:szCs w:val="24"/>
          <w:lang w:val="en-GB"/>
        </w:rPr>
        <w:t xml:space="preserve">(f) </w:t>
      </w:r>
      <w:r w:rsidRPr="0028108F">
        <w:rPr>
          <w:rFonts w:ascii="Arial" w:hAnsi="Arial" w:cs="Arial"/>
          <w:szCs w:val="24"/>
          <w:lang w:val="en-GB"/>
        </w:rPr>
        <w:tab/>
        <w:t>if the answer to sub-paragraph (e) is “yes”, what kind of evidence should be provided by the applicant.</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181CF2" w:rsidRDefault="005266B3" w:rsidP="005266B3">
      <w:pPr>
        <w:tabs>
          <w:tab w:val="left" w:pos="851"/>
        </w:tabs>
        <w:adjustRightInd w:val="0"/>
        <w:snapToGrid w:val="0"/>
        <w:ind w:left="1440" w:hanging="1440"/>
        <w:jc w:val="both"/>
        <w:rPr>
          <w:rFonts w:ascii="Arial" w:hAnsi="Arial" w:cs="Arial"/>
          <w:b/>
          <w:i/>
          <w:szCs w:val="24"/>
          <w:lang w:val="en-GB"/>
        </w:rPr>
      </w:pPr>
      <w:r w:rsidRPr="0028108F">
        <w:rPr>
          <w:rFonts w:ascii="Arial" w:hAnsi="Arial" w:cs="Arial"/>
          <w:b/>
          <w:sz w:val="28"/>
          <w:szCs w:val="28"/>
          <w:lang w:val="en-GB"/>
        </w:rPr>
        <w:t>Issue 6:</w:t>
      </w:r>
      <w:r w:rsidRPr="0028108F">
        <w:rPr>
          <w:rFonts w:ascii="Arial" w:hAnsi="Arial" w:cs="Arial"/>
          <w:b/>
          <w:sz w:val="28"/>
          <w:szCs w:val="28"/>
          <w:lang w:val="en-GB"/>
        </w:rPr>
        <w:tab/>
        <w:t xml:space="preserve">Requirement of other medical treatments for gender recognition (near paragraph </w:t>
      </w:r>
      <w:r w:rsidRPr="008813DE">
        <w:rPr>
          <w:rFonts w:ascii="Arial" w:hAnsi="Arial" w:cs="Arial"/>
          <w:b/>
          <w:sz w:val="28"/>
          <w:szCs w:val="28"/>
          <w:lang w:val="en-GB"/>
        </w:rPr>
        <w:t>6.9</w:t>
      </w:r>
      <w:r w:rsidR="00181CF2" w:rsidRPr="008813DE">
        <w:rPr>
          <w:rFonts w:ascii="Arial" w:hAnsi="Arial" w:cs="Arial"/>
          <w:b/>
          <w:sz w:val="28"/>
          <w:szCs w:val="28"/>
          <w:lang w:val="en-GB"/>
        </w:rPr>
        <w:t>4</w:t>
      </w:r>
      <w:r w:rsidRPr="00181CF2">
        <w:rPr>
          <w:rFonts w:ascii="Arial" w:hAnsi="Arial" w:cs="Arial"/>
          <w:b/>
          <w:sz w:val="28"/>
          <w:szCs w:val="28"/>
          <w:lang w:val="en-GB"/>
        </w:rPr>
        <w:t>)</w:t>
      </w:r>
    </w:p>
    <w:p w:rsidR="005266B3" w:rsidRPr="00C57CE1"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24"/>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there should be any other medical requirements for gender recognition, and why. </w:t>
      </w:r>
    </w:p>
    <w:p w:rsidR="005266B3" w:rsidRPr="0028108F" w:rsidRDefault="005266B3" w:rsidP="005266B3">
      <w:pPr>
        <w:pStyle w:val="ListParagraph"/>
        <w:tabs>
          <w:tab w:val="left" w:pos="851"/>
        </w:tabs>
        <w:adjustRightInd w:val="0"/>
        <w:snapToGrid w:val="0"/>
        <w:ind w:leftChars="0" w:left="840"/>
        <w:jc w:val="both"/>
        <w:rPr>
          <w:rFonts w:ascii="Arial" w:hAnsi="Arial" w:cs="Arial"/>
          <w:szCs w:val="24"/>
          <w:lang w:val="en-GB"/>
        </w:rPr>
      </w:pPr>
    </w:p>
    <w:p w:rsidR="005266B3" w:rsidRPr="00C57CE1" w:rsidRDefault="005266B3" w:rsidP="005266B3">
      <w:pPr>
        <w:pStyle w:val="ListParagraph"/>
        <w:numPr>
          <w:ilvl w:val="0"/>
          <w:numId w:val="124"/>
        </w:numPr>
        <w:tabs>
          <w:tab w:val="left" w:pos="851"/>
        </w:tabs>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If the answer to sub-paragraph (1) is “yes”, what kind of </w:t>
      </w:r>
      <w:r w:rsidR="00181CF2">
        <w:rPr>
          <w:rFonts w:ascii="Arial" w:hAnsi="Arial" w:cs="Arial"/>
          <w:szCs w:val="24"/>
          <w:lang w:val="en-GB"/>
        </w:rPr>
        <w:t xml:space="preserve">further </w:t>
      </w:r>
      <w:r w:rsidRPr="00C57CE1">
        <w:rPr>
          <w:rFonts w:ascii="Arial" w:hAnsi="Arial" w:cs="Arial"/>
          <w:szCs w:val="24"/>
          <w:lang w:val="en-GB"/>
        </w:rPr>
        <w:t>evidence in this regard should be required.</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7:</w:t>
      </w:r>
      <w:r w:rsidRPr="0028108F">
        <w:rPr>
          <w:rFonts w:ascii="Arial" w:hAnsi="Arial" w:cs="Arial"/>
          <w:b/>
          <w:sz w:val="28"/>
          <w:szCs w:val="28"/>
          <w:lang w:val="en-GB"/>
        </w:rPr>
        <w:tab/>
        <w:t xml:space="preserve">Residency requirement for gender recognition (near paragraph </w:t>
      </w:r>
      <w:r w:rsidRPr="008813DE">
        <w:rPr>
          <w:rFonts w:ascii="Arial" w:hAnsi="Arial" w:cs="Arial"/>
          <w:b/>
          <w:sz w:val="28"/>
          <w:szCs w:val="28"/>
          <w:lang w:val="en-GB"/>
        </w:rPr>
        <w:t>7.3</w:t>
      </w:r>
      <w:r w:rsidR="00181CF2" w:rsidRPr="008813DE">
        <w:rPr>
          <w:rFonts w:ascii="Arial" w:hAnsi="Arial" w:cs="Arial"/>
          <w:b/>
          <w:sz w:val="28"/>
          <w:szCs w:val="28"/>
          <w:lang w:val="en-GB"/>
        </w:rPr>
        <w:t>4</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b/>
          <w:szCs w:val="24"/>
          <w:lang w:val="en-GB"/>
        </w:rPr>
      </w:pPr>
    </w:p>
    <w:p w:rsidR="005266B3" w:rsidRPr="0028108F" w:rsidRDefault="00181CF2"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 scheme should be open to</w:t>
      </w:r>
      <w:r w:rsidRPr="0028108F">
        <w:rPr>
          <w:rFonts w:ascii="Arial" w:hAnsi="Arial" w:cs="Arial" w:hint="eastAsia"/>
          <w:szCs w:val="24"/>
          <w:lang w:val="en-GB"/>
        </w:rPr>
        <w:t>, for examp</w:t>
      </w:r>
      <w:r w:rsidRPr="0028108F">
        <w:rPr>
          <w:rFonts w:ascii="Arial" w:hAnsi="Arial" w:cs="Arial"/>
          <w:szCs w:val="24"/>
          <w:lang w:val="en-GB"/>
        </w:rPr>
        <w:t>l</w:t>
      </w:r>
      <w:r w:rsidRPr="0028108F">
        <w:rPr>
          <w:rFonts w:ascii="Arial" w:hAnsi="Arial" w:cs="Arial" w:hint="eastAsia"/>
          <w:szCs w:val="24"/>
          <w:lang w:val="en-GB"/>
        </w:rPr>
        <w:t>e,</w:t>
      </w:r>
      <w:r w:rsidRPr="0028108F">
        <w:rPr>
          <w:rFonts w:ascii="Arial" w:hAnsi="Arial" w:cs="Arial"/>
          <w:szCs w:val="24"/>
          <w:lang w:val="en-GB"/>
        </w:rPr>
        <w:t xml:space="preserve"> permanent residents of Hong Kong, non-permanent residents, and/or any other persons (such as visitors), and why</w:t>
      </w:r>
      <w:r w:rsidR="005266B3" w:rsidRPr="0028108F">
        <w:rPr>
          <w:rFonts w:ascii="Arial" w:hAnsi="Arial" w:cs="Arial"/>
          <w:szCs w:val="24"/>
          <w:lang w:val="en-GB"/>
        </w:rPr>
        <w:t>.</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8:</w:t>
      </w:r>
      <w:r w:rsidRPr="0028108F">
        <w:rPr>
          <w:rFonts w:ascii="Arial" w:hAnsi="Arial" w:cs="Arial"/>
          <w:b/>
          <w:sz w:val="28"/>
          <w:szCs w:val="28"/>
          <w:lang w:val="en-GB"/>
        </w:rPr>
        <w:tab/>
        <w:t xml:space="preserve">Age requirement for gender recognition (near paragraph </w:t>
      </w:r>
      <w:r w:rsidRPr="008813DE">
        <w:rPr>
          <w:rFonts w:ascii="Arial" w:hAnsi="Arial" w:cs="Arial"/>
          <w:b/>
          <w:sz w:val="28"/>
          <w:szCs w:val="28"/>
          <w:lang w:val="en-GB"/>
        </w:rPr>
        <w:t>7.4</w:t>
      </w:r>
      <w:r w:rsidR="00181CF2" w:rsidRPr="008813DE">
        <w:rPr>
          <w:rFonts w:ascii="Arial" w:hAnsi="Arial" w:cs="Arial"/>
          <w:b/>
          <w:sz w:val="28"/>
          <w:szCs w:val="28"/>
          <w:lang w:val="en-GB"/>
        </w:rPr>
        <w:t>5</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14"/>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a minimum age requirement for applying for gender recognition.</w:t>
      </w:r>
    </w:p>
    <w:p w:rsidR="005266B3" w:rsidRPr="0028108F"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pStyle w:val="ListParagraph"/>
        <w:numPr>
          <w:ilvl w:val="0"/>
          <w:numId w:val="114"/>
        </w:numPr>
        <w:tabs>
          <w:tab w:val="left" w:pos="851"/>
        </w:tabs>
        <w:adjustRightInd w:val="0"/>
        <w:snapToGrid w:val="0"/>
        <w:ind w:leftChars="0" w:left="851" w:hanging="851"/>
        <w:jc w:val="both"/>
        <w:rPr>
          <w:rFonts w:ascii="Arial" w:hAnsi="Arial" w:cs="Arial"/>
          <w:b/>
          <w:sz w:val="28"/>
          <w:szCs w:val="28"/>
          <w:lang w:val="en-GB"/>
        </w:rPr>
      </w:pPr>
      <w:r w:rsidRPr="0028108F">
        <w:rPr>
          <w:rFonts w:ascii="Arial" w:hAnsi="Arial" w:cs="Arial"/>
          <w:szCs w:val="24"/>
          <w:lang w:val="en-GB"/>
        </w:rPr>
        <w:t>If the answer to sub-paragraph (1) is “yes”, what should be the minimum age for the application</w:t>
      </w:r>
      <w:r w:rsidR="00C57CE1">
        <w:rPr>
          <w:rFonts w:ascii="Arial" w:hAnsi="Arial" w:cs="Arial"/>
          <w:szCs w:val="24"/>
          <w:lang w:val="en-GB"/>
        </w:rPr>
        <w:t>:</w:t>
      </w:r>
      <w:r w:rsidRPr="00C57CE1">
        <w:rPr>
          <w:rFonts w:ascii="Arial" w:hAnsi="Arial" w:cs="Arial"/>
          <w:szCs w:val="24"/>
          <w:lang w:val="en-GB"/>
        </w:rPr>
        <w:t xml:space="preserve"> 12 years of age, 18 years of age, 21 years of age or another age</w:t>
      </w:r>
      <w:r w:rsidR="00C57CE1">
        <w:rPr>
          <w:rFonts w:ascii="Arial" w:hAnsi="Arial" w:cs="Arial"/>
          <w:szCs w:val="24"/>
          <w:lang w:val="en-GB"/>
        </w:rPr>
        <w:t>;</w:t>
      </w:r>
      <w:r w:rsidRPr="00C57CE1">
        <w:rPr>
          <w:rFonts w:ascii="Arial" w:hAnsi="Arial" w:cs="Arial"/>
          <w:szCs w:val="24"/>
          <w:lang w:val="en-GB"/>
        </w:rPr>
        <w:t xml:space="preserve"> and the basis for </w:t>
      </w:r>
      <w:r w:rsidR="00C57CE1">
        <w:rPr>
          <w:rFonts w:ascii="Arial" w:hAnsi="Arial" w:cs="Arial"/>
          <w:szCs w:val="24"/>
          <w:lang w:val="en-GB"/>
        </w:rPr>
        <w:t>choosing</w:t>
      </w:r>
      <w:r w:rsidRPr="00C57CE1">
        <w:rPr>
          <w:rFonts w:ascii="Arial" w:hAnsi="Arial" w:cs="Arial"/>
          <w:szCs w:val="24"/>
          <w:lang w:val="en-GB"/>
        </w:rPr>
        <w:t xml:space="preserve"> that age as the minimum age for the application.</w:t>
      </w:r>
    </w:p>
    <w:p w:rsidR="005266B3" w:rsidRPr="0028108F"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pStyle w:val="ListParagraph"/>
        <w:numPr>
          <w:ilvl w:val="0"/>
          <w:numId w:val="114"/>
        </w:numPr>
        <w:tabs>
          <w:tab w:val="left" w:pos="851"/>
        </w:tabs>
        <w:adjustRightInd w:val="0"/>
        <w:snapToGrid w:val="0"/>
        <w:ind w:leftChars="0" w:left="851" w:hanging="851"/>
        <w:jc w:val="both"/>
        <w:rPr>
          <w:rFonts w:ascii="Arial" w:hAnsi="Arial" w:cs="Arial"/>
          <w:b/>
          <w:sz w:val="28"/>
          <w:szCs w:val="28"/>
          <w:lang w:val="en-GB"/>
        </w:rPr>
      </w:pPr>
      <w:r w:rsidRPr="0028108F">
        <w:rPr>
          <w:rFonts w:ascii="Arial" w:hAnsi="Arial" w:cs="Arial"/>
          <w:szCs w:val="24"/>
          <w:lang w:val="en-GB"/>
        </w:rPr>
        <w:t>If the answer to sub-paragraph (1) is “no”,</w:t>
      </w:r>
      <w:r w:rsidR="0028108F">
        <w:rPr>
          <w:rFonts w:ascii="Arial" w:hAnsi="Arial" w:cs="Arial"/>
          <w:szCs w:val="24"/>
          <w:lang w:val="en-GB"/>
        </w:rPr>
        <w:t xml:space="preserve"> </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181CF2" w:rsidRDefault="005266B3" w:rsidP="005266B3">
      <w:pPr>
        <w:pStyle w:val="ListParagraph"/>
        <w:numPr>
          <w:ilvl w:val="0"/>
          <w:numId w:val="48"/>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whether a minor (under the age of 18 years)</w:t>
      </w:r>
      <w:r w:rsidRPr="00181CF2">
        <w:rPr>
          <w:rStyle w:val="FootnoteReference"/>
          <w:rFonts w:ascii="Arial" w:hAnsi="Arial" w:cs="Arial"/>
          <w:szCs w:val="24"/>
          <w:lang w:val="en-GB"/>
        </w:rPr>
        <w:footnoteReference w:id="843"/>
      </w:r>
      <w:r w:rsidRPr="00181CF2">
        <w:rPr>
          <w:rFonts w:ascii="Arial" w:hAnsi="Arial" w:cs="Arial"/>
          <w:szCs w:val="24"/>
          <w:lang w:val="en-GB"/>
        </w:rPr>
        <w:t xml:space="preserve"> should not be allowed to make an application unless with the consent of his or her parents and/or legal guardians, and why;</w:t>
      </w:r>
    </w:p>
    <w:p w:rsidR="005266B3" w:rsidRPr="00C57CE1"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pStyle w:val="ListParagraph"/>
        <w:numPr>
          <w:ilvl w:val="0"/>
          <w:numId w:val="48"/>
        </w:numPr>
        <w:tabs>
          <w:tab w:val="left" w:pos="851"/>
        </w:tabs>
        <w:adjustRightInd w:val="0"/>
        <w:snapToGrid w:val="0"/>
        <w:ind w:leftChars="0" w:left="1701" w:hanging="850"/>
        <w:jc w:val="both"/>
        <w:rPr>
          <w:rFonts w:ascii="Arial" w:hAnsi="Arial" w:cs="Arial"/>
          <w:i/>
          <w:szCs w:val="24"/>
          <w:lang w:val="en-GB"/>
        </w:rPr>
      </w:pPr>
      <w:r w:rsidRPr="0028108F">
        <w:rPr>
          <w:rFonts w:ascii="Arial" w:hAnsi="Arial" w:cs="Arial"/>
          <w:szCs w:val="24"/>
          <w:lang w:val="en-GB"/>
        </w:rPr>
        <w:t>whether there should be additional requirements for a minor applicant which would not be required for an adult applicant, and why; and</w:t>
      </w:r>
    </w:p>
    <w:p w:rsidR="005266B3" w:rsidRPr="0028108F" w:rsidRDefault="005266B3" w:rsidP="005266B3">
      <w:pPr>
        <w:pStyle w:val="ListParagraph"/>
        <w:rPr>
          <w:rFonts w:ascii="Arial" w:hAnsi="Arial" w:cs="Arial"/>
          <w:szCs w:val="24"/>
          <w:lang w:val="en-GB"/>
        </w:rPr>
      </w:pPr>
    </w:p>
    <w:p w:rsidR="005266B3" w:rsidRPr="0028108F" w:rsidRDefault="005266B3" w:rsidP="005266B3">
      <w:pPr>
        <w:pStyle w:val="ListParagraph"/>
        <w:numPr>
          <w:ilvl w:val="0"/>
          <w:numId w:val="48"/>
        </w:numPr>
        <w:tabs>
          <w:tab w:val="left" w:pos="851"/>
        </w:tabs>
        <w:adjustRightInd w:val="0"/>
        <w:snapToGrid w:val="0"/>
        <w:ind w:leftChars="0" w:left="1701" w:hanging="850"/>
        <w:jc w:val="both"/>
        <w:rPr>
          <w:rFonts w:ascii="Arial" w:hAnsi="Arial" w:cs="Arial"/>
          <w:i/>
          <w:szCs w:val="24"/>
          <w:lang w:val="en-GB"/>
        </w:rPr>
      </w:pPr>
      <w:r w:rsidRPr="0028108F">
        <w:rPr>
          <w:rFonts w:ascii="Arial" w:hAnsi="Arial" w:cs="Arial"/>
          <w:szCs w:val="24"/>
          <w:lang w:val="en-GB"/>
        </w:rPr>
        <w:t>if the answer to sub-paragraph (b) is “yes”, what kind of requirement(s) and evidence should be required.</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9:</w:t>
      </w:r>
      <w:r w:rsidRPr="0028108F">
        <w:rPr>
          <w:rFonts w:ascii="Arial" w:hAnsi="Arial" w:cs="Arial"/>
          <w:b/>
          <w:sz w:val="28"/>
          <w:szCs w:val="28"/>
          <w:lang w:val="en-GB"/>
        </w:rPr>
        <w:tab/>
        <w:t xml:space="preserve">Marital status requirement for gender recognition (near paragraph </w:t>
      </w:r>
      <w:r w:rsidRPr="008813DE">
        <w:rPr>
          <w:rFonts w:ascii="Arial" w:hAnsi="Arial" w:cs="Arial"/>
          <w:b/>
          <w:sz w:val="28"/>
          <w:szCs w:val="28"/>
          <w:lang w:val="en-GB"/>
        </w:rPr>
        <w:t>7.6</w:t>
      </w:r>
      <w:r w:rsidR="00C57CE1" w:rsidRPr="008813DE">
        <w:rPr>
          <w:rFonts w:ascii="Arial" w:hAnsi="Arial" w:cs="Arial"/>
          <w:b/>
          <w:sz w:val="28"/>
          <w:szCs w:val="28"/>
          <w:lang w:val="en-GB"/>
        </w:rPr>
        <w:t>3</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b/>
          <w:szCs w:val="24"/>
          <w:lang w:val="en-GB"/>
        </w:rPr>
      </w:pPr>
    </w:p>
    <w:p w:rsidR="005266B3" w:rsidRPr="0028108F" w:rsidRDefault="005266B3" w:rsidP="005266B3">
      <w:pPr>
        <w:tabs>
          <w:tab w:val="left" w:pos="851"/>
        </w:tabs>
        <w:adjustRightInd w:val="0"/>
        <w:snapToGrid w:val="0"/>
        <w:jc w:val="both"/>
        <w:rPr>
          <w:rFonts w:ascii="Arial" w:hAnsi="Arial" w:cs="Arial"/>
          <w:i/>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pStyle w:val="ListParagraph"/>
        <w:numPr>
          <w:ilvl w:val="0"/>
          <w:numId w:val="120"/>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there should be requirements relating to marital status of the applicant, and why.  </w:t>
      </w:r>
    </w:p>
    <w:p w:rsidR="005266B3" w:rsidRPr="0028108F" w:rsidRDefault="005266B3" w:rsidP="005266B3">
      <w:pPr>
        <w:pStyle w:val="ListParagraph"/>
        <w:rPr>
          <w:rFonts w:ascii="Arial" w:hAnsi="Arial" w:cs="Arial"/>
          <w:szCs w:val="24"/>
          <w:lang w:val="en-GB"/>
        </w:rPr>
      </w:pPr>
    </w:p>
    <w:p w:rsidR="005266B3" w:rsidRPr="0028108F" w:rsidRDefault="005266B3" w:rsidP="005266B3">
      <w:pPr>
        <w:pStyle w:val="ListParagraph"/>
        <w:numPr>
          <w:ilvl w:val="0"/>
          <w:numId w:val="120"/>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pStyle w:val="ListParagraph"/>
        <w:numPr>
          <w:ilvl w:val="0"/>
          <w:numId w:val="46"/>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whether an applicant for gender recognition should be unmarried or divorced before making an application, and why; </w:t>
      </w:r>
    </w:p>
    <w:p w:rsidR="005266B3" w:rsidRPr="0028108F" w:rsidRDefault="005266B3" w:rsidP="005266B3">
      <w:pPr>
        <w:tabs>
          <w:tab w:val="left" w:pos="1418"/>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46"/>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if the answer to sub-paragraph (a) is “no”, whether a married applicant should be granted only an </w:t>
      </w:r>
      <w:r w:rsidRPr="0028108F">
        <w:rPr>
          <w:rFonts w:ascii="Arial" w:hAnsi="Arial" w:cs="Arial"/>
          <w:i/>
          <w:szCs w:val="24"/>
          <w:lang w:val="en-GB"/>
        </w:rPr>
        <w:t>interim</w:t>
      </w:r>
      <w:r w:rsidRPr="0028108F">
        <w:rPr>
          <w:rFonts w:ascii="Arial" w:hAnsi="Arial" w:cs="Arial"/>
          <w:szCs w:val="24"/>
          <w:lang w:val="en-GB"/>
        </w:rPr>
        <w:t xml:space="preserve"> gender recognition status, which may be a new basis for dissolution of marriage in Hong Kong, and why; and  </w:t>
      </w:r>
    </w:p>
    <w:p w:rsidR="005266B3" w:rsidRPr="0028108F" w:rsidRDefault="005266B3" w:rsidP="005266B3">
      <w:pPr>
        <w:adjustRightInd w:val="0"/>
        <w:snapToGrid w:val="0"/>
        <w:ind w:leftChars="200" w:left="480"/>
        <w:jc w:val="both"/>
        <w:rPr>
          <w:rFonts w:ascii="Arial" w:hAnsi="Arial" w:cs="Arial"/>
          <w:szCs w:val="24"/>
          <w:lang w:val="en-GB"/>
        </w:rPr>
      </w:pPr>
    </w:p>
    <w:p w:rsidR="005266B3" w:rsidRPr="0028108F" w:rsidRDefault="005266B3" w:rsidP="005266B3">
      <w:pPr>
        <w:pStyle w:val="ListParagraph"/>
        <w:numPr>
          <w:ilvl w:val="0"/>
          <w:numId w:val="46"/>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whether a full gender recognition status should be granted to a married applicant only after his or her marriage has been dissolved or his or her spouse dies, and why.</w:t>
      </w: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snapToGrid w:val="0"/>
        <w:ind w:leftChars="200" w:left="1331" w:hanging="851"/>
        <w:jc w:val="both"/>
        <w:rPr>
          <w:rFonts w:ascii="Arial" w:hAnsi="Arial" w:cs="Arial"/>
          <w:i/>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10:</w:t>
      </w:r>
      <w:r w:rsidRPr="0028108F">
        <w:rPr>
          <w:rFonts w:ascii="Arial" w:hAnsi="Arial" w:cs="Arial"/>
          <w:b/>
          <w:sz w:val="28"/>
          <w:szCs w:val="28"/>
          <w:lang w:val="en-GB"/>
        </w:rPr>
        <w:tab/>
        <w:t xml:space="preserve">Parental status requirement for gender recognition (near paragraph </w:t>
      </w:r>
      <w:r w:rsidRPr="008813DE">
        <w:rPr>
          <w:rFonts w:ascii="Arial" w:hAnsi="Arial" w:cs="Arial"/>
          <w:b/>
          <w:sz w:val="28"/>
          <w:szCs w:val="28"/>
          <w:lang w:val="en-GB"/>
        </w:rPr>
        <w:t>7.7</w:t>
      </w:r>
      <w:r w:rsidR="00C57CE1" w:rsidRPr="008813DE">
        <w:rPr>
          <w:rFonts w:ascii="Arial" w:hAnsi="Arial" w:cs="Arial"/>
          <w:b/>
          <w:sz w:val="28"/>
          <w:szCs w:val="28"/>
          <w:lang w:val="en-GB"/>
        </w:rPr>
        <w:t>3</w:t>
      </w:r>
      <w:r w:rsidRPr="00EB268D">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b/>
          <w:szCs w:val="24"/>
          <w:lang w:val="en-GB"/>
        </w:rPr>
      </w:pPr>
    </w:p>
    <w:p w:rsidR="005266B3" w:rsidRPr="0028108F" w:rsidRDefault="005266B3" w:rsidP="005266B3">
      <w:pPr>
        <w:tabs>
          <w:tab w:val="left" w:pos="851"/>
        </w:tabs>
        <w:adjustRightInd w:val="0"/>
        <w:snapToGrid w:val="0"/>
        <w:jc w:val="both"/>
        <w:rPr>
          <w:rFonts w:ascii="Arial" w:hAnsi="Arial" w:cs="Arial"/>
          <w:i/>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adjustRightInd w:val="0"/>
        <w:snapToGrid w:val="0"/>
        <w:ind w:leftChars="200" w:left="480"/>
        <w:jc w:val="both"/>
        <w:rPr>
          <w:rFonts w:ascii="Arial" w:hAnsi="Arial" w:cs="Arial"/>
          <w:b/>
          <w:szCs w:val="24"/>
          <w:lang w:val="en-GB"/>
        </w:rPr>
      </w:pPr>
    </w:p>
    <w:p w:rsidR="005266B3" w:rsidRPr="0028108F" w:rsidRDefault="005266B3" w:rsidP="005266B3">
      <w:pPr>
        <w:pStyle w:val="ListParagraph"/>
        <w:numPr>
          <w:ilvl w:val="0"/>
          <w:numId w:val="125"/>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requirements relating to parental status of the applicant, and why.</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pStyle w:val="ListParagraph"/>
        <w:numPr>
          <w:ilvl w:val="0"/>
          <w:numId w:val="125"/>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w:t>
      </w:r>
    </w:p>
    <w:p w:rsidR="005266B3" w:rsidRPr="0028108F" w:rsidRDefault="005266B3" w:rsidP="005266B3">
      <w:pPr>
        <w:tabs>
          <w:tab w:val="left" w:pos="851"/>
        </w:tabs>
        <w:adjustRightInd w:val="0"/>
        <w:snapToGrid w:val="0"/>
        <w:ind w:leftChars="200" w:left="1331" w:hanging="851"/>
        <w:jc w:val="both"/>
        <w:rPr>
          <w:rFonts w:ascii="Arial" w:hAnsi="Arial" w:cs="Arial"/>
          <w:szCs w:val="24"/>
          <w:lang w:val="en-GB"/>
        </w:rPr>
      </w:pPr>
    </w:p>
    <w:p w:rsidR="005266B3" w:rsidRPr="0028108F" w:rsidRDefault="005266B3" w:rsidP="005266B3">
      <w:pPr>
        <w:pStyle w:val="ListParagraph"/>
        <w:numPr>
          <w:ilvl w:val="0"/>
          <w:numId w:val="47"/>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 xml:space="preserve">whether an applicant for gender recognition should </w:t>
      </w:r>
      <w:r w:rsidRPr="0028108F">
        <w:rPr>
          <w:rFonts w:ascii="Arial" w:hAnsi="Arial" w:cs="Arial"/>
          <w:i/>
          <w:szCs w:val="24"/>
          <w:lang w:val="en-GB"/>
        </w:rPr>
        <w:t>not</w:t>
      </w:r>
      <w:r w:rsidRPr="0028108F">
        <w:rPr>
          <w:rFonts w:ascii="Arial" w:hAnsi="Arial" w:cs="Arial"/>
          <w:szCs w:val="24"/>
          <w:lang w:val="en-GB"/>
        </w:rPr>
        <w:t xml:space="preserve"> be a father or mother of any child, no matter the age of the child, and why;</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C57CE1" w:rsidP="005266B3">
      <w:pPr>
        <w:pStyle w:val="ListParagraph"/>
        <w:numPr>
          <w:ilvl w:val="0"/>
          <w:numId w:val="47"/>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whether an applicant for gender recognition</w:t>
      </w:r>
      <w:r w:rsidRPr="0028108F">
        <w:rPr>
          <w:rFonts w:ascii="Arial" w:hAnsi="Arial" w:cs="Arial" w:hint="eastAsia"/>
          <w:szCs w:val="24"/>
          <w:lang w:val="en-GB"/>
        </w:rPr>
        <w:t xml:space="preserve"> </w:t>
      </w:r>
      <w:r w:rsidRPr="0028108F">
        <w:rPr>
          <w:rFonts w:ascii="Arial" w:hAnsi="Arial" w:cs="Arial"/>
          <w:szCs w:val="24"/>
          <w:lang w:val="en-GB"/>
        </w:rPr>
        <w:t>should not be a father or mother of any child</w:t>
      </w:r>
      <w:r w:rsidRPr="0028108F">
        <w:rPr>
          <w:rFonts w:ascii="Arial" w:hAnsi="Arial" w:cs="Arial" w:hint="eastAsia"/>
          <w:szCs w:val="24"/>
          <w:lang w:val="en-GB"/>
        </w:rPr>
        <w:t xml:space="preserve"> </w:t>
      </w:r>
      <w:r w:rsidRPr="0028108F">
        <w:rPr>
          <w:rFonts w:ascii="Arial" w:hAnsi="Arial" w:cs="Arial"/>
          <w:szCs w:val="24"/>
          <w:lang w:val="en-GB"/>
        </w:rPr>
        <w:t>below a certain age limit, and why</w:t>
      </w:r>
      <w:r w:rsidR="005266B3" w:rsidRPr="0028108F">
        <w:rPr>
          <w:rFonts w:ascii="Arial" w:hAnsi="Arial" w:cs="Arial"/>
          <w:szCs w:val="24"/>
          <w:lang w:val="en-GB"/>
        </w:rPr>
        <w:t xml:space="preserve">; </w:t>
      </w:r>
    </w:p>
    <w:p w:rsidR="005266B3" w:rsidRPr="0028108F" w:rsidRDefault="005266B3" w:rsidP="005266B3">
      <w:pPr>
        <w:pStyle w:val="ListParagraph"/>
        <w:rPr>
          <w:rFonts w:ascii="Arial" w:hAnsi="Arial" w:cs="Arial"/>
          <w:szCs w:val="24"/>
          <w:lang w:val="en-GB"/>
        </w:rPr>
      </w:pPr>
    </w:p>
    <w:p w:rsidR="005266B3" w:rsidRPr="0028108F" w:rsidRDefault="005266B3" w:rsidP="005266B3">
      <w:pPr>
        <w:pStyle w:val="ListParagraph"/>
        <w:numPr>
          <w:ilvl w:val="0"/>
          <w:numId w:val="47"/>
        </w:numPr>
        <w:tabs>
          <w:tab w:val="left" w:pos="851"/>
        </w:tabs>
        <w:adjustRightInd w:val="0"/>
        <w:snapToGrid w:val="0"/>
        <w:ind w:leftChars="0" w:left="1701" w:hanging="850"/>
        <w:jc w:val="both"/>
        <w:rPr>
          <w:rFonts w:ascii="Arial" w:hAnsi="Arial" w:cs="Arial"/>
          <w:szCs w:val="24"/>
          <w:lang w:val="en-GB"/>
        </w:rPr>
      </w:pPr>
      <w:r w:rsidRPr="0028108F">
        <w:rPr>
          <w:rFonts w:ascii="Arial" w:hAnsi="Arial" w:cs="Arial"/>
          <w:szCs w:val="24"/>
          <w:lang w:val="en-GB"/>
        </w:rPr>
        <w:t>if the answer to sub-paragraph (b) is “yes”, what the age limit should be, and why.</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11:</w:t>
      </w:r>
      <w:r w:rsidRPr="0028108F">
        <w:rPr>
          <w:rFonts w:ascii="Arial" w:hAnsi="Arial" w:cs="Arial"/>
          <w:b/>
          <w:sz w:val="28"/>
          <w:szCs w:val="28"/>
          <w:lang w:val="en-GB"/>
        </w:rPr>
        <w:tab/>
        <w:t xml:space="preserve">Recognition of foreign gender change (near paragraph </w:t>
      </w:r>
      <w:r w:rsidRPr="008813DE">
        <w:rPr>
          <w:rFonts w:ascii="Arial" w:hAnsi="Arial" w:cs="Arial"/>
          <w:b/>
          <w:sz w:val="28"/>
          <w:szCs w:val="28"/>
          <w:lang w:val="en-GB"/>
        </w:rPr>
        <w:t>7.8</w:t>
      </w:r>
      <w:r w:rsidR="00C57CE1" w:rsidRPr="008813DE">
        <w:rPr>
          <w:rFonts w:ascii="Arial" w:hAnsi="Arial" w:cs="Arial"/>
          <w:b/>
          <w:sz w:val="28"/>
          <w:szCs w:val="28"/>
          <w:lang w:val="en-GB"/>
        </w:rPr>
        <w:t>7</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b/>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21"/>
        </w:numPr>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a gender change which is recognised under the law of a country or territory outside Hong Kong should be recognised in Hong Kong, and why.</w:t>
      </w:r>
    </w:p>
    <w:p w:rsidR="005266B3" w:rsidRPr="0028108F" w:rsidRDefault="005266B3" w:rsidP="005266B3">
      <w:pPr>
        <w:pStyle w:val="ListParagraph"/>
        <w:adjustRightInd w:val="0"/>
        <w:snapToGrid w:val="0"/>
        <w:ind w:leftChars="0" w:left="851"/>
        <w:jc w:val="both"/>
        <w:rPr>
          <w:rFonts w:ascii="Arial" w:hAnsi="Arial" w:cs="Arial"/>
          <w:szCs w:val="24"/>
          <w:lang w:val="en-GB"/>
        </w:rPr>
      </w:pPr>
    </w:p>
    <w:p w:rsidR="005266B3" w:rsidRPr="0028108F" w:rsidRDefault="005266B3" w:rsidP="005266B3">
      <w:pPr>
        <w:pStyle w:val="ListParagraph"/>
        <w:numPr>
          <w:ilvl w:val="0"/>
          <w:numId w:val="121"/>
        </w:numPr>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If the answer to sub-paragraph (1) is “yes”, </w:t>
      </w:r>
    </w:p>
    <w:p w:rsidR="005266B3" w:rsidRPr="0028108F" w:rsidRDefault="005266B3" w:rsidP="0028108F">
      <w:pPr>
        <w:pStyle w:val="ListParagraph"/>
        <w:adjustRightInd w:val="0"/>
        <w:snapToGrid w:val="0"/>
        <w:ind w:leftChars="0" w:left="851"/>
        <w:jc w:val="both"/>
        <w:rPr>
          <w:rFonts w:ascii="Arial" w:hAnsi="Arial" w:cs="Arial"/>
          <w:szCs w:val="24"/>
          <w:lang w:val="en-GB"/>
        </w:rPr>
      </w:pPr>
    </w:p>
    <w:p w:rsidR="005266B3" w:rsidRPr="0028108F" w:rsidRDefault="005266B3" w:rsidP="005266B3">
      <w:pPr>
        <w:pStyle w:val="ListParagraph"/>
        <w:numPr>
          <w:ilvl w:val="0"/>
          <w:numId w:val="49"/>
        </w:numPr>
        <w:adjustRightInd w:val="0"/>
        <w:snapToGrid w:val="0"/>
        <w:ind w:leftChars="0" w:hanging="844"/>
        <w:jc w:val="both"/>
        <w:rPr>
          <w:rFonts w:ascii="Arial" w:hAnsi="Arial" w:cs="Arial"/>
          <w:szCs w:val="24"/>
          <w:lang w:val="en-GB"/>
        </w:rPr>
      </w:pPr>
      <w:r w:rsidRPr="0028108F">
        <w:rPr>
          <w:rFonts w:ascii="Arial" w:hAnsi="Arial" w:cs="Arial"/>
          <w:szCs w:val="24"/>
          <w:lang w:val="en-GB"/>
        </w:rPr>
        <w:t xml:space="preserve">whether the </w:t>
      </w:r>
      <w:r w:rsidR="00C57CE1">
        <w:rPr>
          <w:rFonts w:ascii="Arial" w:hAnsi="Arial" w:cs="Arial"/>
          <w:szCs w:val="24"/>
          <w:lang w:val="en-GB"/>
        </w:rPr>
        <w:t xml:space="preserve">relevant </w:t>
      </w:r>
      <w:r w:rsidRPr="0028108F">
        <w:rPr>
          <w:rFonts w:ascii="Arial" w:hAnsi="Arial" w:cs="Arial"/>
          <w:szCs w:val="24"/>
          <w:lang w:val="en-GB"/>
        </w:rPr>
        <w:t>countries and territories outside Hong Kong should be limited to those having certain requirements for gender recognition, and why;</w:t>
      </w:r>
    </w:p>
    <w:p w:rsidR="005266B3" w:rsidRPr="0028108F" w:rsidRDefault="005266B3" w:rsidP="005266B3">
      <w:pPr>
        <w:pStyle w:val="ListParagraph"/>
        <w:tabs>
          <w:tab w:val="left" w:pos="851"/>
        </w:tabs>
        <w:adjustRightInd w:val="0"/>
        <w:snapToGrid w:val="0"/>
        <w:ind w:leftChars="0" w:left="1985"/>
        <w:jc w:val="both"/>
        <w:rPr>
          <w:rFonts w:ascii="Arial" w:hAnsi="Arial" w:cs="Arial"/>
          <w:szCs w:val="24"/>
          <w:lang w:val="en-GB"/>
        </w:rPr>
      </w:pPr>
    </w:p>
    <w:p w:rsidR="005266B3" w:rsidRPr="0028108F" w:rsidRDefault="005266B3" w:rsidP="005266B3">
      <w:pPr>
        <w:pStyle w:val="ListParagraph"/>
        <w:numPr>
          <w:ilvl w:val="0"/>
          <w:numId w:val="49"/>
        </w:numPr>
        <w:adjustRightInd w:val="0"/>
        <w:snapToGrid w:val="0"/>
        <w:ind w:leftChars="0" w:hanging="844"/>
        <w:jc w:val="both"/>
        <w:rPr>
          <w:rFonts w:ascii="Arial" w:hAnsi="Arial" w:cs="Arial"/>
          <w:szCs w:val="24"/>
          <w:lang w:val="en-GB"/>
        </w:rPr>
      </w:pPr>
      <w:r w:rsidRPr="0028108F">
        <w:rPr>
          <w:rFonts w:ascii="Arial" w:hAnsi="Arial" w:cs="Arial"/>
          <w:szCs w:val="24"/>
          <w:lang w:val="en-GB"/>
        </w:rPr>
        <w:t xml:space="preserve">if the answer to sub-paragraph (a) is “yes”, what </w:t>
      </w:r>
      <w:r w:rsidR="00C57CE1" w:rsidRPr="0028108F">
        <w:rPr>
          <w:rFonts w:ascii="Arial" w:hAnsi="Arial" w:cs="Arial"/>
          <w:szCs w:val="24"/>
          <w:lang w:val="en-GB"/>
        </w:rPr>
        <w:t>should those requirements be</w:t>
      </w:r>
      <w:r w:rsidRPr="0028108F">
        <w:rPr>
          <w:rFonts w:ascii="Arial" w:hAnsi="Arial" w:cs="Arial"/>
          <w:szCs w:val="24"/>
          <w:lang w:val="en-GB"/>
        </w:rPr>
        <w:t xml:space="preserve">; </w:t>
      </w:r>
    </w:p>
    <w:p w:rsidR="005266B3" w:rsidRPr="0028108F" w:rsidRDefault="005266B3" w:rsidP="005266B3">
      <w:pPr>
        <w:pStyle w:val="ListParagraph"/>
        <w:rPr>
          <w:rFonts w:ascii="Arial" w:hAnsi="Arial" w:cs="Arial"/>
          <w:szCs w:val="24"/>
          <w:lang w:val="en-GB"/>
        </w:rPr>
      </w:pPr>
    </w:p>
    <w:p w:rsidR="005266B3" w:rsidRPr="0028108F" w:rsidRDefault="005266B3" w:rsidP="005266B3">
      <w:pPr>
        <w:pStyle w:val="ListParagraph"/>
        <w:numPr>
          <w:ilvl w:val="0"/>
          <w:numId w:val="49"/>
        </w:numPr>
        <w:adjustRightInd w:val="0"/>
        <w:snapToGrid w:val="0"/>
        <w:ind w:leftChars="0" w:hanging="844"/>
        <w:jc w:val="both"/>
        <w:rPr>
          <w:rFonts w:ascii="Arial" w:hAnsi="Arial" w:cs="Arial"/>
          <w:szCs w:val="24"/>
          <w:lang w:val="en-GB"/>
        </w:rPr>
      </w:pPr>
      <w:r w:rsidRPr="0028108F">
        <w:rPr>
          <w:rFonts w:ascii="Arial" w:hAnsi="Arial" w:cs="Arial"/>
          <w:szCs w:val="24"/>
          <w:lang w:val="en-GB"/>
        </w:rPr>
        <w:t>what kind of evidence should be required to demonstrate that the applicant has been legally recognised in his or her acquired gender in that particular country or territory; and</w:t>
      </w:r>
    </w:p>
    <w:p w:rsidR="005266B3" w:rsidRPr="0028108F" w:rsidRDefault="005266B3" w:rsidP="005266B3">
      <w:pPr>
        <w:pStyle w:val="ListParagraph"/>
        <w:rPr>
          <w:rFonts w:ascii="Arial" w:hAnsi="Arial" w:cs="Arial"/>
          <w:szCs w:val="24"/>
          <w:lang w:val="en-GB"/>
        </w:rPr>
      </w:pPr>
    </w:p>
    <w:p w:rsidR="005266B3" w:rsidRDefault="005266B3" w:rsidP="002B6B0D">
      <w:pPr>
        <w:pStyle w:val="ListParagraph"/>
        <w:numPr>
          <w:ilvl w:val="0"/>
          <w:numId w:val="49"/>
        </w:numPr>
        <w:adjustRightInd w:val="0"/>
        <w:snapToGrid w:val="0"/>
        <w:ind w:leftChars="0" w:hanging="844"/>
        <w:jc w:val="both"/>
        <w:rPr>
          <w:rFonts w:ascii="Arial" w:hAnsi="Arial" w:cs="Arial"/>
          <w:szCs w:val="24"/>
          <w:lang w:val="en-GB"/>
        </w:rPr>
      </w:pPr>
      <w:r w:rsidRPr="0028108F">
        <w:rPr>
          <w:rFonts w:ascii="Arial" w:hAnsi="Arial" w:cs="Arial"/>
          <w:szCs w:val="24"/>
          <w:lang w:val="en-GB"/>
        </w:rPr>
        <w:t>what kind of connection between the applicant and the foreign country or territory (such as citizenship in the country or territory where the gender change was recognised) should be required.</w:t>
      </w:r>
    </w:p>
    <w:p w:rsidR="00ED5912" w:rsidRPr="00ED5912" w:rsidRDefault="00ED5912" w:rsidP="00ED5912">
      <w:pPr>
        <w:pStyle w:val="ListParagraph"/>
        <w:rPr>
          <w:rFonts w:ascii="Arial" w:hAnsi="Arial" w:cs="Arial"/>
          <w:szCs w:val="24"/>
          <w:lang w:val="en-GB"/>
        </w:rPr>
      </w:pPr>
    </w:p>
    <w:p w:rsidR="00ED5912" w:rsidRPr="002B6B0D" w:rsidRDefault="00ED5912" w:rsidP="00ED5912">
      <w:pPr>
        <w:pStyle w:val="ListParagraph"/>
        <w:adjustRightInd w:val="0"/>
        <w:snapToGrid w:val="0"/>
        <w:ind w:leftChars="0" w:left="1695"/>
        <w:jc w:val="both"/>
        <w:rPr>
          <w:rFonts w:ascii="Arial" w:hAnsi="Arial" w:cs="Arial"/>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12:</w:t>
      </w:r>
      <w:r w:rsidRPr="0028108F">
        <w:rPr>
          <w:rFonts w:ascii="Arial" w:hAnsi="Arial" w:cs="Arial"/>
          <w:b/>
          <w:sz w:val="28"/>
          <w:szCs w:val="28"/>
          <w:lang w:val="en-GB"/>
        </w:rPr>
        <w:tab/>
        <w:t xml:space="preserve">Other possible non-medical requirements for gender recognition (near paragraph </w:t>
      </w:r>
      <w:r w:rsidRPr="008813DE">
        <w:rPr>
          <w:rFonts w:ascii="Arial" w:hAnsi="Arial" w:cs="Arial"/>
          <w:b/>
          <w:sz w:val="28"/>
          <w:szCs w:val="28"/>
          <w:lang w:val="en-GB"/>
        </w:rPr>
        <w:t>7.8</w:t>
      </w:r>
      <w:r w:rsidR="00C57CE1" w:rsidRPr="008813DE">
        <w:rPr>
          <w:rFonts w:ascii="Arial" w:hAnsi="Arial" w:cs="Arial"/>
          <w:b/>
          <w:sz w:val="28"/>
          <w:szCs w:val="28"/>
          <w:lang w:val="en-GB"/>
        </w:rPr>
        <w:t>8</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26"/>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there should be any other non-medical requirement for gender recognition, and why.</w:t>
      </w:r>
    </w:p>
    <w:p w:rsidR="005266B3" w:rsidRPr="0028108F" w:rsidRDefault="005266B3" w:rsidP="005266B3">
      <w:pPr>
        <w:pStyle w:val="ListParagraph"/>
        <w:tabs>
          <w:tab w:val="left" w:pos="851"/>
        </w:tabs>
        <w:adjustRightInd w:val="0"/>
        <w:snapToGrid w:val="0"/>
        <w:ind w:leftChars="0" w:left="851"/>
        <w:jc w:val="both"/>
        <w:rPr>
          <w:rFonts w:ascii="Arial" w:hAnsi="Arial" w:cs="Arial"/>
          <w:szCs w:val="24"/>
          <w:lang w:val="en-GB"/>
        </w:rPr>
      </w:pPr>
    </w:p>
    <w:p w:rsidR="005266B3" w:rsidRPr="0028108F" w:rsidRDefault="005266B3" w:rsidP="005266B3">
      <w:pPr>
        <w:pStyle w:val="ListParagraph"/>
        <w:numPr>
          <w:ilvl w:val="0"/>
          <w:numId w:val="126"/>
        </w:numPr>
        <w:tabs>
          <w:tab w:val="left" w:pos="851"/>
        </w:tabs>
        <w:adjustRightInd w:val="0"/>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 what kind of further evidence in this regard should be required.</w:t>
      </w:r>
    </w:p>
    <w:p w:rsidR="005266B3" w:rsidRPr="0028108F" w:rsidRDefault="005266B3" w:rsidP="005266B3">
      <w:pPr>
        <w:adjustRightInd w:val="0"/>
        <w:snapToGrid w:val="0"/>
        <w:ind w:leftChars="200" w:left="480"/>
        <w:jc w:val="both"/>
        <w:rPr>
          <w:rFonts w:ascii="Arial" w:hAnsi="Arial" w:cs="Arial"/>
          <w:b/>
          <w:sz w:val="28"/>
          <w:szCs w:val="28"/>
          <w:lang w:val="en-GB"/>
        </w:rPr>
      </w:pPr>
    </w:p>
    <w:p w:rsidR="005266B3" w:rsidRPr="0028108F" w:rsidRDefault="005266B3" w:rsidP="005266B3">
      <w:pPr>
        <w:adjustRightInd w:val="0"/>
        <w:snapToGrid w:val="0"/>
        <w:ind w:leftChars="200" w:left="480"/>
        <w:jc w:val="both"/>
        <w:rPr>
          <w:rFonts w:ascii="Arial" w:hAnsi="Arial" w:cs="Arial"/>
          <w:b/>
          <w:sz w:val="28"/>
          <w:szCs w:val="28"/>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13:</w:t>
      </w:r>
      <w:r w:rsidRPr="0028108F">
        <w:rPr>
          <w:rFonts w:ascii="Arial" w:hAnsi="Arial" w:cs="Arial"/>
          <w:b/>
          <w:sz w:val="28"/>
          <w:szCs w:val="28"/>
          <w:lang w:val="en-GB"/>
        </w:rPr>
        <w:tab/>
        <w:t xml:space="preserve">Type of gender recognition scheme, if adopted (near paragraph </w:t>
      </w:r>
      <w:r w:rsidRPr="008813DE">
        <w:rPr>
          <w:rFonts w:ascii="Arial" w:hAnsi="Arial" w:cs="Arial"/>
          <w:b/>
          <w:sz w:val="28"/>
          <w:szCs w:val="28"/>
          <w:lang w:val="en-GB"/>
        </w:rPr>
        <w:t>8.10</w:t>
      </w:r>
      <w:r w:rsidRPr="00EB268D">
        <w:rPr>
          <w:rFonts w:ascii="Arial" w:hAnsi="Arial" w:cs="Arial"/>
          <w:b/>
          <w:sz w:val="28"/>
          <w:szCs w:val="28"/>
          <w:lang w:val="en-GB"/>
        </w:rPr>
        <w:t>)</w:t>
      </w:r>
    </w:p>
    <w:p w:rsidR="005266B3" w:rsidRPr="0028108F" w:rsidRDefault="005266B3" w:rsidP="005266B3">
      <w:pPr>
        <w:pStyle w:val="ListParagraph"/>
        <w:snapToGrid w:val="0"/>
        <w:ind w:leftChars="555" w:left="1982" w:hangingChars="271" w:hanging="650"/>
        <w:jc w:val="both"/>
        <w:rPr>
          <w:rFonts w:ascii="Arial" w:eastAsiaTheme="minorEastAsia" w:hAnsi="Arial" w:cs="Arial"/>
          <w:szCs w:val="24"/>
          <w:lang w:val="en-GB"/>
        </w:rPr>
      </w:pPr>
    </w:p>
    <w:p w:rsidR="00341CA2" w:rsidRDefault="00C57CE1"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the scheme should be:</w:t>
      </w:r>
    </w:p>
    <w:p w:rsidR="009D1B5A" w:rsidRDefault="00C57CE1"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 </w:t>
      </w:r>
    </w:p>
    <w:p w:rsidR="00341CA2" w:rsidRPr="00B25672" w:rsidRDefault="00C57CE1" w:rsidP="00B25672">
      <w:pPr>
        <w:pStyle w:val="ListParagraph"/>
        <w:numPr>
          <w:ilvl w:val="0"/>
          <w:numId w:val="136"/>
        </w:numPr>
        <w:tabs>
          <w:tab w:val="left" w:pos="851"/>
        </w:tabs>
        <w:adjustRightInd w:val="0"/>
        <w:snapToGrid w:val="0"/>
        <w:ind w:leftChars="0"/>
        <w:jc w:val="both"/>
        <w:rPr>
          <w:rFonts w:ascii="Arial" w:hAnsi="Arial" w:cs="Arial"/>
          <w:szCs w:val="24"/>
          <w:lang w:val="en-GB"/>
        </w:rPr>
      </w:pPr>
      <w:r w:rsidRPr="00B25672">
        <w:rPr>
          <w:rFonts w:ascii="Arial" w:hAnsi="Arial" w:cs="Arial"/>
          <w:szCs w:val="24"/>
          <w:lang w:val="en-GB"/>
        </w:rPr>
        <w:t>a legislative scheme, based on a (new) specific ordinance;</w:t>
      </w:r>
    </w:p>
    <w:p w:rsidR="009D1B5A" w:rsidRPr="00B25672" w:rsidRDefault="00C57CE1" w:rsidP="00B25672">
      <w:pPr>
        <w:pStyle w:val="ListParagraph"/>
        <w:tabs>
          <w:tab w:val="left" w:pos="851"/>
        </w:tabs>
        <w:adjustRightInd w:val="0"/>
        <w:snapToGrid w:val="0"/>
        <w:ind w:leftChars="0" w:left="852"/>
        <w:jc w:val="both"/>
        <w:rPr>
          <w:rFonts w:ascii="Arial" w:hAnsi="Arial" w:cs="Arial"/>
          <w:szCs w:val="24"/>
          <w:lang w:val="en-GB"/>
        </w:rPr>
      </w:pPr>
      <w:r w:rsidRPr="00B25672">
        <w:rPr>
          <w:rFonts w:ascii="Arial" w:hAnsi="Arial" w:cs="Arial"/>
          <w:szCs w:val="24"/>
          <w:lang w:val="en-GB"/>
        </w:rPr>
        <w:t xml:space="preserve"> </w:t>
      </w:r>
    </w:p>
    <w:p w:rsidR="00341CA2" w:rsidRPr="00B25672" w:rsidRDefault="00C57CE1" w:rsidP="00B25672">
      <w:pPr>
        <w:pStyle w:val="ListParagraph"/>
        <w:numPr>
          <w:ilvl w:val="0"/>
          <w:numId w:val="136"/>
        </w:numPr>
        <w:tabs>
          <w:tab w:val="left" w:pos="851"/>
        </w:tabs>
        <w:adjustRightInd w:val="0"/>
        <w:snapToGrid w:val="0"/>
        <w:ind w:leftChars="0"/>
        <w:jc w:val="both"/>
        <w:rPr>
          <w:rFonts w:ascii="Arial" w:hAnsi="Arial" w:cs="Arial"/>
          <w:szCs w:val="24"/>
          <w:lang w:val="en-GB"/>
        </w:rPr>
      </w:pPr>
      <w:r w:rsidRPr="00B25672">
        <w:rPr>
          <w:rFonts w:ascii="Arial" w:hAnsi="Arial" w:cs="Arial"/>
          <w:szCs w:val="24"/>
          <w:lang w:val="en-GB"/>
        </w:rPr>
        <w:t>a judicial scheme, whereby issues related to gender recognition are considered by the courts on a case by case basis;</w:t>
      </w:r>
    </w:p>
    <w:p w:rsidR="009D1B5A" w:rsidRPr="00B25672" w:rsidRDefault="00C57CE1" w:rsidP="00B25672">
      <w:pPr>
        <w:pStyle w:val="ListParagraph"/>
        <w:tabs>
          <w:tab w:val="left" w:pos="851"/>
        </w:tabs>
        <w:adjustRightInd w:val="0"/>
        <w:snapToGrid w:val="0"/>
        <w:ind w:leftChars="0" w:left="852"/>
        <w:jc w:val="both"/>
        <w:rPr>
          <w:rFonts w:ascii="Arial" w:hAnsi="Arial" w:cs="Arial"/>
          <w:szCs w:val="24"/>
          <w:lang w:val="en-GB"/>
        </w:rPr>
      </w:pPr>
      <w:r w:rsidRPr="00B25672">
        <w:rPr>
          <w:rFonts w:ascii="Arial" w:hAnsi="Arial" w:cs="Arial"/>
          <w:szCs w:val="24"/>
          <w:lang w:val="en-GB"/>
        </w:rPr>
        <w:t xml:space="preserve"> </w:t>
      </w:r>
    </w:p>
    <w:p w:rsidR="00341CA2" w:rsidRPr="00B25672" w:rsidRDefault="00C57CE1" w:rsidP="00B25672">
      <w:pPr>
        <w:pStyle w:val="ListParagraph"/>
        <w:numPr>
          <w:ilvl w:val="0"/>
          <w:numId w:val="136"/>
        </w:numPr>
        <w:tabs>
          <w:tab w:val="left" w:pos="851"/>
        </w:tabs>
        <w:adjustRightInd w:val="0"/>
        <w:snapToGrid w:val="0"/>
        <w:ind w:leftChars="0"/>
        <w:jc w:val="both"/>
        <w:rPr>
          <w:rFonts w:ascii="Arial" w:hAnsi="Arial" w:cs="Arial"/>
          <w:szCs w:val="24"/>
          <w:lang w:val="en-GB"/>
        </w:rPr>
      </w:pPr>
      <w:r w:rsidRPr="00B25672">
        <w:rPr>
          <w:rFonts w:ascii="Arial" w:hAnsi="Arial" w:cs="Arial"/>
          <w:szCs w:val="24"/>
          <w:lang w:val="en-GB"/>
        </w:rPr>
        <w:t>a scheme involving non-statutory, administrative measures only; or</w:t>
      </w:r>
    </w:p>
    <w:p w:rsidR="009D1B5A" w:rsidRPr="00B25672" w:rsidRDefault="00C57CE1" w:rsidP="00B25672">
      <w:pPr>
        <w:pStyle w:val="ListParagraph"/>
        <w:tabs>
          <w:tab w:val="left" w:pos="851"/>
        </w:tabs>
        <w:adjustRightInd w:val="0"/>
        <w:snapToGrid w:val="0"/>
        <w:ind w:leftChars="0" w:left="852"/>
        <w:jc w:val="both"/>
        <w:rPr>
          <w:rFonts w:ascii="Arial" w:hAnsi="Arial" w:cs="Arial"/>
          <w:szCs w:val="24"/>
          <w:lang w:val="en-GB"/>
        </w:rPr>
      </w:pPr>
      <w:r w:rsidRPr="00B25672">
        <w:rPr>
          <w:rFonts w:ascii="Arial" w:hAnsi="Arial" w:cs="Arial"/>
          <w:szCs w:val="24"/>
          <w:lang w:val="en-GB"/>
        </w:rPr>
        <w:t xml:space="preserve"> </w:t>
      </w:r>
    </w:p>
    <w:p w:rsidR="005266B3" w:rsidRPr="0028108F" w:rsidRDefault="00C57CE1" w:rsidP="00B25672">
      <w:pPr>
        <w:tabs>
          <w:tab w:val="left" w:pos="851"/>
        </w:tabs>
        <w:adjustRightInd w:val="0"/>
        <w:snapToGrid w:val="0"/>
        <w:ind w:left="850" w:hangingChars="354" w:hanging="850"/>
        <w:jc w:val="both"/>
        <w:rPr>
          <w:rFonts w:ascii="Arial" w:hAnsi="Arial" w:cs="Arial"/>
          <w:szCs w:val="24"/>
          <w:lang w:val="en-GB"/>
        </w:rPr>
      </w:pPr>
      <w:r w:rsidRPr="0028108F">
        <w:rPr>
          <w:rFonts w:ascii="Arial" w:hAnsi="Arial" w:cs="Arial"/>
          <w:szCs w:val="24"/>
          <w:lang w:val="en-GB"/>
        </w:rPr>
        <w:t xml:space="preserve">(d) </w:t>
      </w:r>
      <w:r w:rsidR="009D1B5A">
        <w:rPr>
          <w:rFonts w:ascii="Arial" w:hAnsi="Arial" w:cs="Arial" w:hint="eastAsia"/>
          <w:szCs w:val="24"/>
          <w:lang w:val="en-GB"/>
        </w:rPr>
        <w:tab/>
      </w:r>
      <w:r w:rsidRPr="0028108F">
        <w:rPr>
          <w:rFonts w:ascii="Arial" w:hAnsi="Arial" w:cs="Arial"/>
          <w:szCs w:val="24"/>
          <w:lang w:val="en-GB"/>
        </w:rPr>
        <w:t>a scheme comprising some combination of these approaches, and why</w:t>
      </w:r>
      <w:r w:rsidR="005266B3" w:rsidRPr="0028108F">
        <w:rPr>
          <w:rFonts w:ascii="Arial" w:hAnsi="Arial" w:cs="Arial"/>
          <w:szCs w:val="24"/>
          <w:lang w:val="en-GB"/>
        </w:rPr>
        <w:t>.</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14:</w:t>
      </w:r>
      <w:r w:rsidRPr="0028108F">
        <w:rPr>
          <w:rFonts w:ascii="Arial" w:hAnsi="Arial" w:cs="Arial"/>
          <w:b/>
          <w:sz w:val="28"/>
          <w:szCs w:val="28"/>
          <w:lang w:val="en-GB"/>
        </w:rPr>
        <w:tab/>
        <w:t xml:space="preserve">Adopting a scheme similar to overseas gender recognition scheme (near paragraph </w:t>
      </w:r>
      <w:r w:rsidRPr="008813DE">
        <w:rPr>
          <w:rFonts w:ascii="Arial" w:hAnsi="Arial" w:cs="Arial"/>
          <w:b/>
          <w:sz w:val="28"/>
          <w:szCs w:val="28"/>
          <w:lang w:val="en-GB"/>
        </w:rPr>
        <w:t>8.16</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23"/>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w:t>
      </w:r>
      <w:r w:rsidRPr="0028108F">
        <w:rPr>
          <w:rFonts w:ascii="Arial" w:hAnsi="Arial" w:cs="Arial"/>
          <w:color w:val="000000" w:themeColor="text1"/>
          <w:szCs w:val="24"/>
          <w:lang w:val="en-GB"/>
        </w:rPr>
        <w:t>the UK Gender Recognition Scheme is a suitable model to be adopted in Hong Kong, and why.</w:t>
      </w:r>
    </w:p>
    <w:p w:rsidR="005266B3" w:rsidRPr="0028108F" w:rsidRDefault="005266B3" w:rsidP="005266B3">
      <w:pPr>
        <w:adjustRightInd w:val="0"/>
        <w:snapToGrid w:val="0"/>
        <w:ind w:leftChars="200" w:left="480"/>
        <w:jc w:val="both"/>
        <w:rPr>
          <w:rFonts w:ascii="Arial" w:hAnsi="Arial" w:cs="Arial"/>
          <w:color w:val="000000" w:themeColor="text1"/>
          <w:szCs w:val="24"/>
          <w:lang w:val="en-GB"/>
        </w:rPr>
      </w:pPr>
    </w:p>
    <w:p w:rsidR="005266B3" w:rsidRPr="0028108F" w:rsidRDefault="005266B3" w:rsidP="005266B3">
      <w:pPr>
        <w:pStyle w:val="ListParagraph"/>
        <w:numPr>
          <w:ilvl w:val="0"/>
          <w:numId w:val="123"/>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color w:val="000000" w:themeColor="text1"/>
          <w:szCs w:val="24"/>
          <w:lang w:val="en-GB"/>
        </w:rPr>
        <w:t xml:space="preserve">Whether there </w:t>
      </w:r>
      <w:r w:rsidR="00C57CE1">
        <w:rPr>
          <w:rFonts w:ascii="Arial" w:hAnsi="Arial" w:cs="Arial"/>
          <w:color w:val="000000" w:themeColor="text1"/>
          <w:szCs w:val="24"/>
          <w:lang w:val="en-GB"/>
        </w:rPr>
        <w:t xml:space="preserve">are </w:t>
      </w:r>
      <w:r w:rsidRPr="0028108F">
        <w:rPr>
          <w:rFonts w:ascii="Arial" w:hAnsi="Arial" w:cs="Arial"/>
          <w:color w:val="000000" w:themeColor="text1"/>
          <w:szCs w:val="24"/>
          <w:lang w:val="en-GB"/>
        </w:rPr>
        <w:t>any particular aspects of the UK model that should be adopted, or not adopted, or modified to suit the circumstances of Hong Kong, and why.</w:t>
      </w:r>
    </w:p>
    <w:p w:rsidR="005266B3" w:rsidRPr="0028108F" w:rsidRDefault="005266B3" w:rsidP="005266B3">
      <w:pPr>
        <w:adjustRightInd w:val="0"/>
        <w:snapToGrid w:val="0"/>
        <w:ind w:leftChars="555" w:left="1899" w:hanging="567"/>
        <w:jc w:val="both"/>
        <w:rPr>
          <w:rFonts w:ascii="Arial" w:hAnsi="Arial" w:cs="Arial"/>
          <w:color w:val="000000" w:themeColor="text1"/>
          <w:szCs w:val="24"/>
          <w:lang w:val="en-GB"/>
        </w:rPr>
      </w:pPr>
    </w:p>
    <w:p w:rsidR="005266B3" w:rsidRPr="0028108F" w:rsidRDefault="005266B3" w:rsidP="005266B3">
      <w:pPr>
        <w:pStyle w:val="ListParagraph"/>
        <w:numPr>
          <w:ilvl w:val="0"/>
          <w:numId w:val="123"/>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color w:val="000000" w:themeColor="text1"/>
          <w:szCs w:val="24"/>
          <w:lang w:val="en-GB"/>
        </w:rPr>
        <w:t>Whether another jurisdiction’s gender recognition scheme (or any particular feature or features of any such scheme) would be more suitable to be adopted in Hong Kong than the UK model, and why.</w:t>
      </w:r>
    </w:p>
    <w:p w:rsidR="005266B3" w:rsidRPr="0028108F" w:rsidRDefault="005266B3" w:rsidP="0028108F">
      <w:pPr>
        <w:adjustRightInd w:val="0"/>
        <w:snapToGrid w:val="0"/>
        <w:ind w:leftChars="555" w:left="1899" w:hanging="567"/>
        <w:jc w:val="both"/>
        <w:rPr>
          <w:rFonts w:ascii="Arial" w:hAnsi="Arial" w:cs="Arial"/>
          <w:color w:val="000000" w:themeColor="text1"/>
          <w:szCs w:val="24"/>
          <w:lang w:val="en-GB"/>
        </w:rPr>
      </w:pPr>
    </w:p>
    <w:p w:rsidR="005266B3" w:rsidRPr="0028108F" w:rsidRDefault="005266B3" w:rsidP="005266B3">
      <w:pPr>
        <w:pStyle w:val="ListParagraph"/>
        <w:numPr>
          <w:ilvl w:val="0"/>
          <w:numId w:val="123"/>
        </w:numPr>
        <w:adjustRightInd w:val="0"/>
        <w:snapToGrid w:val="0"/>
        <w:ind w:leftChars="0" w:left="851" w:hanging="851"/>
        <w:jc w:val="both"/>
        <w:rPr>
          <w:rFonts w:ascii="Arial" w:hAnsi="Arial" w:cs="Arial"/>
          <w:color w:val="000000" w:themeColor="text1"/>
          <w:szCs w:val="24"/>
          <w:lang w:val="en-GB"/>
        </w:rPr>
      </w:pPr>
      <w:r w:rsidRPr="0028108F">
        <w:rPr>
          <w:rFonts w:ascii="Arial" w:hAnsi="Arial" w:cs="Arial"/>
          <w:color w:val="000000" w:themeColor="text1"/>
          <w:szCs w:val="24"/>
          <w:lang w:val="en-GB"/>
        </w:rPr>
        <w:t>Whether there is any particular gender recognition scheme in another jurisdiction</w:t>
      </w:r>
      <w:r w:rsidR="00700A62">
        <w:rPr>
          <w:rFonts w:ascii="Arial" w:hAnsi="Arial" w:cs="Arial"/>
          <w:color w:val="000000" w:themeColor="text1"/>
          <w:szCs w:val="24"/>
          <w:lang w:val="en-GB"/>
        </w:rPr>
        <w:t xml:space="preserve"> </w:t>
      </w:r>
      <w:r w:rsidR="00700A62" w:rsidRPr="0028108F">
        <w:rPr>
          <w:rFonts w:ascii="Arial" w:hAnsi="Arial" w:cs="Arial" w:hint="eastAsia"/>
          <w:color w:val="000000" w:themeColor="text1"/>
          <w:szCs w:val="24"/>
          <w:lang w:val="en-GB"/>
        </w:rPr>
        <w:t>(</w:t>
      </w:r>
      <w:r w:rsidR="00700A62" w:rsidRPr="0028108F">
        <w:rPr>
          <w:rFonts w:ascii="Arial" w:hAnsi="Arial" w:cs="Arial"/>
          <w:color w:val="000000" w:themeColor="text1"/>
          <w:szCs w:val="24"/>
          <w:lang w:val="en-GB"/>
        </w:rPr>
        <w:t>or any particular feature or features of any such scheme) that should not be adopted in Hong Kong, and why</w:t>
      </w:r>
      <w:r w:rsidRPr="0028108F">
        <w:rPr>
          <w:rFonts w:ascii="Arial" w:hAnsi="Arial" w:cs="Arial"/>
          <w:color w:val="000000" w:themeColor="text1"/>
          <w:szCs w:val="24"/>
          <w:lang w:val="en-GB"/>
        </w:rPr>
        <w:t>.</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15:</w:t>
      </w:r>
      <w:r w:rsidRPr="0028108F">
        <w:rPr>
          <w:rFonts w:ascii="Arial" w:hAnsi="Arial" w:cs="Arial"/>
          <w:b/>
          <w:sz w:val="28"/>
          <w:szCs w:val="28"/>
          <w:lang w:val="en-GB"/>
        </w:rPr>
        <w:tab/>
        <w:t xml:space="preserve">Authority to determine applications for gender recognition (near paragraph </w:t>
      </w:r>
      <w:r w:rsidRPr="008813DE">
        <w:rPr>
          <w:rFonts w:ascii="Arial" w:hAnsi="Arial" w:cs="Arial"/>
          <w:b/>
          <w:sz w:val="28"/>
          <w:szCs w:val="28"/>
          <w:lang w:val="en-GB"/>
        </w:rPr>
        <w:t>8.20</w:t>
      </w:r>
      <w:r w:rsidRPr="0028108F">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22"/>
        </w:numPr>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 xml:space="preserve">in Hong Kong, whether the authority to determine applications for gender recognition should be a statutory body performing quasi-judicial or judicial functions (such as the UK’s GRP), an administrative body, the courts, or any professional body, and why. </w:t>
      </w:r>
    </w:p>
    <w:p w:rsidR="005266B3" w:rsidRPr="0028108F" w:rsidRDefault="005266B3" w:rsidP="005266B3">
      <w:pPr>
        <w:tabs>
          <w:tab w:val="left" w:pos="851"/>
        </w:tabs>
        <w:adjustRightInd w:val="0"/>
        <w:snapToGrid w:val="0"/>
        <w:ind w:leftChars="200" w:left="1331" w:hanging="851"/>
        <w:jc w:val="both"/>
        <w:rPr>
          <w:rFonts w:ascii="Arial" w:hAnsi="Arial" w:cs="Arial"/>
          <w:szCs w:val="24"/>
          <w:lang w:val="en-GB"/>
        </w:rPr>
      </w:pPr>
    </w:p>
    <w:p w:rsidR="005266B3" w:rsidRPr="0028108F" w:rsidRDefault="005266B3" w:rsidP="005266B3">
      <w:pPr>
        <w:pStyle w:val="ListParagraph"/>
        <w:numPr>
          <w:ilvl w:val="0"/>
          <w:numId w:val="122"/>
        </w:numPr>
        <w:adjustRightInd w:val="0"/>
        <w:snapToGrid w:val="0"/>
        <w:ind w:leftChars="0" w:hanging="840"/>
        <w:jc w:val="both"/>
        <w:rPr>
          <w:rFonts w:ascii="Arial" w:hAnsi="Arial" w:cs="Arial"/>
          <w:szCs w:val="24"/>
          <w:lang w:val="en-GB"/>
        </w:rPr>
      </w:pPr>
      <w:r w:rsidRPr="0028108F">
        <w:rPr>
          <w:rFonts w:ascii="Arial" w:hAnsi="Arial" w:cs="Arial"/>
          <w:szCs w:val="24"/>
          <w:lang w:val="en-GB"/>
        </w:rPr>
        <w:t xml:space="preserve">If an authority other than the courts in sub-paragraph (1) is opted for, whether there are any particular aspects of that type of authority that should be adopted, or </w:t>
      </w:r>
      <w:r w:rsidRPr="0028108F">
        <w:rPr>
          <w:rFonts w:ascii="Arial" w:hAnsi="Arial" w:cs="Arial"/>
          <w:i/>
          <w:szCs w:val="24"/>
          <w:lang w:val="en-GB"/>
        </w:rPr>
        <w:t>not</w:t>
      </w:r>
      <w:r w:rsidRPr="0028108F">
        <w:rPr>
          <w:rFonts w:ascii="Arial" w:hAnsi="Arial" w:cs="Arial"/>
          <w:szCs w:val="24"/>
          <w:lang w:val="en-GB"/>
        </w:rPr>
        <w:t xml:space="preserve"> adopted, or modified to suit the circumstances of Hong Kong, and why.</w:t>
      </w:r>
    </w:p>
    <w:p w:rsidR="005266B3" w:rsidRPr="0028108F" w:rsidRDefault="005266B3" w:rsidP="005266B3">
      <w:pPr>
        <w:pStyle w:val="ListParagraph"/>
        <w:rPr>
          <w:rFonts w:ascii="Arial" w:hAnsi="Arial" w:cs="Arial"/>
          <w:szCs w:val="24"/>
          <w:lang w:val="en-GB"/>
        </w:rPr>
      </w:pPr>
    </w:p>
    <w:p w:rsidR="005266B3" w:rsidRPr="0028108F" w:rsidRDefault="005266B3" w:rsidP="005266B3">
      <w:pPr>
        <w:pStyle w:val="ListParagraph"/>
        <w:numPr>
          <w:ilvl w:val="0"/>
          <w:numId w:val="122"/>
        </w:numPr>
        <w:adjustRightInd w:val="0"/>
        <w:snapToGrid w:val="0"/>
        <w:ind w:leftChars="0" w:hanging="840"/>
        <w:jc w:val="both"/>
        <w:rPr>
          <w:rFonts w:ascii="Arial" w:hAnsi="Arial" w:cs="Arial"/>
          <w:szCs w:val="24"/>
          <w:lang w:val="en-GB"/>
        </w:rPr>
      </w:pPr>
      <w:r w:rsidRPr="0028108F">
        <w:rPr>
          <w:rFonts w:ascii="Arial" w:hAnsi="Arial" w:cs="Arial"/>
          <w:szCs w:val="24"/>
          <w:lang w:val="en-GB"/>
        </w:rPr>
        <w:t>If an authority other than an administrative body and the courts in paragraph (</w:t>
      </w:r>
      <w:r w:rsidR="00700A62">
        <w:rPr>
          <w:rFonts w:ascii="Arial" w:hAnsi="Arial" w:cs="Arial"/>
          <w:szCs w:val="24"/>
          <w:lang w:val="en-GB"/>
        </w:rPr>
        <w:t>2</w:t>
      </w:r>
      <w:r w:rsidRPr="0028108F">
        <w:rPr>
          <w:rFonts w:ascii="Arial" w:hAnsi="Arial" w:cs="Arial"/>
          <w:szCs w:val="24"/>
          <w:lang w:val="en-GB"/>
        </w:rPr>
        <w:t>) is opted for, what type of members should be on the authority (with regard to the composition of the authority to determine gender recognition applications).  For example, whether medical experts, such as psychiatrists, psychologists and surgeons, lawyers, other type(s) of members (</w:t>
      </w:r>
      <w:r w:rsidR="00D6311F" w:rsidRPr="0028108F">
        <w:rPr>
          <w:rFonts w:ascii="Arial" w:hAnsi="Arial" w:cs="Arial"/>
          <w:szCs w:val="24"/>
          <w:lang w:val="en-GB"/>
        </w:rPr>
        <w:t>eg</w:t>
      </w:r>
      <w:r w:rsidRPr="0028108F">
        <w:rPr>
          <w:rFonts w:ascii="Arial" w:hAnsi="Arial" w:cs="Arial"/>
          <w:szCs w:val="24"/>
          <w:lang w:val="en-GB"/>
        </w:rPr>
        <w:t>, social workers) and/or overseas experts should be included, and why.</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ind w:left="1440" w:hanging="1440"/>
        <w:jc w:val="both"/>
        <w:rPr>
          <w:rFonts w:ascii="Arial" w:hAnsi="Arial" w:cs="Arial"/>
          <w:b/>
          <w:sz w:val="28"/>
          <w:szCs w:val="28"/>
          <w:lang w:val="en-GB"/>
        </w:rPr>
      </w:pPr>
      <w:r w:rsidRPr="0028108F">
        <w:rPr>
          <w:rFonts w:ascii="Arial" w:hAnsi="Arial" w:cs="Arial"/>
          <w:b/>
          <w:sz w:val="28"/>
          <w:szCs w:val="28"/>
          <w:lang w:val="en-GB"/>
        </w:rPr>
        <w:t>Issue 16:</w:t>
      </w:r>
      <w:r w:rsidRPr="0028108F">
        <w:rPr>
          <w:rFonts w:ascii="Arial" w:hAnsi="Arial" w:cs="Arial"/>
          <w:b/>
          <w:sz w:val="28"/>
          <w:szCs w:val="28"/>
          <w:lang w:val="en-GB"/>
        </w:rPr>
        <w:tab/>
        <w:t xml:space="preserve">Adopting a possible dual-track gender recognition scheme (near paragraph </w:t>
      </w:r>
      <w:r w:rsidRPr="008813DE">
        <w:rPr>
          <w:rFonts w:ascii="Arial" w:hAnsi="Arial" w:cs="Arial"/>
          <w:b/>
          <w:sz w:val="28"/>
          <w:szCs w:val="28"/>
          <w:lang w:val="en-GB"/>
        </w:rPr>
        <w:t>8.3</w:t>
      </w:r>
      <w:r w:rsidR="00700A62" w:rsidRPr="008813DE">
        <w:rPr>
          <w:rFonts w:ascii="Arial" w:hAnsi="Arial" w:cs="Arial"/>
          <w:b/>
          <w:sz w:val="28"/>
          <w:szCs w:val="28"/>
          <w:lang w:val="en-GB"/>
        </w:rPr>
        <w:t>5</w:t>
      </w:r>
      <w:r w:rsidRPr="00EB268D">
        <w:rPr>
          <w:rFonts w:ascii="Arial" w:hAnsi="Arial" w:cs="Arial"/>
          <w:b/>
          <w:sz w:val="28"/>
          <w:szCs w:val="28"/>
          <w:lang w:val="en-GB"/>
        </w:rPr>
        <w:t>)</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tabs>
          <w:tab w:val="left" w:pos="851"/>
        </w:tabs>
        <w:adjustRightInd w:val="0"/>
        <w:snapToGrid w:val="0"/>
        <w:jc w:val="both"/>
        <w:rPr>
          <w:rFonts w:ascii="Arial" w:hAnsi="Arial" w:cs="Arial"/>
          <w:szCs w:val="24"/>
          <w:lang w:val="en-GB"/>
        </w:rPr>
      </w:pPr>
      <w:r w:rsidRPr="0028108F">
        <w:rPr>
          <w:rFonts w:ascii="Arial" w:hAnsi="Arial" w:cs="Arial"/>
          <w:szCs w:val="24"/>
          <w:lang w:val="en-GB"/>
        </w:rPr>
        <w:t xml:space="preserve">We </w:t>
      </w:r>
      <w:r w:rsidR="005E6528">
        <w:rPr>
          <w:rFonts w:ascii="Arial" w:hAnsi="Arial" w:cs="Arial"/>
          <w:szCs w:val="24"/>
          <w:lang w:val="en-GB"/>
        </w:rPr>
        <w:t>invite</w:t>
      </w:r>
      <w:r w:rsidRPr="0028108F">
        <w:rPr>
          <w:rFonts w:ascii="Arial" w:hAnsi="Arial" w:cs="Arial"/>
          <w:szCs w:val="24"/>
          <w:lang w:val="en-GB"/>
        </w:rPr>
        <w:t xml:space="preserve"> views from the public on the following matters:</w:t>
      </w:r>
    </w:p>
    <w:p w:rsidR="005266B3" w:rsidRPr="0028108F" w:rsidRDefault="005266B3" w:rsidP="005266B3">
      <w:pPr>
        <w:tabs>
          <w:tab w:val="left" w:pos="851"/>
        </w:tabs>
        <w:adjustRightInd w:val="0"/>
        <w:snapToGrid w:val="0"/>
        <w:jc w:val="both"/>
        <w:rPr>
          <w:rFonts w:ascii="Arial" w:hAnsi="Arial" w:cs="Arial"/>
          <w:szCs w:val="24"/>
          <w:lang w:val="en-GB"/>
        </w:rPr>
      </w:pPr>
    </w:p>
    <w:p w:rsidR="005266B3" w:rsidRPr="0028108F" w:rsidRDefault="005266B3" w:rsidP="005266B3">
      <w:pPr>
        <w:pStyle w:val="ListParagraph"/>
        <w:numPr>
          <w:ilvl w:val="0"/>
          <w:numId w:val="119"/>
        </w:numPr>
        <w:snapToGrid w:val="0"/>
        <w:ind w:leftChars="0" w:left="851" w:hanging="851"/>
        <w:jc w:val="both"/>
        <w:rPr>
          <w:rFonts w:ascii="Arial" w:hAnsi="Arial" w:cs="Arial"/>
          <w:szCs w:val="24"/>
          <w:lang w:val="en-GB"/>
        </w:rPr>
      </w:pPr>
      <w:r w:rsidRPr="0028108F">
        <w:rPr>
          <w:rFonts w:ascii="Arial" w:hAnsi="Arial" w:cs="Arial"/>
          <w:szCs w:val="24"/>
          <w:lang w:val="en-GB"/>
        </w:rPr>
        <w:t xml:space="preserve">In the </w:t>
      </w:r>
      <w:r w:rsidR="005E6528">
        <w:rPr>
          <w:rFonts w:ascii="Arial" w:hAnsi="Arial" w:cs="Arial"/>
          <w:szCs w:val="24"/>
          <w:lang w:val="en-GB"/>
        </w:rPr>
        <w:t xml:space="preserve">event that a gender recognition scheme is to be introduced </w:t>
      </w:r>
      <w:r w:rsidRPr="0028108F">
        <w:rPr>
          <w:rFonts w:ascii="Arial" w:hAnsi="Arial" w:cs="Arial"/>
          <w:szCs w:val="24"/>
          <w:lang w:val="en-GB"/>
        </w:rPr>
        <w:t>in Hong Kong, whether a dual-track gender recognition scheme should be introduced with differing requirements (so that, for example, one person seeking full gender recognition for all legal purposes would have to satisfy stricter medical requirements (</w:t>
      </w:r>
      <w:r w:rsidR="00D6311F" w:rsidRPr="0028108F">
        <w:rPr>
          <w:rFonts w:ascii="Arial" w:hAnsi="Arial" w:cs="Arial"/>
          <w:szCs w:val="24"/>
          <w:lang w:val="en-GB"/>
        </w:rPr>
        <w:t>eg</w:t>
      </w:r>
      <w:r w:rsidRPr="0028108F">
        <w:rPr>
          <w:rFonts w:ascii="Arial" w:hAnsi="Arial" w:cs="Arial"/>
          <w:szCs w:val="24"/>
          <w:lang w:val="en-GB"/>
        </w:rPr>
        <w:t>, gender reassignment surgery), while another person wishing to have only the sex marker changed on their Identity Card could be required to satisfy less stringent requirements (</w:t>
      </w:r>
      <w:r w:rsidR="00D6311F" w:rsidRPr="0028108F">
        <w:rPr>
          <w:rFonts w:ascii="Arial" w:hAnsi="Arial" w:cs="Arial"/>
          <w:szCs w:val="24"/>
          <w:lang w:val="en-GB"/>
        </w:rPr>
        <w:t>eg</w:t>
      </w:r>
      <w:r w:rsidRPr="0028108F">
        <w:rPr>
          <w:rFonts w:ascii="Arial" w:hAnsi="Arial" w:cs="Arial"/>
          <w:szCs w:val="24"/>
          <w:lang w:val="en-GB"/>
        </w:rPr>
        <w:t xml:space="preserve">, proof of </w:t>
      </w:r>
      <w:r w:rsidRPr="0028108F">
        <w:rPr>
          <w:rFonts w:ascii="Arial" w:hAnsi="Arial" w:cs="Arial"/>
          <w:i/>
          <w:szCs w:val="24"/>
          <w:lang w:val="en-GB"/>
        </w:rPr>
        <w:t>“real life test”</w:t>
      </w:r>
      <w:r w:rsidRPr="0028108F">
        <w:rPr>
          <w:rFonts w:ascii="Arial" w:hAnsi="Arial" w:cs="Arial"/>
          <w:szCs w:val="24"/>
          <w:lang w:val="en-GB"/>
        </w:rPr>
        <w:t xml:space="preserve"> for a specific period).</w:t>
      </w:r>
    </w:p>
    <w:p w:rsidR="005266B3" w:rsidRPr="0028108F" w:rsidRDefault="005266B3" w:rsidP="005266B3">
      <w:pPr>
        <w:tabs>
          <w:tab w:val="left" w:pos="851"/>
        </w:tabs>
        <w:adjustRightInd w:val="0"/>
        <w:snapToGrid w:val="0"/>
        <w:ind w:leftChars="200" w:left="1331" w:hanging="851"/>
        <w:jc w:val="both"/>
        <w:rPr>
          <w:rFonts w:ascii="Arial" w:hAnsi="Arial" w:cs="Arial"/>
          <w:szCs w:val="24"/>
          <w:lang w:val="en-GB"/>
        </w:rPr>
      </w:pPr>
    </w:p>
    <w:p w:rsidR="005266B3" w:rsidRPr="0028108F" w:rsidRDefault="005266B3" w:rsidP="005266B3">
      <w:pPr>
        <w:pStyle w:val="ListParagraph"/>
        <w:numPr>
          <w:ilvl w:val="0"/>
          <w:numId w:val="119"/>
        </w:numPr>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“yes”, what should be the model of the dual-track scheme, and why.</w:t>
      </w:r>
    </w:p>
    <w:p w:rsidR="005266B3" w:rsidRPr="0028108F" w:rsidRDefault="005266B3" w:rsidP="005266B3">
      <w:pPr>
        <w:tabs>
          <w:tab w:val="left" w:pos="851"/>
        </w:tabs>
        <w:adjustRightInd w:val="0"/>
        <w:snapToGrid w:val="0"/>
        <w:ind w:leftChars="200" w:left="1331" w:hanging="851"/>
        <w:jc w:val="both"/>
        <w:rPr>
          <w:rFonts w:ascii="Arial" w:hAnsi="Arial" w:cs="Arial"/>
          <w:szCs w:val="24"/>
          <w:lang w:val="en-GB"/>
        </w:rPr>
      </w:pPr>
    </w:p>
    <w:p w:rsidR="00DC3998" w:rsidRPr="002B6B0D" w:rsidRDefault="005266B3" w:rsidP="00915161">
      <w:pPr>
        <w:pStyle w:val="ListParagraph"/>
        <w:numPr>
          <w:ilvl w:val="0"/>
          <w:numId w:val="119"/>
        </w:numPr>
        <w:snapToGrid w:val="0"/>
        <w:ind w:leftChars="0" w:left="851" w:hanging="851"/>
        <w:jc w:val="both"/>
        <w:rPr>
          <w:rFonts w:ascii="Arial" w:hAnsi="Arial" w:cs="Arial"/>
          <w:szCs w:val="24"/>
          <w:lang w:val="en-GB"/>
        </w:rPr>
      </w:pPr>
      <w:r w:rsidRPr="0028108F">
        <w:rPr>
          <w:rFonts w:ascii="Arial" w:hAnsi="Arial" w:cs="Arial"/>
          <w:szCs w:val="24"/>
          <w:lang w:val="en-GB"/>
        </w:rPr>
        <w:t>If the answer to sub-paragraph (1) is “no”, why it is so.</w:t>
      </w:r>
      <w:r w:rsidR="005E6528">
        <w:rPr>
          <w:rFonts w:ascii="Arial" w:hAnsi="Arial" w:cs="Arial" w:hint="eastAsia"/>
          <w:szCs w:val="24"/>
          <w:lang w:val="en-GB"/>
        </w:rPr>
        <w:t xml:space="preserve"> </w:t>
      </w:r>
    </w:p>
    <w:sectPr w:rsidR="00DC3998" w:rsidRPr="002B6B0D" w:rsidSect="00B25672">
      <w:footerReference w:type="default" r:id="rId24"/>
      <w:footerReference w:type="first" r:id="rId25"/>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8B" w:rsidRDefault="0022178B" w:rsidP="00702C5C">
      <w:r>
        <w:separator/>
      </w:r>
    </w:p>
  </w:endnote>
  <w:endnote w:type="continuationSeparator" w:id="0">
    <w:p w:rsidR="0022178B" w:rsidRDefault="0022178B" w:rsidP="0070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liss 2 Light">
    <w:altName w:val="Arial Unicode MS"/>
    <w:panose1 w:val="00000000000000000000"/>
    <w:charset w:val="88"/>
    <w:family w:val="swiss"/>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細明體">
    <w:altName w:val="MingLiU"/>
    <w:panose1 w:val="02020509000000000000"/>
    <w:charset w:val="88"/>
    <w:family w:val="modern"/>
    <w:pitch w:val="fixed"/>
    <w:sig w:usb0="A00002FF" w:usb1="28CFFCFA" w:usb2="00000016" w:usb3="00000000" w:csb0="00100001" w:csb1="00000000"/>
  </w:font>
  <w:font w:name="Default San Serif">
    <w:altName w:val="Arial Unicode MS"/>
    <w:panose1 w:val="00000000000000000000"/>
    <w:charset w:val="88"/>
    <w:family w:val="auto"/>
    <w:notTrueType/>
    <w:pitch w:val="default"/>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B" w:rsidRDefault="0022178B">
    <w:pPr>
      <w:pStyle w:val="Footer"/>
      <w:jc w:val="center"/>
    </w:pPr>
  </w:p>
  <w:p w:rsidR="0022178B" w:rsidRDefault="0022178B" w:rsidP="0091565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B" w:rsidRDefault="0022178B">
    <w:pPr>
      <w:pStyle w:val="Footer"/>
      <w:jc w:val="center"/>
    </w:pPr>
  </w:p>
  <w:p w:rsidR="0022178B" w:rsidRDefault="002217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12127"/>
      <w:docPartObj>
        <w:docPartGallery w:val="Page Numbers (Bottom of Page)"/>
        <w:docPartUnique/>
      </w:docPartObj>
    </w:sdtPr>
    <w:sdtEndPr/>
    <w:sdtContent>
      <w:p w:rsidR="0022178B" w:rsidRDefault="0022178B">
        <w:pPr>
          <w:pStyle w:val="Footer"/>
          <w:jc w:val="center"/>
        </w:pPr>
        <w:r>
          <w:fldChar w:fldCharType="begin"/>
        </w:r>
        <w:r>
          <w:instrText>PAGE   \* MERGEFORMAT</w:instrText>
        </w:r>
        <w:r>
          <w:fldChar w:fldCharType="separate"/>
        </w:r>
        <w:r w:rsidR="006C1C95" w:rsidRPr="006C1C95">
          <w:rPr>
            <w:noProof/>
            <w:lang w:val="zh-TW"/>
          </w:rPr>
          <w:t>vii</w:t>
        </w:r>
        <w:r>
          <w:fldChar w:fldCharType="end"/>
        </w:r>
      </w:p>
    </w:sdtContent>
  </w:sdt>
  <w:p w:rsidR="0022178B" w:rsidRDefault="0022178B" w:rsidP="009156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68049"/>
      <w:docPartObj>
        <w:docPartGallery w:val="Page Numbers (Bottom of Page)"/>
        <w:docPartUnique/>
      </w:docPartObj>
    </w:sdtPr>
    <w:sdtEndPr/>
    <w:sdtContent>
      <w:p w:rsidR="0022178B" w:rsidRDefault="0022178B">
        <w:pPr>
          <w:pStyle w:val="Footer"/>
          <w:jc w:val="center"/>
        </w:pPr>
        <w:r>
          <w:fldChar w:fldCharType="begin"/>
        </w:r>
        <w:r>
          <w:instrText>PAGE   \* MERGEFORMAT</w:instrText>
        </w:r>
        <w:r>
          <w:fldChar w:fldCharType="separate"/>
        </w:r>
        <w:r w:rsidR="006C1C95" w:rsidRPr="006C1C95">
          <w:rPr>
            <w:noProof/>
            <w:lang w:val="zh-TW"/>
          </w:rPr>
          <w:t>i</w:t>
        </w:r>
        <w:r>
          <w:fldChar w:fldCharType="end"/>
        </w:r>
      </w:p>
    </w:sdtContent>
  </w:sdt>
  <w:p w:rsidR="0022178B" w:rsidRDefault="002217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571527"/>
      <w:docPartObj>
        <w:docPartGallery w:val="Page Numbers (Bottom of Page)"/>
        <w:docPartUnique/>
      </w:docPartObj>
    </w:sdtPr>
    <w:sdtEndPr/>
    <w:sdtContent>
      <w:p w:rsidR="0022178B" w:rsidRDefault="0022178B">
        <w:pPr>
          <w:pStyle w:val="Footer"/>
          <w:jc w:val="center"/>
        </w:pPr>
        <w:r>
          <w:fldChar w:fldCharType="begin"/>
        </w:r>
        <w:r>
          <w:instrText>PAGE   \* MERGEFORMAT</w:instrText>
        </w:r>
        <w:r>
          <w:fldChar w:fldCharType="separate"/>
        </w:r>
        <w:r w:rsidR="006C1C95" w:rsidRPr="006C1C95">
          <w:rPr>
            <w:noProof/>
            <w:lang w:val="zh-TW"/>
          </w:rPr>
          <w:t>ix</w:t>
        </w:r>
        <w:r>
          <w:fldChar w:fldCharType="end"/>
        </w:r>
      </w:p>
    </w:sdtContent>
  </w:sdt>
  <w:p w:rsidR="0022178B" w:rsidRDefault="0022178B" w:rsidP="0091565A">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554382"/>
      <w:docPartObj>
        <w:docPartGallery w:val="Page Numbers (Bottom of Page)"/>
        <w:docPartUnique/>
      </w:docPartObj>
    </w:sdtPr>
    <w:sdtEndPr/>
    <w:sdtContent>
      <w:p w:rsidR="0022178B" w:rsidRDefault="0022178B">
        <w:pPr>
          <w:pStyle w:val="Footer"/>
          <w:jc w:val="center"/>
        </w:pPr>
        <w:r>
          <w:fldChar w:fldCharType="begin"/>
        </w:r>
        <w:r>
          <w:instrText>PAGE   \* MERGEFORMAT</w:instrText>
        </w:r>
        <w:r>
          <w:fldChar w:fldCharType="separate"/>
        </w:r>
        <w:r w:rsidRPr="000E2B6B">
          <w:rPr>
            <w:noProof/>
            <w:lang w:val="zh-TW"/>
          </w:rPr>
          <w:t>viii</w:t>
        </w:r>
        <w:r>
          <w:fldChar w:fldCharType="end"/>
        </w:r>
      </w:p>
    </w:sdtContent>
  </w:sdt>
  <w:p w:rsidR="0022178B" w:rsidRDefault="0022178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90667"/>
      <w:docPartObj>
        <w:docPartGallery w:val="Page Numbers (Bottom of Page)"/>
        <w:docPartUnique/>
      </w:docPartObj>
    </w:sdtPr>
    <w:sdtEndPr/>
    <w:sdtContent>
      <w:p w:rsidR="0022178B" w:rsidRDefault="0022178B">
        <w:pPr>
          <w:pStyle w:val="Footer"/>
          <w:jc w:val="center"/>
        </w:pPr>
        <w:r>
          <w:fldChar w:fldCharType="begin"/>
        </w:r>
        <w:r>
          <w:instrText>PAGE   \* MERGEFORMAT</w:instrText>
        </w:r>
        <w:r>
          <w:fldChar w:fldCharType="separate"/>
        </w:r>
        <w:r w:rsidR="006C1C95" w:rsidRPr="006C1C95">
          <w:rPr>
            <w:noProof/>
            <w:lang w:val="zh-TW"/>
          </w:rPr>
          <w:t>99</w:t>
        </w:r>
        <w:r>
          <w:fldChar w:fldCharType="end"/>
        </w:r>
      </w:p>
    </w:sdtContent>
  </w:sdt>
  <w:p w:rsidR="0022178B" w:rsidRDefault="0022178B" w:rsidP="0091565A">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B" w:rsidRDefault="00221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8B" w:rsidRDefault="0022178B" w:rsidP="00702C5C">
      <w:r>
        <w:separator/>
      </w:r>
    </w:p>
  </w:footnote>
  <w:footnote w:type="continuationSeparator" w:id="0">
    <w:p w:rsidR="0022178B" w:rsidRDefault="0022178B" w:rsidP="00702C5C">
      <w:r>
        <w:continuationSeparator/>
      </w:r>
    </w:p>
  </w:footnote>
  <w:footnote w:id="1">
    <w:p w:rsidR="0022178B" w:rsidRPr="00181CF2" w:rsidRDefault="0022178B" w:rsidP="004633AF">
      <w:pPr>
        <w:pStyle w:val="FootnoteText"/>
        <w:tabs>
          <w:tab w:val="left" w:pos="851"/>
        </w:tabs>
        <w:ind w:left="709" w:hanging="709"/>
        <w:jc w:val="both"/>
        <w:rPr>
          <w:rFonts w:ascii="Arial" w:hAnsi="Arial" w:cs="Arial"/>
          <w:lang w:val="en-GB"/>
        </w:rPr>
      </w:pPr>
      <w:r w:rsidRPr="004B3E1F">
        <w:rPr>
          <w:rFonts w:ascii="Arial" w:hAnsi="Arial" w:cs="Arial"/>
          <w:lang w:val="en-GB"/>
        </w:rPr>
        <w:footnoteRef/>
      </w:r>
      <w:r w:rsidRPr="004B3E1F">
        <w:rPr>
          <w:rFonts w:ascii="Arial" w:hAnsi="Arial" w:cs="Arial"/>
          <w:lang w:val="en-GB"/>
        </w:rPr>
        <w:t xml:space="preserve"> </w:t>
      </w:r>
      <w:r w:rsidRPr="004B3E1F">
        <w:rPr>
          <w:rFonts w:ascii="Arial" w:hAnsi="Arial" w:cs="Arial"/>
          <w:lang w:val="en-GB"/>
        </w:rPr>
        <w:tab/>
      </w:r>
      <w:r w:rsidRPr="004B3E1F">
        <w:rPr>
          <w:rFonts w:ascii="Arial" w:hAnsi="Arial" w:cs="Arial"/>
          <w:i/>
          <w:lang w:val="en-GB"/>
        </w:rPr>
        <w:t>W v Registrar of Marriages</w:t>
      </w:r>
      <w:r w:rsidRPr="004B3E1F">
        <w:rPr>
          <w:rFonts w:ascii="Arial" w:hAnsi="Arial" w:cs="Arial"/>
          <w:lang w:val="en-GB"/>
        </w:rPr>
        <w:t xml:space="preserve"> [2013]</w:t>
      </w:r>
      <w:r>
        <w:rPr>
          <w:rFonts w:ascii="Arial" w:hAnsi="Arial" w:cs="Arial"/>
          <w:i/>
          <w:lang w:val="en-GB"/>
        </w:rPr>
        <w:t xml:space="preserve"> </w:t>
      </w:r>
      <w:r>
        <w:rPr>
          <w:rFonts w:ascii="Arial" w:hAnsi="Arial" w:cs="Arial"/>
          <w:lang w:val="en-GB"/>
        </w:rPr>
        <w:t>3 HKLRD 90</w:t>
      </w:r>
      <w:r w:rsidRPr="00181CF2">
        <w:rPr>
          <w:rFonts w:ascii="Arial" w:hAnsi="Arial" w:cs="Arial"/>
          <w:lang w:val="en-GB"/>
        </w:rPr>
        <w:t xml:space="preserve">; </w:t>
      </w:r>
      <w:r w:rsidRPr="00E82CFA">
        <w:rPr>
          <w:rFonts w:ascii="Arial" w:hAnsi="Arial" w:cs="Arial"/>
          <w:lang w:val="en-GB"/>
        </w:rPr>
        <w:t>FACV 4/2012</w:t>
      </w:r>
      <w:r w:rsidRPr="00181CF2">
        <w:rPr>
          <w:rFonts w:ascii="Arial" w:hAnsi="Arial" w:cs="Arial"/>
          <w:lang w:val="en-GB"/>
        </w:rPr>
        <w:t xml:space="preserve"> (13 May 2013).  The CFA judgment was handed down on 13 May 2013.  The CFA’s final orders in the case were made on 16 July 2013.</w:t>
      </w:r>
    </w:p>
  </w:footnote>
  <w:footnote w:id="2">
    <w:p w:rsidR="0022178B" w:rsidRPr="0028108F" w:rsidRDefault="0022178B" w:rsidP="0053438C">
      <w:pPr>
        <w:pStyle w:val="FootnoteText"/>
        <w:tabs>
          <w:tab w:val="left" w:pos="709"/>
        </w:tabs>
        <w:ind w:left="708" w:hangingChars="354" w:hanging="708"/>
        <w:jc w:val="both"/>
        <w:rPr>
          <w:rFonts w:ascii="Arial" w:hAnsi="Arial" w:cs="Arial"/>
          <w:highlight w:val="yellow"/>
          <w:lang w:val="en-GB" w:eastAsia="zh-TW"/>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WHO</w:t>
      </w:r>
      <w:r w:rsidRPr="00C57CE1">
        <w:rPr>
          <w:rFonts w:ascii="Arial" w:hAnsi="Arial" w:cs="Arial"/>
          <w:lang w:val="en-GB"/>
        </w:rPr>
        <w:t xml:space="preserve">, </w:t>
      </w:r>
      <w:r w:rsidRPr="008813DE">
        <w:rPr>
          <w:rFonts w:ascii="Arial" w:hAnsi="Arial" w:cs="Arial"/>
          <w:i/>
          <w:lang w:val="en-GB"/>
        </w:rPr>
        <w:t>International Statistical Classification of Disease</w:t>
      </w:r>
      <w:r>
        <w:rPr>
          <w:rFonts w:ascii="Arial" w:hAnsi="Arial" w:cs="Arial"/>
          <w:i/>
          <w:lang w:val="en-GB"/>
        </w:rPr>
        <w:t>s</w:t>
      </w:r>
      <w:r w:rsidRPr="008813DE">
        <w:rPr>
          <w:rFonts w:ascii="Arial" w:hAnsi="Arial" w:cs="Arial"/>
          <w:i/>
          <w:lang w:val="en-GB"/>
        </w:rPr>
        <w:t xml:space="preserve"> and Related Health Problems</w:t>
      </w:r>
      <w:r w:rsidRPr="00C57CE1">
        <w:rPr>
          <w:rFonts w:ascii="Arial" w:hAnsi="Arial" w:cs="Arial"/>
          <w:lang w:val="en-GB"/>
        </w:rPr>
        <w:t xml:space="preserve"> (10</w:t>
      </w:r>
      <w:r>
        <w:rPr>
          <w:rFonts w:ascii="Arial" w:hAnsi="Arial" w:cs="Arial"/>
          <w:lang w:val="en-GB"/>
        </w:rPr>
        <w:t>th Revision</w:t>
      </w:r>
      <w:r w:rsidRPr="00C57CE1">
        <w:rPr>
          <w:rFonts w:ascii="Arial" w:hAnsi="Arial" w:cs="Arial"/>
          <w:lang w:val="en-GB"/>
        </w:rPr>
        <w:t>)</w:t>
      </w:r>
      <w:r>
        <w:rPr>
          <w:rFonts w:ascii="Arial" w:hAnsi="Arial" w:cs="Arial"/>
          <w:lang w:val="en-GB"/>
        </w:rPr>
        <w:t xml:space="preserve"> (“</w:t>
      </w:r>
      <w:r w:rsidRPr="008813DE">
        <w:rPr>
          <w:rFonts w:ascii="Arial" w:hAnsi="Arial" w:cs="Arial"/>
          <w:i/>
          <w:lang w:val="en-GB"/>
        </w:rPr>
        <w:t>ICD-10</w:t>
      </w:r>
      <w:r>
        <w:rPr>
          <w:rFonts w:ascii="Arial" w:hAnsi="Arial" w:cs="Arial"/>
          <w:lang w:val="en-GB"/>
        </w:rPr>
        <w:t>”)</w:t>
      </w:r>
      <w:r w:rsidRPr="00C57CE1">
        <w:rPr>
          <w:rFonts w:ascii="Arial" w:hAnsi="Arial" w:cs="Arial"/>
          <w:lang w:val="en-GB"/>
        </w:rPr>
        <w:t xml:space="preserve">, F64, as quoted in the CFA judgment in </w:t>
      </w:r>
      <w:r w:rsidRPr="0028108F">
        <w:rPr>
          <w:rFonts w:ascii="Arial" w:hAnsi="Arial" w:cs="Arial"/>
          <w:i/>
          <w:lang w:val="en-GB"/>
        </w:rPr>
        <w:t>W</w:t>
      </w:r>
      <w:r w:rsidRPr="0028108F">
        <w:rPr>
          <w:rFonts w:ascii="Arial" w:hAnsi="Arial" w:cs="Arial"/>
          <w:lang w:val="en-GB"/>
        </w:rPr>
        <w:t xml:space="preserve">’s case [2013] </w:t>
      </w:r>
      <w:r>
        <w:rPr>
          <w:rFonts w:ascii="Arial" w:hAnsi="Arial" w:cs="Arial"/>
          <w:lang w:val="en-GB"/>
        </w:rPr>
        <w:t>3 HKLRD 90</w:t>
      </w:r>
      <w:r w:rsidRPr="00C57CE1">
        <w:rPr>
          <w:rFonts w:ascii="Arial" w:hAnsi="Arial" w:cs="Arial"/>
          <w:lang w:val="en-GB"/>
        </w:rPr>
        <w:t xml:space="preserve">; </w:t>
      </w:r>
      <w:r w:rsidRPr="00CA7C66">
        <w:rPr>
          <w:rFonts w:ascii="Arial" w:hAnsi="Arial" w:cs="Arial"/>
          <w:lang w:val="en-GB"/>
        </w:rPr>
        <w:t>FACV</w:t>
      </w:r>
      <w:r w:rsidRPr="0028108F">
        <w:rPr>
          <w:rFonts w:ascii="Arial" w:hAnsi="Arial" w:cs="Arial"/>
          <w:i/>
          <w:lang w:val="en-GB"/>
        </w:rPr>
        <w:t xml:space="preserve"> </w:t>
      </w:r>
      <w:r w:rsidRPr="00181CF2">
        <w:rPr>
          <w:rFonts w:ascii="Arial" w:hAnsi="Arial" w:cs="Arial"/>
          <w:lang w:val="en-GB"/>
        </w:rPr>
        <w:t>4/2012</w:t>
      </w:r>
      <w:r w:rsidRPr="00C57CE1">
        <w:rPr>
          <w:rFonts w:ascii="Arial" w:hAnsi="Arial" w:cs="Arial"/>
          <w:lang w:val="en-GB"/>
        </w:rPr>
        <w:t xml:space="preserve"> (13 May 2013), at </w:t>
      </w:r>
      <w:r w:rsidRPr="0028108F">
        <w:rPr>
          <w:rFonts w:ascii="Arial" w:hAnsi="Arial" w:cs="Arial"/>
          <w:lang w:val="en-GB"/>
        </w:rPr>
        <w:t>paragraph 5.  The CFA also observed in paragraph 5, immediately before quoting the WHO’s definition, that, “it is now well-established that transsexualism is a condition requiring medical treatment.</w:t>
      </w:r>
      <w:r w:rsidRPr="00181CF2">
        <w:rPr>
          <w:rFonts w:ascii="Arial" w:hAnsi="Arial" w:cs="Arial"/>
          <w:i/>
          <w:lang w:val="en-GB"/>
        </w:rPr>
        <w:t>”</w:t>
      </w:r>
    </w:p>
  </w:footnote>
  <w:footnote w:id="3">
    <w:p w:rsidR="0022178B" w:rsidRPr="0028108F" w:rsidRDefault="0022178B" w:rsidP="00C110DE">
      <w:pPr>
        <w:pStyle w:val="FootnoteText"/>
        <w:tabs>
          <w:tab w:val="left" w:pos="709"/>
        </w:tabs>
        <w:ind w:left="708" w:hangingChars="354" w:hanging="708"/>
        <w:jc w:val="both"/>
        <w:rPr>
          <w:rFonts w:ascii="Arial" w:hAnsi="Arial" w:cs="Arial"/>
        </w:rPr>
      </w:pPr>
      <w:r w:rsidRPr="00C57CE1">
        <w:rPr>
          <w:rFonts w:ascii="Arial" w:hAnsi="Arial" w:cs="Arial"/>
        </w:rPr>
        <w:footnoteRef/>
      </w:r>
      <w:r w:rsidRPr="0028108F">
        <w:rPr>
          <w:rFonts w:ascii="Arial" w:hAnsi="Arial" w:cs="Arial"/>
        </w:rPr>
        <w:t xml:space="preserve"> </w:t>
      </w:r>
      <w:r w:rsidRPr="0028108F">
        <w:rPr>
          <w:rFonts w:ascii="Arial" w:hAnsi="Arial" w:cs="Arial"/>
        </w:rPr>
        <w:tab/>
      </w:r>
      <w:r w:rsidRPr="0028108F">
        <w:rPr>
          <w:rFonts w:ascii="Arial" w:hAnsi="Arial" w:cs="Arial"/>
          <w:lang w:val="en-US"/>
        </w:rPr>
        <w:t>S</w:t>
      </w:r>
      <w:r w:rsidRPr="0028108F">
        <w:rPr>
          <w:rFonts w:ascii="Arial" w:hAnsi="Arial" w:cs="Arial"/>
          <w:lang w:val="en-GB"/>
        </w:rPr>
        <w:t>ince September 2016.  Miss Law was preceded by Mr Gordon Leung, JP, from January 2014 to September 2016, (then) Deputy Secretary for Constitutional and Mainland Affairs.</w:t>
      </w:r>
    </w:p>
  </w:footnote>
  <w:footnote w:id="4">
    <w:p w:rsidR="0022178B" w:rsidRPr="0028108F" w:rsidRDefault="0022178B" w:rsidP="00C110DE">
      <w:pPr>
        <w:pStyle w:val="FootnoteText"/>
        <w:tabs>
          <w:tab w:val="left" w:pos="709"/>
        </w:tabs>
        <w:ind w:left="708" w:hangingChars="354" w:hanging="708"/>
        <w:jc w:val="both"/>
        <w:rPr>
          <w:rFonts w:ascii="Arial" w:hAnsi="Arial" w:cs="Arial"/>
        </w:rPr>
      </w:pPr>
      <w:r w:rsidRPr="0028108F">
        <w:rPr>
          <w:rFonts w:ascii="Arial" w:hAnsi="Arial" w:cs="Arial"/>
        </w:rPr>
        <w:footnoteRef/>
      </w:r>
      <w:r w:rsidRPr="0028108F">
        <w:rPr>
          <w:rFonts w:ascii="Arial" w:hAnsi="Arial" w:cs="Arial"/>
        </w:rPr>
        <w:t xml:space="preserve"> </w:t>
      </w:r>
      <w:r w:rsidRPr="0028108F">
        <w:rPr>
          <w:rFonts w:ascii="Arial" w:hAnsi="Arial" w:cs="Arial"/>
        </w:rPr>
        <w:tab/>
      </w:r>
      <w:r w:rsidRPr="0028108F">
        <w:rPr>
          <w:rFonts w:ascii="Arial" w:hAnsi="Arial" w:cs="Arial"/>
          <w:lang w:val="en-US"/>
        </w:rPr>
        <w:t>S</w:t>
      </w:r>
      <w:r w:rsidRPr="0028108F">
        <w:rPr>
          <w:rFonts w:ascii="Arial" w:hAnsi="Arial" w:cs="Arial"/>
          <w:lang w:val="en-GB"/>
        </w:rPr>
        <w:t>ince November 2016.  Miss Yuen was preceded by Mr Davey Chung, from January 2014 to November 201</w:t>
      </w:r>
      <w:r>
        <w:rPr>
          <w:rFonts w:ascii="Arial" w:hAnsi="Arial" w:cs="Arial"/>
          <w:lang w:val="en-GB"/>
        </w:rPr>
        <w:t>5</w:t>
      </w:r>
      <w:r w:rsidRPr="0028108F">
        <w:rPr>
          <w:rFonts w:ascii="Arial" w:hAnsi="Arial" w:cs="Arial"/>
          <w:lang w:val="en-GB"/>
        </w:rPr>
        <w:t>, (then) Deputy Secretary for Food and Health (Health)</w:t>
      </w:r>
      <w:r>
        <w:rPr>
          <w:rFonts w:ascii="Arial" w:hAnsi="Arial" w:cs="Arial"/>
          <w:lang w:val="en-GB"/>
        </w:rPr>
        <w:t xml:space="preserve">, and Ms Wendy Au, (then) acting Deputy Secretary for Food and Health (Health) from November 2015 to </w:t>
      </w:r>
      <w:r>
        <w:rPr>
          <w:rFonts w:ascii="Arial" w:hAnsi="Arial" w:cs="Arial" w:hint="eastAsia"/>
          <w:lang w:val="en-GB" w:eastAsia="zh-TW"/>
        </w:rPr>
        <w:t>May</w:t>
      </w:r>
      <w:r>
        <w:rPr>
          <w:rFonts w:ascii="Arial" w:hAnsi="Arial" w:cs="Arial"/>
          <w:lang w:val="en-GB"/>
        </w:rPr>
        <w:t xml:space="preserve"> 2016</w:t>
      </w:r>
      <w:r w:rsidRPr="0028108F">
        <w:rPr>
          <w:rFonts w:ascii="Arial" w:hAnsi="Arial" w:cs="Arial"/>
          <w:lang w:val="en-GB"/>
        </w:rPr>
        <w:t>.</w:t>
      </w:r>
    </w:p>
  </w:footnote>
  <w:footnote w:id="5">
    <w:p w:rsidR="0022178B" w:rsidRPr="00FD53CA" w:rsidRDefault="0022178B" w:rsidP="00B84878">
      <w:pPr>
        <w:pStyle w:val="FootnoteText"/>
        <w:tabs>
          <w:tab w:val="left" w:pos="709"/>
        </w:tabs>
        <w:ind w:left="708" w:hangingChars="354" w:hanging="708"/>
        <w:jc w:val="both"/>
        <w:rPr>
          <w:rFonts w:ascii="Arial" w:hAnsi="Arial" w:cs="Arial"/>
        </w:rPr>
      </w:pPr>
      <w:r w:rsidRPr="00FD53CA">
        <w:rPr>
          <w:rFonts w:ascii="Arial" w:hAnsi="Arial" w:cs="Arial"/>
        </w:rPr>
        <w:footnoteRef/>
      </w:r>
      <w:r w:rsidRPr="00FD53CA">
        <w:rPr>
          <w:rFonts w:ascii="Arial" w:hAnsi="Arial" w:cs="Arial"/>
        </w:rPr>
        <w:t xml:space="preserve"> </w:t>
      </w:r>
      <w:r w:rsidRPr="00FD53CA">
        <w:rPr>
          <w:rFonts w:ascii="Arial" w:hAnsi="Arial" w:cs="Arial"/>
        </w:rPr>
        <w:tab/>
        <w:t xml:space="preserve">The IWG’s Secretary is Ms Michelle Ainsworth, Principal Government Counsel, assisted by </w:t>
      </w:r>
      <w:r>
        <w:rPr>
          <w:rFonts w:ascii="Arial" w:hAnsi="Arial" w:cs="Arial"/>
          <w:lang w:val="en-US"/>
        </w:rPr>
        <w:t xml:space="preserve">Mr Godfrey Kan, Deputy Principal Government Counsel, </w:t>
      </w:r>
      <w:r w:rsidRPr="00FD53CA">
        <w:rPr>
          <w:rFonts w:ascii="Arial" w:hAnsi="Arial" w:cs="Arial"/>
        </w:rPr>
        <w:t>Ms Jenny Law, Senior Government Counsel and Mr Winson So, Government Counsel.</w:t>
      </w:r>
    </w:p>
  </w:footnote>
  <w:footnote w:id="6">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Matters relating to concerns about discrimination faced by sexual minorities in Hong Kong were considered by the Advisory Group on Eliminating Discrimination against Sexual Minorities which was established in 2013 by the Government.  More details about the work of the Advisory Group are set out in Chapter 5. </w:t>
      </w:r>
    </w:p>
  </w:footnote>
  <w:footnote w:id="7">
    <w:p w:rsidR="0022178B" w:rsidRPr="0028108F" w:rsidRDefault="0022178B" w:rsidP="0028108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rPr>
        <w:t xml:space="preserve">There is no official statistic on </w:t>
      </w:r>
      <w:r w:rsidRPr="0028108F">
        <w:rPr>
          <w:rFonts w:ascii="Arial" w:hAnsi="Arial" w:cs="Arial"/>
          <w:lang w:val="en-GB"/>
        </w:rPr>
        <w:t xml:space="preserve">how many transgender and transsexual people there are in Hong Kong.  </w:t>
      </w:r>
      <w:r w:rsidRPr="00181CF2">
        <w:rPr>
          <w:rFonts w:ascii="Arial" w:hAnsi="Arial" w:cs="Arial"/>
          <w:lang w:val="en-GB"/>
        </w:rPr>
        <w:t xml:space="preserve">In 2014, Joanne Leung, </w:t>
      </w:r>
      <w:r w:rsidRPr="0028108F">
        <w:rPr>
          <w:rFonts w:ascii="Arial" w:hAnsi="Arial" w:cs="Arial"/>
          <w:lang w:val="en-GB"/>
        </w:rPr>
        <w:t>Chairperson of “Transgender Resource Centre”, estimated that there were around 200 to 300 transgender persons in Hong Kong, and amongst them about 100 had completed sex reassignment surgery in Hong Kong.  See Hong Kong Christian Institute, Leslovestudy, Out</w:t>
      </w:r>
      <w:r>
        <w:rPr>
          <w:rFonts w:ascii="Arial" w:hAnsi="Arial" w:cs="Arial"/>
          <w:lang w:val="en-GB"/>
        </w:rPr>
        <w:t xml:space="preserve"> </w:t>
      </w:r>
      <w:r w:rsidRPr="0028108F">
        <w:rPr>
          <w:rFonts w:ascii="Arial" w:hAnsi="Arial" w:cs="Arial"/>
          <w:lang w:val="en-GB"/>
        </w:rPr>
        <w:t>and</w:t>
      </w:r>
      <w:r>
        <w:rPr>
          <w:rFonts w:ascii="Arial" w:hAnsi="Arial" w:cs="Arial"/>
          <w:lang w:val="en-GB"/>
        </w:rPr>
        <w:t xml:space="preserve"> </w:t>
      </w:r>
      <w:r w:rsidRPr="0028108F">
        <w:rPr>
          <w:rFonts w:ascii="Arial" w:hAnsi="Arial" w:cs="Arial"/>
          <w:lang w:val="en-GB"/>
        </w:rPr>
        <w:t xml:space="preserve">Vote and Queer Theology Academy (Collaborative), </w:t>
      </w:r>
      <w:r>
        <w:rPr>
          <w:rFonts w:ascii="Arial" w:hAnsi="Arial" w:cs="Arial"/>
          <w:lang w:val="en-GB" w:eastAsia="zh-TW"/>
        </w:rPr>
        <w:t>“</w:t>
      </w:r>
      <w:r w:rsidRPr="0028108F">
        <w:rPr>
          <w:rFonts w:ascii="Arial" w:hAnsi="Arial" w:cs="Arial"/>
          <w:lang w:val="en-GB"/>
        </w:rPr>
        <w:t>同志及跨性別平權報告</w:t>
      </w:r>
      <w:r w:rsidRPr="0028108F">
        <w:rPr>
          <w:rFonts w:ascii="Arial" w:hAnsi="Arial" w:cs="Arial"/>
          <w:lang w:val="en-GB"/>
        </w:rPr>
        <w:t xml:space="preserve">” (transliterated as “Tongzhi and Transgender Equality Report”), March 2014, available at: </w:t>
      </w:r>
      <w:hyperlink r:id="rId1" w:history="1">
        <w:r w:rsidRPr="0028108F">
          <w:rPr>
            <w:rStyle w:val="Hyperlink"/>
            <w:rFonts w:ascii="Arial" w:hAnsi="Arial" w:cs="Arial"/>
            <w:lang w:val="en-GB"/>
          </w:rPr>
          <w:t>https://issuu.com/makmingyee/docs/____________</w:t>
        </w:r>
      </w:hyperlink>
      <w:r>
        <w:rPr>
          <w:rStyle w:val="Hyperlink"/>
          <w:rFonts w:ascii="Arial" w:hAnsi="Arial" w:cs="Arial"/>
          <w:lang w:val="en-GB"/>
        </w:rPr>
        <w:t>/1</w:t>
      </w:r>
      <w:r w:rsidRPr="0028108F">
        <w:rPr>
          <w:rFonts w:ascii="Arial" w:hAnsi="Arial" w:cs="Arial"/>
          <w:lang w:val="en-GB"/>
        </w:rPr>
        <w:t>, at 1</w:t>
      </w:r>
      <w:r>
        <w:rPr>
          <w:rFonts w:ascii="Arial" w:hAnsi="Arial" w:cs="Arial"/>
          <w:lang w:val="en-GB"/>
        </w:rPr>
        <w:t>0</w:t>
      </w:r>
      <w:r w:rsidRPr="0028108F">
        <w:rPr>
          <w:rFonts w:ascii="Arial" w:hAnsi="Arial" w:cs="Arial"/>
          <w:lang w:val="en-GB"/>
        </w:rPr>
        <w:t>.  According to the Food and Health Bureau, from 2010 to 2015, there were 495 patients diagnosed with gender identity disorder, and 40 persons have received partial or full sex reassignment surgery:</w:t>
      </w:r>
      <w:r w:rsidRPr="00181CF2">
        <w:rPr>
          <w:rFonts w:ascii="Arial" w:hAnsi="Arial" w:cs="Arial"/>
          <w:lang w:val="en-GB"/>
        </w:rPr>
        <w:t xml:space="preserve"> see </w:t>
      </w:r>
      <w:r w:rsidRPr="00C57CE1">
        <w:rPr>
          <w:rFonts w:ascii="Arial" w:hAnsi="Arial" w:cs="Arial"/>
          <w:lang w:val="en-GB"/>
        </w:rPr>
        <w:t xml:space="preserve">Annex 1 </w:t>
      </w:r>
      <w:r w:rsidRPr="0028108F">
        <w:rPr>
          <w:rFonts w:ascii="Arial" w:hAnsi="Arial" w:cs="Arial"/>
          <w:lang w:val="en-GB"/>
        </w:rPr>
        <w:t>and Annex 2 to the government’s Press Release dated 9 December 2015, “LCQ7:</w:t>
      </w:r>
      <w:r w:rsidRPr="00181CF2">
        <w:rPr>
          <w:rFonts w:ascii="Arial" w:hAnsi="Arial" w:cs="Arial"/>
          <w:i/>
          <w:lang w:val="en-GB"/>
        </w:rPr>
        <w:t xml:space="preserve"> </w:t>
      </w:r>
      <w:r w:rsidRPr="0028108F">
        <w:rPr>
          <w:rFonts w:ascii="Arial" w:hAnsi="Arial" w:cs="Arial"/>
          <w:lang w:val="en-GB"/>
        </w:rPr>
        <w:t>Gender identity disorder-related services provided by public hospitals</w:t>
      </w:r>
      <w:r w:rsidRPr="00181CF2">
        <w:rPr>
          <w:rFonts w:ascii="Arial" w:hAnsi="Arial" w:cs="Arial"/>
          <w:lang w:val="en-GB"/>
        </w:rPr>
        <w:t>”</w:t>
      </w:r>
      <w:r w:rsidRPr="00C57CE1">
        <w:rPr>
          <w:rFonts w:ascii="Arial" w:hAnsi="Arial" w:cs="Arial"/>
          <w:lang w:val="en-GB"/>
        </w:rPr>
        <w:t>, available at:</w:t>
      </w:r>
    </w:p>
    <w:p w:rsidR="0022178B" w:rsidRPr="00007704" w:rsidRDefault="0022178B">
      <w:pPr>
        <w:pStyle w:val="FootnoteText"/>
        <w:tabs>
          <w:tab w:val="left" w:pos="851"/>
        </w:tabs>
        <w:ind w:left="708" w:hangingChars="354" w:hanging="708"/>
        <w:jc w:val="both"/>
        <w:rPr>
          <w:rFonts w:ascii="Arial" w:hAnsi="Arial" w:cs="Arial"/>
          <w:lang w:val="en-GB"/>
        </w:rPr>
      </w:pPr>
      <w:r w:rsidRPr="00007704">
        <w:rPr>
          <w:rFonts w:ascii="Arial" w:hAnsi="Arial" w:cs="Arial"/>
          <w:lang w:val="en-GB"/>
        </w:rPr>
        <w:t xml:space="preserve"> </w:t>
      </w:r>
      <w:r w:rsidRPr="00007704">
        <w:rPr>
          <w:rFonts w:ascii="Arial" w:hAnsi="Arial" w:cs="Arial"/>
          <w:lang w:val="en-GB"/>
        </w:rPr>
        <w:tab/>
      </w:r>
      <w:hyperlink r:id="rId2" w:history="1">
        <w:r w:rsidRPr="008813DE">
          <w:rPr>
            <w:rStyle w:val="Hyperlink"/>
            <w:rFonts w:ascii="Arial" w:hAnsi="Arial" w:cs="Arial"/>
            <w:lang w:val="en-GB"/>
          </w:rPr>
          <w:t>http://www.info.gov.hk/gia/general/201512/09/P201512090358.htm</w:t>
        </w:r>
      </w:hyperlink>
      <w:r w:rsidRPr="00007704">
        <w:rPr>
          <w:rFonts w:ascii="Arial" w:hAnsi="Arial" w:cs="Arial"/>
          <w:lang w:val="en-GB"/>
        </w:rPr>
        <w:t xml:space="preserve">. </w:t>
      </w:r>
    </w:p>
  </w:footnote>
  <w:footnote w:id="8">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The terms </w:t>
      </w:r>
      <w:r w:rsidRPr="0028108F">
        <w:rPr>
          <w:rFonts w:ascii="Arial" w:hAnsi="Arial" w:cs="Arial"/>
          <w:i/>
          <w:lang w:val="en-GB"/>
        </w:rPr>
        <w:t>“gender”</w:t>
      </w:r>
      <w:r w:rsidRPr="0028108F">
        <w:rPr>
          <w:rFonts w:ascii="Arial" w:hAnsi="Arial" w:cs="Arial"/>
          <w:lang w:val="en-GB"/>
        </w:rPr>
        <w:t xml:space="preserve"> and </w:t>
      </w:r>
      <w:r w:rsidRPr="0028108F">
        <w:rPr>
          <w:rFonts w:ascii="Arial" w:hAnsi="Arial" w:cs="Arial"/>
          <w:i/>
          <w:lang w:val="en-GB"/>
        </w:rPr>
        <w:t>“sex”</w:t>
      </w:r>
      <w:r w:rsidRPr="0028108F">
        <w:rPr>
          <w:rFonts w:ascii="Arial" w:hAnsi="Arial" w:cs="Arial"/>
          <w:lang w:val="en-GB"/>
        </w:rPr>
        <w:t xml:space="preserve"> are sometimes used interchangeably, or may be specific to certain contexts.  For further discussion of the definitions of these terms, see paragraph </w:t>
      </w:r>
      <w:r w:rsidRPr="008813DE">
        <w:rPr>
          <w:rFonts w:ascii="Arial" w:hAnsi="Arial" w:cs="Arial"/>
          <w:lang w:val="en-GB"/>
        </w:rPr>
        <w:t>1.</w:t>
      </w:r>
      <w:r w:rsidRPr="009E5964">
        <w:rPr>
          <w:rFonts w:ascii="Arial" w:hAnsi="Arial" w:cs="Arial"/>
          <w:lang w:val="en-GB"/>
        </w:rPr>
        <w:t>8</w:t>
      </w:r>
      <w:r w:rsidRPr="0028108F">
        <w:rPr>
          <w:rFonts w:ascii="Arial" w:hAnsi="Arial" w:cs="Arial"/>
          <w:lang w:val="en-GB"/>
        </w:rPr>
        <w:t>, and following, below.</w:t>
      </w:r>
    </w:p>
  </w:footnote>
  <w:footnote w:id="9">
    <w:p w:rsidR="0022178B" w:rsidRPr="00C57CE1"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kern w:val="0"/>
          <w:lang w:val="en-GB"/>
        </w:rPr>
        <w:t>See Department for Constitutional Affairs (UK)</w:t>
      </w:r>
      <w:r w:rsidRPr="00C57CE1">
        <w:rPr>
          <w:rFonts w:ascii="Arial" w:hAnsi="Arial" w:cs="Arial"/>
          <w:lang w:val="en-GB"/>
        </w:rPr>
        <w:t>,</w:t>
      </w:r>
      <w:r w:rsidRPr="0028108F">
        <w:rPr>
          <w:rFonts w:ascii="Arial" w:hAnsi="Arial" w:cs="Arial"/>
          <w:lang w:val="en-GB"/>
        </w:rPr>
        <w:t xml:space="preserve"> “Government Policy concerning Transsexual People</w:t>
      </w:r>
      <w:r w:rsidRPr="00181CF2">
        <w:rPr>
          <w:rFonts w:ascii="Arial" w:hAnsi="Arial" w:cs="Arial"/>
          <w:lang w:val="en-GB"/>
        </w:rPr>
        <w:t>”</w:t>
      </w:r>
      <w:r w:rsidRPr="000D2827">
        <w:rPr>
          <w:rFonts w:ascii="Arial" w:hAnsi="Arial" w:cs="Arial"/>
          <w:lang w:val="en-GB"/>
        </w:rPr>
        <w:t xml:space="preserve"> </w:t>
      </w:r>
      <w:r w:rsidRPr="00C57CE1">
        <w:rPr>
          <w:rFonts w:ascii="Arial" w:hAnsi="Arial" w:cs="Arial"/>
          <w:lang w:val="en-GB"/>
        </w:rPr>
        <w:t>(Archived Content), available at:</w:t>
      </w:r>
    </w:p>
    <w:p w:rsidR="0022178B" w:rsidRPr="00181CF2" w:rsidRDefault="006C1C95" w:rsidP="004633AF">
      <w:pPr>
        <w:pStyle w:val="FootnoteText"/>
        <w:tabs>
          <w:tab w:val="left" w:pos="851"/>
        </w:tabs>
        <w:ind w:left="709" w:hanging="1"/>
        <w:jc w:val="both"/>
        <w:rPr>
          <w:rFonts w:ascii="Arial" w:hAnsi="Arial" w:cs="Arial"/>
          <w:lang w:val="en-GB"/>
        </w:rPr>
      </w:pPr>
      <w:hyperlink r:id="rId3" w:history="1">
        <w:r w:rsidR="0022178B" w:rsidRPr="0028108F">
          <w:rPr>
            <w:rStyle w:val="Hyperlink"/>
            <w:rFonts w:ascii="Arial" w:hAnsi="Arial" w:cs="Arial"/>
            <w:lang w:val="en-GB"/>
          </w:rPr>
          <w:t>http://webarchive.nationalarchives.gov.uk/+/http:/www.dca.gov.uk/constitution/transsex/policy.htm</w:t>
        </w:r>
      </w:hyperlink>
      <w:r w:rsidR="0022178B" w:rsidRPr="00181CF2">
        <w:rPr>
          <w:rFonts w:ascii="Arial" w:hAnsi="Arial" w:cs="Arial"/>
          <w:lang w:val="en-GB"/>
        </w:rPr>
        <w:t>.</w:t>
      </w:r>
    </w:p>
  </w:footnote>
  <w:footnote w:id="10">
    <w:p w:rsidR="0022178B" w:rsidRPr="00181CF2"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Same as above.</w:t>
      </w:r>
    </w:p>
  </w:footnote>
  <w:footnote w:id="11">
    <w:p w:rsidR="0022178B" w:rsidRPr="0028108F" w:rsidRDefault="0022178B" w:rsidP="004633AF">
      <w:pPr>
        <w:pStyle w:val="FootnoteText"/>
        <w:tabs>
          <w:tab w:val="left" w:pos="755"/>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w:t>
      </w:r>
      <w:r>
        <w:rPr>
          <w:rFonts w:ascii="Arial" w:hAnsi="Arial" w:cs="Arial"/>
          <w:lang w:val="en-GB"/>
        </w:rPr>
        <w:t xml:space="preserve"> 3 HKLRD 90</w:t>
      </w:r>
      <w:r w:rsidRPr="00C57CE1">
        <w:rPr>
          <w:rFonts w:ascii="Arial" w:hAnsi="Arial" w:cs="Arial"/>
          <w:lang w:val="en-GB"/>
        </w:rPr>
        <w:t xml:space="preserve">; </w:t>
      </w:r>
      <w:r w:rsidRPr="00CA7C66">
        <w:rPr>
          <w:rFonts w:ascii="Arial" w:hAnsi="Arial" w:cs="Arial"/>
          <w:lang w:val="en-GB"/>
        </w:rPr>
        <w:t>FACV</w:t>
      </w:r>
      <w:r w:rsidRPr="0028108F">
        <w:rPr>
          <w:rFonts w:ascii="Arial" w:hAnsi="Arial" w:cs="Arial"/>
          <w:i/>
          <w:lang w:val="en-GB"/>
        </w:rPr>
        <w:t xml:space="preserve"> </w:t>
      </w:r>
      <w:r w:rsidRPr="00181CF2">
        <w:rPr>
          <w:rFonts w:ascii="Arial" w:hAnsi="Arial" w:cs="Arial"/>
          <w:lang w:val="en-GB"/>
        </w:rPr>
        <w:t>4/2012</w:t>
      </w:r>
      <w:r w:rsidRPr="00C57CE1">
        <w:rPr>
          <w:rFonts w:ascii="Arial" w:hAnsi="Arial" w:cs="Arial"/>
          <w:lang w:val="en-GB"/>
        </w:rPr>
        <w:t xml:space="preserve"> (13 May 2013), at </w:t>
      </w:r>
      <w:r w:rsidRPr="0028108F">
        <w:rPr>
          <w:rFonts w:ascii="Arial" w:hAnsi="Arial" w:cs="Arial"/>
          <w:lang w:val="en-GB"/>
        </w:rPr>
        <w:t>paragraph 7.</w:t>
      </w:r>
    </w:p>
  </w:footnote>
  <w:footnote w:id="12">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Style w:val="FootnoteReference"/>
          <w:rFonts w:ascii="Arial" w:hAnsi="Arial" w:cs="Arial"/>
          <w:vertAlign w:val="baseline"/>
          <w:lang w:val="en-GB"/>
        </w:rPr>
        <w:t xml:space="preserve"> </w:t>
      </w:r>
      <w:r w:rsidRPr="00C57CE1">
        <w:rPr>
          <w:rFonts w:ascii="Arial" w:hAnsi="Arial" w:cs="Arial"/>
          <w:lang w:val="en-GB"/>
        </w:rPr>
        <w:tab/>
      </w:r>
      <w:r w:rsidRPr="0028108F">
        <w:rPr>
          <w:rFonts w:ascii="Arial" w:eastAsia="細明體" w:hAnsi="Arial" w:cs="Arial"/>
          <w:color w:val="000000"/>
          <w:kern w:val="0"/>
          <w:lang w:val="en-GB"/>
        </w:rPr>
        <w:t>See CCC Chan,</w:t>
      </w:r>
      <w:r w:rsidRPr="0028108F">
        <w:rPr>
          <w:rFonts w:ascii="Arial" w:eastAsia="細明體" w:hAnsi="Arial" w:cs="Arial"/>
          <w:i/>
          <w:iCs/>
          <w:color w:val="000000"/>
          <w:kern w:val="0"/>
          <w:lang w:val="en-GB"/>
        </w:rPr>
        <w:t xml:space="preserve"> “</w:t>
      </w:r>
      <w:r w:rsidRPr="0028108F">
        <w:rPr>
          <w:rFonts w:ascii="Arial" w:eastAsia="細明體" w:hAnsi="Arial" w:cs="Arial"/>
          <w:iCs/>
          <w:color w:val="000000"/>
          <w:kern w:val="0"/>
          <w:lang w:val="en-GB"/>
        </w:rPr>
        <w:t>Prevalence of Psychiatric Morbidity in Chinese Subjects with Gender Identity Disorder in Hong Kong</w:t>
      </w:r>
      <w:r w:rsidRPr="00181CF2">
        <w:rPr>
          <w:rFonts w:ascii="Arial" w:eastAsia="細明體" w:hAnsi="Arial" w:cs="Arial"/>
          <w:iCs/>
          <w:color w:val="000000"/>
          <w:kern w:val="0"/>
          <w:lang w:val="en-GB"/>
        </w:rPr>
        <w:t>”</w:t>
      </w:r>
      <w:r w:rsidRPr="008813DE">
        <w:rPr>
          <w:rFonts w:ascii="Arial" w:eastAsia="細明體" w:hAnsi="Arial" w:cs="Arial"/>
          <w:iCs/>
          <w:color w:val="000000"/>
          <w:kern w:val="0"/>
          <w:lang w:val="en-GB"/>
        </w:rPr>
        <w:t xml:space="preserve"> </w:t>
      </w:r>
      <w:r w:rsidRPr="00573259">
        <w:rPr>
          <w:rFonts w:ascii="Arial" w:eastAsia="細明體" w:hAnsi="Arial" w:cs="Arial"/>
          <w:color w:val="000000"/>
          <w:kern w:val="0"/>
          <w:lang w:val="en-GB"/>
        </w:rPr>
        <w:t>(Unpublished thesis, fellowship examination, Hong Kong College of Psychiatrists, 2013)</w:t>
      </w:r>
      <w:r w:rsidRPr="00181CF2">
        <w:rPr>
          <w:rFonts w:ascii="Arial" w:eastAsia="細明體" w:hAnsi="Arial" w:cs="Arial"/>
          <w:i/>
          <w:iCs/>
          <w:color w:val="000000"/>
          <w:kern w:val="0"/>
          <w:lang w:val="en-GB"/>
        </w:rPr>
        <w:t xml:space="preserve">.  </w:t>
      </w:r>
      <w:r w:rsidRPr="00C57CE1">
        <w:rPr>
          <w:rFonts w:ascii="Arial" w:eastAsia="細明體" w:hAnsi="Arial" w:cs="Arial"/>
          <w:color w:val="000000"/>
          <w:kern w:val="0"/>
          <w:lang w:val="en-GB"/>
        </w:rPr>
        <w:t>See also Community Business,</w:t>
      </w:r>
      <w:r w:rsidRPr="0028108F">
        <w:rPr>
          <w:rFonts w:ascii="Arial" w:eastAsia="細明體" w:hAnsi="Arial" w:cs="Arial"/>
          <w:i/>
          <w:iCs/>
          <w:color w:val="000000"/>
          <w:kern w:val="0"/>
          <w:lang w:val="en-GB"/>
        </w:rPr>
        <w:t xml:space="preserve"> </w:t>
      </w:r>
      <w:r w:rsidRPr="008813DE">
        <w:rPr>
          <w:rFonts w:ascii="Arial" w:eastAsia="細明體" w:hAnsi="Arial" w:cs="Arial"/>
          <w:iCs/>
          <w:color w:val="000000"/>
          <w:kern w:val="0"/>
          <w:lang w:val="en-GB"/>
        </w:rPr>
        <w:t>“</w:t>
      </w:r>
      <w:r w:rsidRPr="0028108F">
        <w:rPr>
          <w:rFonts w:ascii="Arial" w:eastAsia="細明體" w:hAnsi="Arial" w:cs="Arial"/>
          <w:iCs/>
          <w:color w:val="000000"/>
          <w:kern w:val="0"/>
          <w:lang w:val="en-GB"/>
        </w:rPr>
        <w:t xml:space="preserve">Hong Kong LGBT Climate </w:t>
      </w:r>
      <w:r>
        <w:rPr>
          <w:rFonts w:ascii="Arial" w:eastAsia="細明體" w:hAnsi="Arial" w:cs="Arial"/>
          <w:iCs/>
          <w:color w:val="000000"/>
          <w:kern w:val="0"/>
          <w:lang w:val="en-GB"/>
        </w:rPr>
        <w:t>Study</w:t>
      </w:r>
      <w:r w:rsidRPr="0028108F">
        <w:rPr>
          <w:rFonts w:ascii="Arial" w:eastAsia="細明體" w:hAnsi="Arial" w:cs="Arial"/>
          <w:iCs/>
          <w:color w:val="000000"/>
          <w:kern w:val="0"/>
          <w:lang w:val="en-GB"/>
        </w:rPr>
        <w:t xml:space="preserve"> 2011</w:t>
      </w:r>
      <w:r>
        <w:rPr>
          <w:rFonts w:ascii="Arial" w:eastAsia="細明體" w:hAnsi="Arial" w:cs="Arial"/>
          <w:iCs/>
          <w:color w:val="000000"/>
          <w:kern w:val="0"/>
          <w:lang w:val="en-GB"/>
        </w:rPr>
        <w:t>-</w:t>
      </w:r>
      <w:r w:rsidRPr="0028108F">
        <w:rPr>
          <w:rFonts w:ascii="Arial" w:eastAsia="細明體" w:hAnsi="Arial" w:cs="Arial"/>
          <w:iCs/>
          <w:color w:val="000000"/>
          <w:kern w:val="0"/>
          <w:lang w:val="en-GB"/>
        </w:rPr>
        <w:t>12</w:t>
      </w:r>
      <w:r>
        <w:rPr>
          <w:rFonts w:ascii="Arial" w:eastAsia="細明體" w:hAnsi="Arial" w:cs="Arial"/>
          <w:iCs/>
          <w:color w:val="000000"/>
          <w:kern w:val="0"/>
          <w:lang w:val="en-GB"/>
        </w:rPr>
        <w:t>: Survey Report”</w:t>
      </w:r>
      <w:r w:rsidRPr="0028108F">
        <w:rPr>
          <w:rFonts w:ascii="Arial" w:eastAsia="細明體" w:hAnsi="Arial" w:cs="Arial"/>
          <w:iCs/>
          <w:color w:val="000000"/>
          <w:kern w:val="0"/>
          <w:lang w:val="en-GB"/>
        </w:rPr>
        <w:t xml:space="preserve"> </w:t>
      </w:r>
      <w:r w:rsidRPr="00181CF2">
        <w:rPr>
          <w:rFonts w:ascii="Arial" w:eastAsia="細明體" w:hAnsi="Arial" w:cs="Arial"/>
          <w:color w:val="000000"/>
          <w:kern w:val="0"/>
          <w:lang w:val="en-GB"/>
        </w:rPr>
        <w:t>(2012)</w:t>
      </w:r>
      <w:r>
        <w:rPr>
          <w:rFonts w:ascii="Arial" w:eastAsia="細明體" w:hAnsi="Arial" w:cs="Arial"/>
          <w:iCs/>
          <w:color w:val="000000"/>
          <w:kern w:val="0"/>
          <w:lang w:val="en-GB"/>
        </w:rPr>
        <w:t>; and</w:t>
      </w:r>
      <w:r w:rsidRPr="00C57CE1">
        <w:rPr>
          <w:rFonts w:ascii="Arial" w:eastAsia="細明體" w:hAnsi="Arial" w:cs="Arial"/>
          <w:color w:val="000000"/>
          <w:kern w:val="0"/>
          <w:lang w:val="en-GB"/>
        </w:rPr>
        <w:t xml:space="preserve"> Sam Winter, </w:t>
      </w:r>
      <w:r w:rsidRPr="0028108F">
        <w:rPr>
          <w:rFonts w:ascii="Arial" w:eastAsia="細明體" w:hAnsi="Arial" w:cs="Arial"/>
          <w:color w:val="000000"/>
          <w:kern w:val="0"/>
          <w:lang w:val="en-GB"/>
        </w:rPr>
        <w:t>“</w:t>
      </w:r>
      <w:r w:rsidRPr="0028108F">
        <w:rPr>
          <w:rFonts w:ascii="Arial" w:eastAsia="細明體" w:hAnsi="Arial" w:cs="Arial"/>
          <w:iCs/>
          <w:color w:val="000000"/>
          <w:kern w:val="0"/>
          <w:lang w:val="en-GB"/>
        </w:rPr>
        <w:t>Identity Recognition Without The Knife: Towards A Gender Recognition Ordinance For Hong Kong’s Transsexual People</w:t>
      </w:r>
      <w:r w:rsidRPr="00181CF2">
        <w:rPr>
          <w:rFonts w:ascii="Arial" w:eastAsia="細明體" w:hAnsi="Arial" w:cs="Arial"/>
          <w:iCs/>
          <w:color w:val="000000"/>
          <w:kern w:val="0"/>
          <w:lang w:val="en-GB"/>
        </w:rPr>
        <w:t>”</w:t>
      </w:r>
      <w:r w:rsidRPr="00C57CE1">
        <w:rPr>
          <w:rFonts w:ascii="Arial" w:eastAsia="細明體" w:hAnsi="Arial" w:cs="Arial"/>
          <w:color w:val="000000"/>
          <w:kern w:val="0"/>
          <w:lang w:val="en-GB"/>
        </w:rPr>
        <w:t xml:space="preserve"> (2014) </w:t>
      </w:r>
      <w:r>
        <w:rPr>
          <w:rFonts w:ascii="Arial" w:eastAsia="細明體" w:hAnsi="Arial" w:cs="Arial"/>
          <w:color w:val="000000"/>
          <w:kern w:val="0"/>
          <w:lang w:val="en-GB"/>
        </w:rPr>
        <w:t xml:space="preserve">44 </w:t>
      </w:r>
      <w:r w:rsidRPr="00F86CD8">
        <w:rPr>
          <w:rFonts w:ascii="Arial" w:eastAsia="細明體" w:hAnsi="Arial" w:cs="Arial"/>
          <w:color w:val="000000"/>
          <w:kern w:val="0"/>
          <w:lang w:val="en-GB"/>
        </w:rPr>
        <w:t>HKLJ</w:t>
      </w:r>
      <w:r w:rsidRPr="00181CF2">
        <w:rPr>
          <w:rFonts w:ascii="Arial" w:eastAsia="細明體" w:hAnsi="Arial" w:cs="Arial"/>
          <w:color w:val="000000"/>
          <w:kern w:val="0"/>
          <w:lang w:val="en-GB"/>
        </w:rPr>
        <w:t xml:space="preserve"> 115, at 140 to 144.</w:t>
      </w:r>
      <w:r w:rsidRPr="00C57CE1">
        <w:rPr>
          <w:rFonts w:ascii="Arial" w:eastAsia="細明體" w:hAnsi="Arial" w:cs="Arial"/>
          <w:color w:val="000000"/>
          <w:kern w:val="0"/>
          <w:lang w:val="en-GB"/>
        </w:rPr>
        <w:t xml:space="preserve"> </w:t>
      </w:r>
    </w:p>
  </w:footnote>
  <w:footnote w:id="13">
    <w:p w:rsidR="0022178B" w:rsidRPr="00C57CE1" w:rsidRDefault="0022178B" w:rsidP="0028108F">
      <w:pPr>
        <w:pStyle w:val="FootnoteText"/>
        <w:tabs>
          <w:tab w:val="left" w:pos="851"/>
        </w:tabs>
        <w:ind w:left="708" w:hangingChars="354" w:hanging="708"/>
        <w:jc w:val="both"/>
        <w:rPr>
          <w:rFonts w:ascii="Arial" w:hAnsi="Arial" w:cs="Arial"/>
          <w:lang w:val="en-GB"/>
        </w:rPr>
      </w:pPr>
      <w:r w:rsidRPr="0028108F">
        <w:rPr>
          <w:rFonts w:ascii="Arial" w:eastAsia="細明體" w:hAnsi="Arial" w:cs="Arial"/>
          <w:color w:val="000000"/>
          <w:kern w:val="0"/>
          <w:lang w:val="en-GB"/>
        </w:rPr>
        <w:footnoteRef/>
      </w:r>
      <w:r w:rsidRPr="0028108F">
        <w:rPr>
          <w:rFonts w:ascii="Arial" w:eastAsia="細明體" w:hAnsi="Arial" w:cs="Arial"/>
          <w:color w:val="000000"/>
          <w:kern w:val="0"/>
          <w:lang w:val="en-GB"/>
        </w:rPr>
        <w:t xml:space="preserve"> </w:t>
      </w:r>
      <w:r w:rsidRPr="00181CF2">
        <w:rPr>
          <w:rFonts w:ascii="Arial" w:eastAsia="細明體" w:hAnsi="Arial" w:cs="Arial"/>
          <w:color w:val="000000"/>
          <w:kern w:val="0"/>
          <w:lang w:val="en-GB"/>
        </w:rPr>
        <w:tab/>
        <w:t xml:space="preserve">See </w:t>
      </w:r>
      <w:r w:rsidRPr="0028108F">
        <w:rPr>
          <w:rFonts w:ascii="Arial" w:eastAsia="細明體" w:hAnsi="Arial" w:cs="Arial"/>
          <w:color w:val="000000"/>
          <w:kern w:val="0"/>
          <w:lang w:val="en-GB"/>
        </w:rPr>
        <w:t>Hong Ko</w:t>
      </w:r>
      <w:r w:rsidRPr="00181CF2">
        <w:rPr>
          <w:rFonts w:ascii="Arial" w:hAnsi="Arial" w:cs="Arial"/>
          <w:lang w:val="en-GB"/>
        </w:rPr>
        <w:t>ng</w:t>
      </w:r>
      <w:r w:rsidRPr="00C57CE1">
        <w:rPr>
          <w:rFonts w:ascii="Arial" w:hAnsi="Arial" w:cs="Arial"/>
          <w:lang w:val="en-GB"/>
        </w:rPr>
        <w:t xml:space="preserve"> </w:t>
      </w:r>
      <w:r w:rsidRPr="0028108F">
        <w:rPr>
          <w:rFonts w:ascii="Arial" w:hAnsi="Arial" w:cs="Arial"/>
          <w:lang w:val="en-GB"/>
        </w:rPr>
        <w:t>Christian Institute, Leslovestudy, Out</w:t>
      </w:r>
      <w:r>
        <w:rPr>
          <w:rFonts w:ascii="Arial" w:hAnsi="Arial" w:cs="Arial"/>
          <w:lang w:val="en-GB"/>
        </w:rPr>
        <w:t xml:space="preserve"> </w:t>
      </w:r>
      <w:r w:rsidRPr="0028108F">
        <w:rPr>
          <w:rFonts w:ascii="Arial" w:hAnsi="Arial" w:cs="Arial"/>
          <w:lang w:val="en-GB"/>
        </w:rPr>
        <w:t>and</w:t>
      </w:r>
      <w:r>
        <w:rPr>
          <w:rFonts w:ascii="Arial" w:hAnsi="Arial" w:cs="Arial"/>
          <w:lang w:val="en-GB"/>
        </w:rPr>
        <w:t xml:space="preserve"> </w:t>
      </w:r>
      <w:r w:rsidRPr="0028108F">
        <w:rPr>
          <w:rFonts w:ascii="Arial" w:hAnsi="Arial" w:cs="Arial"/>
          <w:lang w:val="en-GB"/>
        </w:rPr>
        <w:t xml:space="preserve">Vote and Queer Theology Academy (Collaborative), </w:t>
      </w:r>
      <w:r>
        <w:rPr>
          <w:rFonts w:ascii="Arial" w:hAnsi="Arial" w:cs="Arial"/>
          <w:lang w:val="en-GB"/>
        </w:rPr>
        <w:t>“</w:t>
      </w:r>
      <w:r w:rsidRPr="0028108F">
        <w:rPr>
          <w:rFonts w:ascii="Arial" w:hAnsi="Arial" w:cs="Arial"/>
          <w:lang w:val="en-GB"/>
        </w:rPr>
        <w:t>同志及跨性別平權報告</w:t>
      </w:r>
      <w:r w:rsidRPr="0028108F">
        <w:rPr>
          <w:rFonts w:ascii="Arial" w:hAnsi="Arial" w:cs="Arial"/>
          <w:lang w:val="en-GB"/>
        </w:rPr>
        <w:t xml:space="preserve">” </w:t>
      </w:r>
      <w:r w:rsidRPr="00181CF2">
        <w:rPr>
          <w:rFonts w:ascii="Arial" w:hAnsi="Arial" w:cs="Arial"/>
          <w:lang w:val="en-GB"/>
        </w:rPr>
        <w:t>(transliterated as “</w:t>
      </w:r>
      <w:r w:rsidRPr="0028108F">
        <w:rPr>
          <w:rFonts w:ascii="Arial" w:hAnsi="Arial" w:cs="Arial"/>
          <w:lang w:val="en-GB"/>
        </w:rPr>
        <w:t>Tongzhi and Transgender Equality Report</w:t>
      </w:r>
      <w:r w:rsidRPr="00181CF2">
        <w:rPr>
          <w:rFonts w:ascii="Arial" w:hAnsi="Arial" w:cs="Arial"/>
          <w:lang w:val="en-GB"/>
        </w:rPr>
        <w:t xml:space="preserve">”), March 2014, available at: </w:t>
      </w:r>
    </w:p>
    <w:p w:rsidR="0022178B" w:rsidRPr="0028108F" w:rsidRDefault="0022178B" w:rsidP="0028108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4" w:history="1">
        <w:r w:rsidRPr="00C57CE1">
          <w:rPr>
            <w:rStyle w:val="Hyperlink"/>
            <w:rFonts w:ascii="Arial" w:hAnsi="Arial" w:cs="Arial"/>
            <w:lang w:val="en-GB"/>
          </w:rPr>
          <w:t>https://issuu.com/makmingyee/docs/____________</w:t>
        </w:r>
      </w:hyperlink>
      <w:r>
        <w:rPr>
          <w:rStyle w:val="Hyperlink"/>
          <w:rFonts w:ascii="Arial" w:hAnsi="Arial" w:cs="Arial"/>
          <w:lang w:val="en-GB"/>
        </w:rPr>
        <w:t>/1</w:t>
      </w:r>
      <w:r w:rsidRPr="00181CF2">
        <w:rPr>
          <w:rFonts w:ascii="Arial" w:hAnsi="Arial" w:cs="Arial"/>
          <w:lang w:val="en-GB"/>
        </w:rPr>
        <w:t xml:space="preserve">, at </w:t>
      </w:r>
      <w:r w:rsidRPr="0028108F">
        <w:rPr>
          <w:rFonts w:ascii="Arial" w:hAnsi="Arial" w:cs="Arial"/>
          <w:lang w:val="en-GB"/>
        </w:rPr>
        <w:t>1</w:t>
      </w:r>
      <w:r>
        <w:rPr>
          <w:rFonts w:ascii="Arial" w:hAnsi="Arial" w:cs="Arial"/>
          <w:lang w:val="en-GB"/>
        </w:rPr>
        <w:t>2</w:t>
      </w:r>
      <w:r w:rsidRPr="0028108F">
        <w:rPr>
          <w:rFonts w:ascii="Arial" w:hAnsi="Arial" w:cs="Arial"/>
          <w:lang w:val="en-GB"/>
        </w:rPr>
        <w:t xml:space="preserve">.  See also </w:t>
      </w:r>
      <w:r>
        <w:rPr>
          <w:rFonts w:ascii="Arial" w:hAnsi="Arial" w:cs="Arial"/>
          <w:lang w:val="en-GB"/>
        </w:rPr>
        <w:t>Suen, Y.T., Wong, A.W.C., Barrow, A., Wong, M.Y., Mak, W.S., Choi, P.K., Lam, C.M., Lau, T.F.</w:t>
      </w:r>
      <w:r w:rsidRPr="0028108F">
        <w:rPr>
          <w:rFonts w:ascii="Arial" w:hAnsi="Arial" w:cs="Arial"/>
          <w:lang w:val="en-GB"/>
        </w:rPr>
        <w:t xml:space="preserve">, </w:t>
      </w:r>
      <w:r w:rsidRPr="0028108F">
        <w:rPr>
          <w:rFonts w:ascii="Arial" w:hAnsi="Arial" w:cs="Arial"/>
          <w:i/>
          <w:lang w:val="en-GB"/>
        </w:rPr>
        <w:t>Report on Study on Legislation against Discrimination on the Grounds of Sexual Orientation, Gender Identity and Intersex Status</w:t>
      </w:r>
      <w:r w:rsidRPr="008813DE">
        <w:rPr>
          <w:rFonts w:ascii="Arial" w:hAnsi="Arial" w:cs="Arial"/>
          <w:i/>
          <w:lang w:val="en-GB"/>
        </w:rPr>
        <w:t xml:space="preserve">, </w:t>
      </w:r>
      <w:r w:rsidRPr="0028108F">
        <w:rPr>
          <w:rFonts w:ascii="Arial" w:hAnsi="Arial" w:cs="Arial"/>
          <w:lang w:val="en-GB"/>
        </w:rPr>
        <w:t xml:space="preserve">Equal Opportunities Commission and Gender Research Centre of </w:t>
      </w:r>
      <w:r>
        <w:rPr>
          <w:rFonts w:ascii="Arial" w:hAnsi="Arial" w:cs="Arial"/>
          <w:lang w:val="en-GB"/>
        </w:rPr>
        <w:t xml:space="preserve">the </w:t>
      </w:r>
      <w:r w:rsidRPr="0028108F">
        <w:rPr>
          <w:rFonts w:ascii="Arial" w:hAnsi="Arial" w:cs="Arial"/>
          <w:lang w:val="en-GB"/>
        </w:rPr>
        <w:t>Chinese University of Hong Kong</w:t>
      </w:r>
      <w:r>
        <w:rPr>
          <w:rFonts w:ascii="Arial" w:hAnsi="Arial" w:cs="Arial"/>
          <w:lang w:val="en-GB"/>
        </w:rPr>
        <w:t xml:space="preserve">, </w:t>
      </w:r>
      <w:r w:rsidRPr="0028108F">
        <w:rPr>
          <w:rFonts w:ascii="Arial" w:hAnsi="Arial" w:cs="Arial"/>
          <w:lang w:val="en-GB"/>
        </w:rPr>
        <w:t xml:space="preserve">January 2016, at Chapter 4.  At paragraph 5.2.1.2 of the said report, it was also observed that there are arguments that the prevalence of discrimination faced by LGBTI people in Hong Kong was not serious, and </w:t>
      </w:r>
      <w:r>
        <w:rPr>
          <w:rFonts w:ascii="Arial" w:hAnsi="Arial" w:cs="Arial"/>
          <w:lang w:val="en-GB"/>
        </w:rPr>
        <w:t xml:space="preserve">that </w:t>
      </w:r>
      <w:r w:rsidRPr="0028108F">
        <w:rPr>
          <w:rFonts w:ascii="Arial" w:hAnsi="Arial" w:cs="Arial"/>
          <w:lang w:val="en-GB"/>
        </w:rPr>
        <w:t xml:space="preserve">the experiences of discrimination reported by them might be due to their over-sensitivity to some unpleasant encounters which had not been backed up with concrete evidence. </w:t>
      </w:r>
    </w:p>
  </w:footnote>
  <w:footnote w:id="14">
    <w:p w:rsidR="0022178B" w:rsidRPr="0028108F" w:rsidRDefault="0022178B" w:rsidP="0028108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rPr>
        <w:t xml:space="preserve">See </w:t>
      </w:r>
      <w:r>
        <w:rPr>
          <w:rFonts w:ascii="Arial" w:hAnsi="Arial" w:cs="Arial"/>
          <w:lang w:val="en-GB"/>
        </w:rPr>
        <w:t>Suen, Y.T., Wong, A.W.C., Barrow, A., Wong, M.Y., Mak, W.S., Choi, P.K., Lam, C.M., Lau, T.F.</w:t>
      </w:r>
      <w:r w:rsidRPr="00C57CE1">
        <w:rPr>
          <w:rFonts w:ascii="Arial" w:hAnsi="Arial" w:cs="Arial"/>
          <w:lang w:val="en-GB"/>
        </w:rPr>
        <w:t xml:space="preserve">, </w:t>
      </w:r>
      <w:r w:rsidRPr="0028108F">
        <w:rPr>
          <w:rFonts w:ascii="Arial" w:hAnsi="Arial" w:cs="Arial"/>
          <w:i/>
          <w:lang w:val="en-GB"/>
        </w:rPr>
        <w:t>Report on Study on Legislation against Discrimination on the Grounds of Sexual Orientation, Gender Identity and Intersex Status</w:t>
      </w:r>
      <w:r w:rsidRPr="0028108F">
        <w:rPr>
          <w:rFonts w:ascii="Arial" w:hAnsi="Arial" w:cs="Arial"/>
          <w:lang w:val="en-GB"/>
        </w:rPr>
        <w:t xml:space="preserve">, </w:t>
      </w:r>
      <w:r w:rsidRPr="00C57CE1">
        <w:rPr>
          <w:rFonts w:ascii="Arial" w:hAnsi="Arial" w:cs="Arial"/>
          <w:lang w:val="en-GB"/>
        </w:rPr>
        <w:t xml:space="preserve">Equal Opportunities Commission and Gender Research Centre of </w:t>
      </w:r>
      <w:r>
        <w:rPr>
          <w:rFonts w:ascii="Arial" w:hAnsi="Arial" w:cs="Arial"/>
          <w:lang w:val="en-GB"/>
        </w:rPr>
        <w:t xml:space="preserve">the </w:t>
      </w:r>
      <w:r w:rsidRPr="00C57CE1">
        <w:rPr>
          <w:rFonts w:ascii="Arial" w:hAnsi="Arial" w:cs="Arial"/>
          <w:lang w:val="en-GB"/>
        </w:rPr>
        <w:t>Chinese University of Hong Kong</w:t>
      </w:r>
      <w:r>
        <w:rPr>
          <w:rFonts w:ascii="Arial" w:hAnsi="Arial" w:cs="Arial"/>
          <w:lang w:val="en-GB"/>
        </w:rPr>
        <w:t xml:space="preserve">, </w:t>
      </w:r>
      <w:r w:rsidRPr="0028108F">
        <w:rPr>
          <w:rFonts w:ascii="Arial" w:hAnsi="Arial" w:cs="Arial"/>
          <w:lang w:val="en-GB"/>
        </w:rPr>
        <w:t xml:space="preserve">January 2016, at Chapter 4.  </w:t>
      </w:r>
      <w:r>
        <w:rPr>
          <w:rFonts w:ascii="Arial" w:hAnsi="Arial" w:cs="Arial"/>
          <w:lang w:val="en-GB"/>
        </w:rPr>
        <w:t>I</w:t>
      </w:r>
      <w:r w:rsidRPr="0028108F">
        <w:rPr>
          <w:rFonts w:ascii="Arial" w:hAnsi="Arial" w:cs="Arial"/>
          <w:lang w:val="en-GB"/>
        </w:rPr>
        <w:t xml:space="preserve">t was </w:t>
      </w:r>
      <w:r>
        <w:rPr>
          <w:rFonts w:ascii="Arial" w:hAnsi="Arial" w:cs="Arial"/>
          <w:lang w:val="en-GB"/>
        </w:rPr>
        <w:t>noted</w:t>
      </w:r>
      <w:r w:rsidRPr="0028108F">
        <w:rPr>
          <w:rFonts w:ascii="Arial" w:hAnsi="Arial" w:cs="Arial"/>
          <w:lang w:val="en-GB"/>
        </w:rPr>
        <w:t xml:space="preserve"> at </w:t>
      </w:r>
      <w:r>
        <w:rPr>
          <w:rFonts w:ascii="Arial" w:hAnsi="Arial" w:cs="Arial" w:hint="eastAsia"/>
          <w:lang w:val="en-GB" w:eastAsia="zh-TW"/>
        </w:rPr>
        <w:t xml:space="preserve">page </w:t>
      </w:r>
      <w:r w:rsidRPr="0028108F">
        <w:rPr>
          <w:rFonts w:ascii="Arial" w:hAnsi="Arial" w:cs="Arial"/>
          <w:lang w:val="en-GB"/>
        </w:rPr>
        <w:t>62 of the said report that a few transgender persons reported immediate dismissal when their transgender identity was made known to their employers.</w:t>
      </w:r>
    </w:p>
  </w:footnote>
  <w:footnote w:id="15">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Style w:val="FootnoteReference"/>
          <w:rFonts w:ascii="Arial" w:hAnsi="Arial" w:cs="Arial"/>
          <w:vertAlign w:val="baseline"/>
          <w:lang w:val="en-GB"/>
        </w:rPr>
        <w:t xml:space="preserve"> </w:t>
      </w:r>
      <w:r w:rsidRPr="00C57CE1">
        <w:rPr>
          <w:rFonts w:ascii="Arial" w:hAnsi="Arial" w:cs="Arial"/>
          <w:lang w:val="en-GB"/>
        </w:rPr>
        <w:tab/>
      </w:r>
      <w:r w:rsidRPr="0028108F">
        <w:rPr>
          <w:rFonts w:ascii="Arial" w:eastAsia="細明體" w:hAnsi="Arial" w:cs="Arial"/>
          <w:color w:val="000000"/>
          <w:kern w:val="0"/>
          <w:lang w:val="en-GB"/>
        </w:rPr>
        <w:t>See Sam Winter, “</w:t>
      </w:r>
      <w:r w:rsidRPr="0028108F">
        <w:rPr>
          <w:rFonts w:ascii="Arial" w:eastAsia="細明體" w:hAnsi="Arial" w:cs="Arial"/>
          <w:iCs/>
          <w:color w:val="000000"/>
          <w:kern w:val="0"/>
          <w:lang w:val="en-GB"/>
        </w:rPr>
        <w:t>Identity Recognition Without The Knife: Towards A Gender Recognition Ordinance For Hong Kong’s Transsexual People</w:t>
      </w:r>
      <w:r w:rsidRPr="00181CF2">
        <w:rPr>
          <w:rFonts w:ascii="Arial" w:eastAsia="細明體" w:hAnsi="Arial" w:cs="Arial"/>
          <w:iCs/>
          <w:color w:val="000000"/>
          <w:kern w:val="0"/>
          <w:lang w:val="en-GB"/>
        </w:rPr>
        <w:t>”</w:t>
      </w:r>
      <w:r w:rsidRPr="00C57CE1">
        <w:rPr>
          <w:rFonts w:ascii="Arial" w:eastAsia="細明體" w:hAnsi="Arial" w:cs="Arial"/>
          <w:i/>
          <w:iCs/>
          <w:color w:val="000000"/>
          <w:kern w:val="0"/>
          <w:lang w:val="en-GB"/>
        </w:rPr>
        <w:t xml:space="preserve"> </w:t>
      </w:r>
      <w:r w:rsidRPr="0028108F">
        <w:rPr>
          <w:rFonts w:ascii="Arial" w:eastAsia="細明體" w:hAnsi="Arial" w:cs="Arial"/>
          <w:color w:val="000000"/>
          <w:kern w:val="0"/>
          <w:lang w:val="en-GB"/>
        </w:rPr>
        <w:t>(2014)</w:t>
      </w:r>
      <w:r>
        <w:rPr>
          <w:rFonts w:ascii="Arial" w:eastAsia="細明體" w:hAnsi="Arial" w:cs="Arial"/>
          <w:color w:val="000000"/>
          <w:kern w:val="0"/>
          <w:lang w:val="en-GB"/>
        </w:rPr>
        <w:t xml:space="preserve"> 44</w:t>
      </w:r>
      <w:r w:rsidRPr="0028108F">
        <w:rPr>
          <w:rFonts w:ascii="Arial" w:eastAsia="細明體" w:hAnsi="Arial" w:cs="Arial"/>
          <w:color w:val="000000"/>
          <w:kern w:val="0"/>
          <w:lang w:val="en-GB"/>
        </w:rPr>
        <w:t xml:space="preserve"> </w:t>
      </w:r>
      <w:r w:rsidRPr="00F86CD8">
        <w:rPr>
          <w:rFonts w:ascii="Arial" w:eastAsia="細明體" w:hAnsi="Arial" w:cs="Arial"/>
          <w:color w:val="000000"/>
          <w:kern w:val="0"/>
          <w:lang w:val="en-GB"/>
        </w:rPr>
        <w:t>HKLJ</w:t>
      </w:r>
      <w:r w:rsidRPr="00181CF2">
        <w:rPr>
          <w:rFonts w:ascii="Arial" w:eastAsia="細明體" w:hAnsi="Arial" w:cs="Arial"/>
          <w:color w:val="000000"/>
          <w:kern w:val="0"/>
          <w:lang w:val="en-GB"/>
        </w:rPr>
        <w:t xml:space="preserve"> 115, at 121.  See also Robyn Emerton, </w:t>
      </w:r>
      <w:r w:rsidRPr="00C57CE1">
        <w:rPr>
          <w:rFonts w:ascii="Arial" w:eastAsia="細明體" w:hAnsi="Arial" w:cs="Arial"/>
          <w:color w:val="000000"/>
          <w:kern w:val="0"/>
          <w:lang w:val="en-GB"/>
        </w:rPr>
        <w:t>“</w:t>
      </w:r>
      <w:r w:rsidRPr="0028108F">
        <w:rPr>
          <w:rFonts w:ascii="Arial" w:eastAsia="細明體" w:hAnsi="Arial" w:cs="Arial"/>
          <w:iCs/>
          <w:color w:val="000000"/>
          <w:kern w:val="0"/>
          <w:lang w:val="en-GB"/>
        </w:rPr>
        <w:t>Neither Here Nor There: The Current Status Of Transsexual And Other Transgender Persons Under Hong Kong Law</w:t>
      </w:r>
      <w:r w:rsidRPr="00181CF2">
        <w:rPr>
          <w:rFonts w:ascii="Arial" w:eastAsia="細明體" w:hAnsi="Arial" w:cs="Arial"/>
          <w:iCs/>
          <w:color w:val="000000"/>
          <w:kern w:val="0"/>
          <w:lang w:val="en-GB"/>
        </w:rPr>
        <w:t>”</w:t>
      </w:r>
      <w:r w:rsidRPr="00C57CE1">
        <w:rPr>
          <w:rFonts w:ascii="Arial" w:eastAsia="細明體" w:hAnsi="Arial" w:cs="Arial"/>
          <w:color w:val="000000"/>
          <w:kern w:val="0"/>
          <w:lang w:val="en-GB"/>
        </w:rPr>
        <w:t xml:space="preserve"> (2004) </w:t>
      </w:r>
      <w:r>
        <w:rPr>
          <w:rFonts w:ascii="Arial" w:eastAsia="細明體" w:hAnsi="Arial" w:cs="Arial"/>
          <w:color w:val="000000"/>
          <w:kern w:val="0"/>
          <w:lang w:val="en-GB"/>
        </w:rPr>
        <w:t xml:space="preserve">34 </w:t>
      </w:r>
      <w:r w:rsidRPr="00F86CD8">
        <w:rPr>
          <w:rFonts w:ascii="Arial" w:eastAsia="細明體" w:hAnsi="Arial" w:cs="Arial"/>
          <w:color w:val="000000"/>
          <w:kern w:val="0"/>
          <w:lang w:val="en-GB"/>
        </w:rPr>
        <w:t>HKLJ</w:t>
      </w:r>
      <w:r w:rsidRPr="00181CF2">
        <w:rPr>
          <w:rFonts w:ascii="Arial" w:eastAsia="細明體" w:hAnsi="Arial" w:cs="Arial"/>
          <w:color w:val="000000"/>
          <w:kern w:val="0"/>
          <w:lang w:val="en-GB"/>
        </w:rPr>
        <w:t xml:space="preserve"> 245</w:t>
      </w:r>
      <w:r>
        <w:rPr>
          <w:rFonts w:ascii="Arial" w:eastAsia="細明體" w:hAnsi="Arial" w:cs="Arial"/>
          <w:color w:val="000000"/>
          <w:kern w:val="0"/>
          <w:lang w:val="en-GB"/>
        </w:rPr>
        <w:t>;</w:t>
      </w:r>
      <w:r w:rsidRPr="00181CF2">
        <w:rPr>
          <w:rFonts w:ascii="Arial" w:eastAsia="細明體" w:hAnsi="Arial" w:cs="Arial"/>
          <w:color w:val="000000"/>
          <w:kern w:val="0"/>
          <w:lang w:val="en-GB"/>
        </w:rPr>
        <w:t xml:space="preserve"> R</w:t>
      </w:r>
      <w:r w:rsidRPr="00C57CE1">
        <w:rPr>
          <w:rFonts w:ascii="Arial" w:eastAsia="細明體" w:hAnsi="Arial" w:cs="Arial"/>
          <w:color w:val="000000"/>
          <w:kern w:val="0"/>
          <w:lang w:val="en-GB"/>
        </w:rPr>
        <w:t xml:space="preserve">obyn Emerton, </w:t>
      </w:r>
      <w:r w:rsidRPr="0028108F">
        <w:rPr>
          <w:rFonts w:ascii="Arial" w:eastAsia="細明體" w:hAnsi="Arial" w:cs="Arial"/>
          <w:color w:val="000000"/>
          <w:kern w:val="0"/>
          <w:lang w:val="en-GB"/>
        </w:rPr>
        <w:t>“</w:t>
      </w:r>
      <w:r w:rsidRPr="0028108F">
        <w:rPr>
          <w:rFonts w:ascii="Arial" w:eastAsia="細明體" w:hAnsi="Arial" w:cs="Arial"/>
          <w:iCs/>
          <w:color w:val="000000"/>
          <w:kern w:val="0"/>
          <w:lang w:val="en-GB"/>
        </w:rPr>
        <w:t>Finding a voice, fighting for rights: the emergence of the transgender movement in Hong Kong</w:t>
      </w:r>
      <w:r w:rsidRPr="00181CF2">
        <w:rPr>
          <w:rFonts w:ascii="Arial" w:eastAsia="細明體" w:hAnsi="Arial" w:cs="Arial"/>
          <w:iCs/>
          <w:color w:val="000000"/>
          <w:kern w:val="0"/>
          <w:lang w:val="en-GB"/>
        </w:rPr>
        <w:t>”</w:t>
      </w:r>
      <w:r w:rsidRPr="00C57CE1">
        <w:rPr>
          <w:rFonts w:ascii="Arial" w:eastAsia="細明體" w:hAnsi="Arial" w:cs="Arial"/>
          <w:color w:val="000000"/>
          <w:kern w:val="0"/>
          <w:lang w:val="en-GB"/>
        </w:rPr>
        <w:t xml:space="preserve">, </w:t>
      </w:r>
      <w:r w:rsidRPr="0028108F">
        <w:rPr>
          <w:rFonts w:ascii="Arial" w:eastAsia="細明體" w:hAnsi="Arial" w:cs="Arial"/>
          <w:i/>
          <w:color w:val="000000"/>
          <w:kern w:val="0"/>
          <w:lang w:val="en-GB"/>
        </w:rPr>
        <w:t>Inter-Asia Cultural Studies</w:t>
      </w:r>
      <w:r w:rsidRPr="00181CF2">
        <w:rPr>
          <w:rFonts w:ascii="Arial" w:eastAsia="細明體" w:hAnsi="Arial" w:cs="Arial"/>
          <w:color w:val="000000"/>
          <w:kern w:val="0"/>
          <w:lang w:val="en-GB"/>
        </w:rPr>
        <w:t>, Volume 7, Number 2, 2006, at 254</w:t>
      </w:r>
      <w:r>
        <w:rPr>
          <w:rFonts w:ascii="Arial" w:eastAsia="細明體" w:hAnsi="Arial" w:cs="Arial"/>
          <w:color w:val="000000"/>
          <w:kern w:val="0"/>
          <w:lang w:val="en-GB"/>
        </w:rPr>
        <w:t>; and</w:t>
      </w:r>
      <w:r w:rsidRPr="0028108F">
        <w:rPr>
          <w:rFonts w:ascii="Arial" w:hAnsi="Arial" w:cs="Arial"/>
          <w:lang w:val="en-GB"/>
        </w:rPr>
        <w:t xml:space="preserve"> </w:t>
      </w:r>
      <w:r>
        <w:rPr>
          <w:rFonts w:ascii="Arial" w:hAnsi="Arial" w:cs="Arial"/>
          <w:kern w:val="0"/>
          <w:lang w:val="en-GB"/>
        </w:rPr>
        <w:t>Suen, Y.T., Wong, A.W.C., Barrow, A., Wong, M.Y., Mak, W.S., Choi, P.K., Lam, C.M., Lau, T.F.</w:t>
      </w:r>
      <w:r w:rsidRPr="0028108F">
        <w:rPr>
          <w:rFonts w:ascii="Arial" w:hAnsi="Arial" w:cs="Arial"/>
          <w:lang w:val="en-GB"/>
        </w:rPr>
        <w:t xml:space="preserve">, </w:t>
      </w:r>
      <w:r w:rsidRPr="0028108F">
        <w:rPr>
          <w:rFonts w:ascii="Arial" w:hAnsi="Arial" w:cs="Arial"/>
          <w:i/>
          <w:lang w:val="en-GB"/>
        </w:rPr>
        <w:t>Report on Study on Legislation against Discrimination on the Grounds of Sexual Orientation, Gender Identity and Intersex Status</w:t>
      </w:r>
      <w:r w:rsidRPr="0028108F">
        <w:rPr>
          <w:rFonts w:ascii="Arial" w:hAnsi="Arial" w:cs="Arial"/>
          <w:lang w:val="en-GB"/>
        </w:rPr>
        <w:t xml:space="preserve">, </w:t>
      </w:r>
      <w:r>
        <w:rPr>
          <w:rFonts w:ascii="Arial" w:hAnsi="Arial" w:cs="Arial"/>
          <w:kern w:val="0"/>
          <w:lang w:val="en-GB"/>
        </w:rPr>
        <w:t xml:space="preserve">Equal Opportunities Commission and Gender Research Centre of the Chinese University of Hong Kong, </w:t>
      </w:r>
      <w:r w:rsidRPr="0028108F">
        <w:rPr>
          <w:rFonts w:ascii="Arial" w:hAnsi="Arial" w:cs="Arial"/>
          <w:lang w:val="en-GB"/>
        </w:rPr>
        <w:t>January 2016, at paragraphs 4.2.1.7, 4.2.2.5, 4.3 and 5.2.1.2.</w:t>
      </w:r>
    </w:p>
  </w:footnote>
  <w:footnote w:id="16">
    <w:p w:rsidR="0022178B" w:rsidRPr="00C57CE1"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See Department for Constituti</w:t>
      </w:r>
      <w:r w:rsidRPr="00C57CE1">
        <w:rPr>
          <w:rFonts w:ascii="Arial" w:hAnsi="Arial" w:cs="Arial"/>
          <w:lang w:val="en-GB"/>
        </w:rPr>
        <w:t xml:space="preserve">onal Affairs (UK), </w:t>
      </w:r>
      <w:r w:rsidRPr="0028108F">
        <w:rPr>
          <w:rFonts w:ascii="Arial" w:hAnsi="Arial" w:cs="Arial"/>
          <w:lang w:val="en-GB"/>
        </w:rPr>
        <w:t>“Government Policy concerning Transsexual People</w:t>
      </w:r>
      <w:r w:rsidRPr="00181CF2">
        <w:rPr>
          <w:rFonts w:ascii="Arial" w:hAnsi="Arial" w:cs="Arial"/>
          <w:lang w:val="en-GB"/>
        </w:rPr>
        <w:t>”</w:t>
      </w:r>
      <w:r w:rsidRPr="000D2827">
        <w:rPr>
          <w:rFonts w:ascii="Arial" w:hAnsi="Arial" w:cs="Arial"/>
          <w:lang w:val="en-GB"/>
        </w:rPr>
        <w:t xml:space="preserve"> </w:t>
      </w:r>
      <w:r w:rsidRPr="00C57CE1">
        <w:rPr>
          <w:rFonts w:ascii="Arial" w:hAnsi="Arial" w:cs="Arial"/>
          <w:lang w:val="en-GB"/>
        </w:rPr>
        <w:t>(Archived Content), available at:</w:t>
      </w:r>
    </w:p>
    <w:p w:rsidR="0022178B" w:rsidRPr="0028108F" w:rsidRDefault="0022178B" w:rsidP="0028108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5" w:history="1">
        <w:r w:rsidRPr="0028108F">
          <w:rPr>
            <w:rStyle w:val="Hyperlink"/>
            <w:rFonts w:ascii="Arial" w:hAnsi="Arial" w:cs="Arial"/>
            <w:lang w:val="en-GB"/>
          </w:rPr>
          <w:t>http://webarchive.nationalarchives.gov.uk/+/http:/www.dca.gov.uk/constitution/transsex/policy.htm</w:t>
        </w:r>
      </w:hyperlink>
      <w:r w:rsidRPr="00181CF2">
        <w:rPr>
          <w:rFonts w:ascii="Arial" w:hAnsi="Arial" w:cs="Arial"/>
          <w:lang w:val="en-GB"/>
        </w:rPr>
        <w:t>.</w:t>
      </w:r>
      <w:r w:rsidRPr="00C57CE1">
        <w:rPr>
          <w:rFonts w:ascii="Arial" w:hAnsi="Arial" w:cs="Arial"/>
          <w:lang w:val="en-GB"/>
        </w:rPr>
        <w:t xml:space="preserve"> </w:t>
      </w:r>
    </w:p>
  </w:footnote>
  <w:footnote w:id="17">
    <w:p w:rsidR="0022178B" w:rsidRPr="00F930A9" w:rsidRDefault="0022178B" w:rsidP="008813DE">
      <w:pPr>
        <w:pStyle w:val="FootnoteText"/>
        <w:tabs>
          <w:tab w:val="left" w:pos="709"/>
        </w:tabs>
        <w:ind w:left="708" w:hangingChars="354" w:hanging="708"/>
        <w:jc w:val="both"/>
        <w:rPr>
          <w:rFonts w:ascii="Arial" w:hAnsi="Arial" w:cs="Arial"/>
        </w:rPr>
      </w:pPr>
      <w:r w:rsidRPr="00F930A9">
        <w:rPr>
          <w:rStyle w:val="FootnoteReference"/>
          <w:rFonts w:ascii="Arial" w:hAnsi="Arial" w:cs="Arial"/>
          <w:vertAlign w:val="baseline"/>
        </w:rPr>
        <w:footnoteRef/>
      </w:r>
      <w:r w:rsidRPr="00F930A9">
        <w:rPr>
          <w:rFonts w:ascii="Arial" w:hAnsi="Arial" w:cs="Arial"/>
        </w:rPr>
        <w:t xml:space="preserve"> </w:t>
      </w:r>
      <w:r w:rsidRPr="00F930A9">
        <w:rPr>
          <w:rFonts w:ascii="Arial" w:hAnsi="Arial" w:cs="Arial"/>
          <w:lang w:val="en-US"/>
        </w:rPr>
        <w:tab/>
      </w:r>
      <w:r w:rsidRPr="00D93ABD">
        <w:rPr>
          <w:rFonts w:ascii="Arial" w:hAnsi="Arial" w:cs="Arial"/>
          <w:lang w:val="en-GB"/>
        </w:rPr>
        <w:t xml:space="preserve">The terms </w:t>
      </w:r>
      <w:r w:rsidRPr="00D93ABD">
        <w:rPr>
          <w:rFonts w:ascii="Arial" w:hAnsi="Arial" w:cs="Arial"/>
          <w:i/>
          <w:lang w:val="en-GB"/>
        </w:rPr>
        <w:t>“</w:t>
      </w:r>
      <w:r>
        <w:rPr>
          <w:rFonts w:ascii="Arial" w:hAnsi="Arial" w:cs="Arial"/>
          <w:i/>
          <w:lang w:val="en-GB"/>
        </w:rPr>
        <w:t>reassigned</w:t>
      </w:r>
      <w:r w:rsidRPr="00D93ABD">
        <w:rPr>
          <w:rFonts w:ascii="Arial" w:hAnsi="Arial" w:cs="Arial"/>
          <w:i/>
          <w:lang w:val="en-GB"/>
        </w:rPr>
        <w:t>”</w:t>
      </w:r>
      <w:r w:rsidRPr="00D93ABD">
        <w:rPr>
          <w:rFonts w:ascii="Arial" w:hAnsi="Arial" w:cs="Arial"/>
          <w:lang w:val="en-GB"/>
        </w:rPr>
        <w:t xml:space="preserve"> and </w:t>
      </w:r>
      <w:r w:rsidRPr="00D93ABD">
        <w:rPr>
          <w:rFonts w:ascii="Arial" w:hAnsi="Arial" w:cs="Arial"/>
          <w:i/>
          <w:lang w:val="en-GB"/>
        </w:rPr>
        <w:t>“preferred”</w:t>
      </w:r>
      <w:r w:rsidRPr="00D93ABD">
        <w:rPr>
          <w:rFonts w:ascii="Arial" w:hAnsi="Arial" w:cs="Arial"/>
          <w:lang w:val="en-GB"/>
        </w:rPr>
        <w:t xml:space="preserve"> are sometimes used interchangeably with the term </w:t>
      </w:r>
      <w:r w:rsidRPr="00D93ABD">
        <w:rPr>
          <w:rFonts w:ascii="Arial" w:hAnsi="Arial" w:cs="Arial"/>
          <w:i/>
          <w:lang w:val="en-GB"/>
        </w:rPr>
        <w:t>“</w:t>
      </w:r>
      <w:r>
        <w:rPr>
          <w:rFonts w:ascii="Arial" w:hAnsi="Arial" w:cs="Arial"/>
          <w:i/>
          <w:lang w:val="en-GB"/>
        </w:rPr>
        <w:t>acquired</w:t>
      </w:r>
      <w:r w:rsidRPr="00D93ABD">
        <w:rPr>
          <w:rFonts w:ascii="Arial" w:hAnsi="Arial" w:cs="Arial"/>
          <w:i/>
          <w:lang w:val="en-GB"/>
        </w:rPr>
        <w:t>”</w:t>
      </w:r>
      <w:r w:rsidRPr="00D93ABD">
        <w:rPr>
          <w:rFonts w:ascii="Arial" w:hAnsi="Arial" w:cs="Arial"/>
          <w:lang w:val="en-GB"/>
        </w:rPr>
        <w:t xml:space="preserve"> in this context.  Also, where appropriate, the terms </w:t>
      </w:r>
      <w:r w:rsidRPr="00D93ABD">
        <w:rPr>
          <w:rFonts w:ascii="Arial" w:hAnsi="Arial" w:cs="Arial"/>
          <w:i/>
          <w:lang w:val="en-GB"/>
        </w:rPr>
        <w:t>“they”</w:t>
      </w:r>
      <w:r w:rsidRPr="00D93ABD">
        <w:rPr>
          <w:rFonts w:ascii="Arial" w:hAnsi="Arial" w:cs="Arial"/>
          <w:lang w:val="en-GB"/>
        </w:rPr>
        <w:t xml:space="preserve"> and </w:t>
      </w:r>
      <w:r w:rsidRPr="00D93ABD">
        <w:rPr>
          <w:rFonts w:ascii="Arial" w:hAnsi="Arial" w:cs="Arial"/>
          <w:i/>
          <w:lang w:val="en-GB"/>
        </w:rPr>
        <w:t>“their”</w:t>
      </w:r>
      <w:r w:rsidRPr="00D93ABD">
        <w:rPr>
          <w:rFonts w:ascii="Arial" w:hAnsi="Arial" w:cs="Arial"/>
          <w:lang w:val="en-GB"/>
        </w:rPr>
        <w:t xml:space="preserve"> are used in place of </w:t>
      </w:r>
      <w:r w:rsidRPr="00D93ABD">
        <w:rPr>
          <w:rFonts w:ascii="Arial" w:hAnsi="Arial" w:cs="Arial"/>
          <w:i/>
          <w:lang w:val="en-GB"/>
        </w:rPr>
        <w:t>“he/she”</w:t>
      </w:r>
      <w:r w:rsidRPr="00D93ABD">
        <w:rPr>
          <w:rFonts w:ascii="Arial" w:hAnsi="Arial" w:cs="Arial"/>
          <w:lang w:val="en-GB"/>
        </w:rPr>
        <w:t xml:space="preserve"> and </w:t>
      </w:r>
      <w:r w:rsidRPr="00D93ABD">
        <w:rPr>
          <w:rFonts w:ascii="Arial" w:hAnsi="Arial" w:cs="Arial"/>
          <w:i/>
          <w:lang w:val="en-GB"/>
        </w:rPr>
        <w:t>“his/her”</w:t>
      </w:r>
      <w:r w:rsidRPr="00D93ABD">
        <w:rPr>
          <w:rFonts w:ascii="Arial" w:hAnsi="Arial" w:cs="Arial"/>
          <w:lang w:val="en-GB"/>
        </w:rPr>
        <w:t xml:space="preserve"> in th</w:t>
      </w:r>
      <w:r>
        <w:rPr>
          <w:rFonts w:ascii="Arial" w:hAnsi="Arial" w:cs="Arial"/>
          <w:lang w:val="en-GB"/>
        </w:rPr>
        <w:t>is</w:t>
      </w:r>
      <w:r w:rsidRPr="00D93ABD">
        <w:rPr>
          <w:rFonts w:ascii="Arial" w:hAnsi="Arial" w:cs="Arial"/>
          <w:lang w:val="en-GB"/>
        </w:rPr>
        <w:t xml:space="preserve"> Consultation Paper.</w:t>
      </w:r>
    </w:p>
  </w:footnote>
  <w:footnote w:id="18">
    <w:p w:rsidR="0022178B" w:rsidRPr="00181CF2" w:rsidRDefault="0022178B" w:rsidP="00604960">
      <w:pPr>
        <w:pStyle w:val="FootnoteText"/>
        <w:tabs>
          <w:tab w:val="left" w:pos="851"/>
        </w:tabs>
        <w:ind w:left="708" w:hangingChars="354" w:hanging="708"/>
        <w:jc w:val="both"/>
        <w:rPr>
          <w:rFonts w:ascii="Arial" w:hAnsi="Arial" w:cs="Arial"/>
          <w:lang w:val="en-GB" w:eastAsia="zh-TW"/>
        </w:rPr>
      </w:pPr>
      <w:r w:rsidRPr="00181CF2">
        <w:rPr>
          <w:rFonts w:ascii="Arial" w:hAnsi="Arial" w:cs="Arial"/>
          <w:lang w:val="en-GB"/>
        </w:rPr>
        <w:footnoteRef/>
      </w:r>
      <w:r w:rsidRPr="00181CF2">
        <w:rPr>
          <w:rFonts w:ascii="Arial" w:hAnsi="Arial" w:cs="Arial"/>
          <w:lang w:val="en-GB"/>
        </w:rPr>
        <w:t xml:space="preserve"> </w:t>
      </w:r>
      <w:r w:rsidRPr="00C57CE1">
        <w:rPr>
          <w:rFonts w:ascii="Arial" w:hAnsi="Arial" w:cs="Arial"/>
          <w:lang w:val="en-GB" w:eastAsia="zh-TW"/>
        </w:rPr>
        <w:tab/>
      </w:r>
      <w:r w:rsidRPr="0028108F">
        <w:rPr>
          <w:rFonts w:ascii="Arial" w:hAnsi="Arial" w:cs="Arial"/>
          <w:lang w:val="en-GB" w:eastAsia="zh-TW"/>
        </w:rPr>
        <w:t>Institute of Development Studies, “Sexuality and Social Justice: A Toolkit</w:t>
      </w:r>
      <w:r w:rsidRPr="00181CF2">
        <w:rPr>
          <w:rFonts w:ascii="Arial" w:hAnsi="Arial" w:cs="Arial"/>
          <w:lang w:val="en-GB" w:eastAsia="zh-TW"/>
        </w:rPr>
        <w:t>”</w:t>
      </w:r>
      <w:r w:rsidRPr="00C57CE1">
        <w:rPr>
          <w:rFonts w:ascii="Arial" w:hAnsi="Arial" w:cs="Arial"/>
          <w:lang w:val="en-GB" w:eastAsia="zh-TW"/>
        </w:rPr>
        <w:t xml:space="preserve">, </w:t>
      </w:r>
      <w:r w:rsidRPr="0028108F">
        <w:rPr>
          <w:rFonts w:ascii="Arial" w:hAnsi="Arial" w:cs="Arial"/>
          <w:lang w:val="en-GB" w:eastAsia="zh-TW"/>
        </w:rPr>
        <w:t xml:space="preserve">available at: </w:t>
      </w:r>
      <w:hyperlink r:id="rId6" w:history="1">
        <w:r w:rsidRPr="0028108F">
          <w:rPr>
            <w:rStyle w:val="Hyperlink"/>
            <w:rFonts w:ascii="Arial" w:hAnsi="Arial" w:cs="Arial"/>
            <w:lang w:val="en-GB" w:eastAsia="zh-TW"/>
          </w:rPr>
          <w:t>http://www.spl.ids.ac.uk/sexuality-and-social-justice-toolkit/2-policy-and-law-what-you-need-know/21-how-law-works/215</w:t>
        </w:r>
      </w:hyperlink>
      <w:r w:rsidRPr="0028108F">
        <w:rPr>
          <w:rStyle w:val="Hyperlink"/>
          <w:rFonts w:ascii="Arial" w:hAnsi="Arial" w:cs="Arial"/>
          <w:color w:val="000000" w:themeColor="text1"/>
          <w:u w:val="none"/>
          <w:lang w:val="en-GB"/>
        </w:rPr>
        <w:t>.</w:t>
      </w:r>
    </w:p>
  </w:footnote>
  <w:footnote w:id="19">
    <w:p w:rsidR="0022178B" w:rsidRPr="00C57CE1" w:rsidRDefault="0022178B" w:rsidP="00F47842">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w:t>
      </w:r>
      <w:r w:rsidRPr="00CB0A5F">
        <w:rPr>
          <w:rFonts w:ascii="Arial" w:hAnsi="Arial" w:cs="Arial"/>
          <w:lang w:val="en-GB"/>
        </w:rPr>
        <w:t xml:space="preserve"> </w:t>
      </w:r>
      <w:r>
        <w:rPr>
          <w:rFonts w:ascii="Arial" w:hAnsi="Arial" w:cs="Arial"/>
          <w:lang w:val="en-GB"/>
        </w:rPr>
        <w:t>3 HKLRD 90</w:t>
      </w:r>
      <w:r w:rsidRPr="00C57CE1">
        <w:rPr>
          <w:rFonts w:ascii="Arial" w:hAnsi="Arial" w:cs="Arial"/>
          <w:lang w:val="en-GB"/>
        </w:rPr>
        <w:t xml:space="preserve">; </w:t>
      </w:r>
      <w:r w:rsidRPr="008813DE">
        <w:rPr>
          <w:rFonts w:ascii="Arial" w:hAnsi="Arial" w:cs="Arial"/>
          <w:lang w:val="en-GB"/>
        </w:rPr>
        <w:t>FACV 4/2012</w:t>
      </w:r>
      <w:r w:rsidRPr="00C57CE1">
        <w:rPr>
          <w:rFonts w:ascii="Arial" w:hAnsi="Arial" w:cs="Arial"/>
          <w:lang w:val="en-GB"/>
        </w:rPr>
        <w:t xml:space="preserve"> (13 May 2013), at </w:t>
      </w:r>
      <w:r w:rsidRPr="0028108F">
        <w:rPr>
          <w:rFonts w:ascii="Arial" w:hAnsi="Arial" w:cs="Arial"/>
          <w:lang w:val="en-GB"/>
        </w:rPr>
        <w:t>paragraphs 127</w:t>
      </w:r>
      <w:r w:rsidRPr="0028108F">
        <w:rPr>
          <w:rFonts w:ascii="Arial" w:hAnsi="Arial" w:cs="Arial"/>
          <w:i/>
          <w:lang w:val="en-GB"/>
        </w:rPr>
        <w:t xml:space="preserve"> </w:t>
      </w:r>
      <w:r w:rsidRPr="00181CF2">
        <w:rPr>
          <w:rFonts w:ascii="Arial" w:hAnsi="Arial" w:cs="Arial"/>
          <w:lang w:val="en-GB"/>
        </w:rPr>
        <w:t>and</w:t>
      </w:r>
      <w:r w:rsidRPr="0028108F">
        <w:rPr>
          <w:rFonts w:ascii="Arial" w:hAnsi="Arial" w:cs="Arial"/>
          <w:i/>
          <w:lang w:val="en-GB"/>
        </w:rPr>
        <w:t xml:space="preserve"> </w:t>
      </w:r>
      <w:r w:rsidRPr="00181CF2">
        <w:rPr>
          <w:rFonts w:ascii="Arial" w:hAnsi="Arial" w:cs="Arial"/>
          <w:lang w:val="en-GB"/>
        </w:rPr>
        <w:t>128</w:t>
      </w:r>
      <w:r w:rsidRPr="00C57CE1">
        <w:rPr>
          <w:rFonts w:ascii="Arial" w:hAnsi="Arial" w:cs="Arial"/>
          <w:lang w:val="en-GB"/>
        </w:rPr>
        <w:t>.</w:t>
      </w:r>
    </w:p>
  </w:footnote>
  <w:footnote w:id="20">
    <w:p w:rsidR="0022178B" w:rsidRPr="0028108F" w:rsidRDefault="0022178B" w:rsidP="004633AF">
      <w:pPr>
        <w:pStyle w:val="FootnoteText"/>
        <w:tabs>
          <w:tab w:val="left" w:pos="851"/>
        </w:tabs>
        <w:ind w:left="709" w:hanging="709"/>
        <w:jc w:val="both"/>
        <w:rPr>
          <w:rFonts w:ascii="Arial" w:hAnsi="Arial" w:cs="Arial"/>
          <w:lang w:val="en-GB" w:eastAsia="zh-TW"/>
        </w:rPr>
      </w:pPr>
      <w:r w:rsidRPr="00181CF2">
        <w:rPr>
          <w:rStyle w:val="FootnoteReference"/>
          <w:rFonts w:ascii="Arial" w:hAnsi="Arial" w:cs="Arial"/>
          <w:vertAlign w:val="baseline"/>
          <w:lang w:val="en-GB"/>
        </w:rPr>
        <w:footnoteRef/>
      </w:r>
      <w:r w:rsidRPr="00181CF2">
        <w:rPr>
          <w:rStyle w:val="FootnoteReference"/>
          <w:rFonts w:ascii="Arial" w:hAnsi="Arial" w:cs="Arial"/>
          <w:vertAlign w:val="baseline"/>
          <w:lang w:val="en-GB"/>
        </w:rPr>
        <w:t xml:space="preserve"> </w:t>
      </w:r>
      <w:r w:rsidRPr="00C57CE1">
        <w:rPr>
          <w:rFonts w:ascii="Arial" w:hAnsi="Arial" w:cs="Arial"/>
          <w:lang w:val="en-GB" w:eastAsia="zh-TW"/>
        </w:rPr>
        <w:tab/>
        <w:t>Section 9(1) of the Gender Recognition Act 2004</w:t>
      </w:r>
      <w:r w:rsidRPr="0028108F">
        <w:rPr>
          <w:rFonts w:ascii="Arial" w:hAnsi="Arial" w:cs="Arial"/>
          <w:lang w:val="en-GB" w:eastAsia="zh-TW"/>
        </w:rPr>
        <w:t xml:space="preserve"> (UK).</w:t>
      </w:r>
    </w:p>
  </w:footnote>
  <w:footnote w:id="21">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Am</w:t>
      </w:r>
      <w:r w:rsidRPr="00C57CE1">
        <w:rPr>
          <w:rFonts w:ascii="Arial" w:hAnsi="Arial" w:cs="Arial"/>
          <w:lang w:val="en-GB"/>
        </w:rPr>
        <w:t xml:space="preserve">erican Psychiatric Association, </w:t>
      </w:r>
      <w:r w:rsidRPr="0028108F">
        <w:rPr>
          <w:rFonts w:ascii="Arial" w:hAnsi="Arial" w:cs="Arial"/>
          <w:i/>
          <w:lang w:val="en-GB"/>
        </w:rPr>
        <w:t>Diagnostic and Statistical Manual of Mental Disorders, Fifth Edition</w:t>
      </w:r>
      <w:r w:rsidRPr="0028108F">
        <w:rPr>
          <w:rFonts w:ascii="Arial" w:hAnsi="Arial" w:cs="Arial"/>
          <w:lang w:val="en-GB"/>
        </w:rPr>
        <w:t xml:space="preserve"> (DSM-5)</w:t>
      </w:r>
      <w:r w:rsidRPr="00181CF2">
        <w:rPr>
          <w:rFonts w:ascii="Arial" w:hAnsi="Arial" w:cs="Arial"/>
          <w:lang w:val="en-GB"/>
        </w:rPr>
        <w:t>, Arlington, VA: American Psychiatric Association;</w:t>
      </w:r>
      <w:r w:rsidRPr="00C57CE1">
        <w:rPr>
          <w:rFonts w:ascii="Arial" w:hAnsi="Arial" w:cs="Arial"/>
          <w:lang w:val="en-GB"/>
        </w:rPr>
        <w:t xml:space="preserve"> 2013, at </w:t>
      </w:r>
      <w:r w:rsidRPr="0028108F">
        <w:rPr>
          <w:rFonts w:ascii="Arial" w:hAnsi="Arial" w:cs="Arial"/>
          <w:lang w:val="en-GB"/>
        </w:rPr>
        <w:t>451.</w:t>
      </w:r>
    </w:p>
  </w:footnote>
  <w:footnote w:id="22">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Bellinger</w:t>
      </w:r>
      <w:r w:rsidRPr="0028108F">
        <w:rPr>
          <w:rFonts w:ascii="Arial" w:hAnsi="Arial" w:cs="Arial"/>
          <w:lang w:val="en-GB"/>
        </w:rPr>
        <w:t xml:space="preserve"> v </w:t>
      </w:r>
      <w:r w:rsidRPr="0028108F">
        <w:rPr>
          <w:rFonts w:ascii="Arial" w:hAnsi="Arial" w:cs="Arial"/>
          <w:i/>
          <w:lang w:val="en-GB"/>
        </w:rPr>
        <w:t>Bellinger</w:t>
      </w:r>
      <w:r w:rsidRPr="0028108F">
        <w:rPr>
          <w:rFonts w:ascii="Arial" w:hAnsi="Arial" w:cs="Arial"/>
          <w:lang w:val="en-GB"/>
        </w:rPr>
        <w:t xml:space="preserve"> </w:t>
      </w:r>
      <w:r w:rsidRPr="000D2827">
        <w:rPr>
          <w:rFonts w:ascii="Arial" w:hAnsi="Arial" w:cs="Arial"/>
          <w:lang w:val="en-GB"/>
        </w:rPr>
        <w:t xml:space="preserve">[2001] EWCA </w:t>
      </w:r>
      <w:r w:rsidRPr="008813DE">
        <w:rPr>
          <w:rFonts w:ascii="Arial" w:hAnsi="Arial" w:cs="Arial"/>
          <w:lang w:val="en-GB"/>
        </w:rPr>
        <w:t>Civ</w:t>
      </w:r>
      <w:r w:rsidRPr="000D2827">
        <w:rPr>
          <w:rFonts w:ascii="Arial" w:hAnsi="Arial" w:cs="Arial"/>
          <w:lang w:val="en-GB"/>
        </w:rPr>
        <w:t xml:space="preserve"> 1140 </w:t>
      </w:r>
      <w:r w:rsidRPr="00181CF2">
        <w:rPr>
          <w:rFonts w:ascii="Arial" w:hAnsi="Arial" w:cs="Arial"/>
          <w:lang w:val="en-GB"/>
        </w:rPr>
        <w:t xml:space="preserve">(CA), </w:t>
      </w:r>
      <w:r w:rsidRPr="0028108F">
        <w:rPr>
          <w:rFonts w:ascii="Arial" w:hAnsi="Arial" w:cs="Arial"/>
          <w:lang w:val="en-GB"/>
        </w:rPr>
        <w:t>paragraph 23.</w:t>
      </w:r>
    </w:p>
  </w:footnote>
  <w:footnote w:id="23">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rPr>
        <w:t>DSM-5</w:t>
      </w:r>
      <w:r w:rsidRPr="00C57CE1">
        <w:rPr>
          <w:rFonts w:ascii="Arial" w:hAnsi="Arial" w:cs="Arial"/>
          <w:lang w:val="en-GB"/>
        </w:rPr>
        <w:t xml:space="preserve">, </w:t>
      </w:r>
      <w:r w:rsidRPr="0028108F">
        <w:rPr>
          <w:rFonts w:ascii="Arial" w:hAnsi="Arial" w:cs="Arial"/>
          <w:lang w:val="en-GB"/>
        </w:rPr>
        <w:t>above, at 451.</w:t>
      </w:r>
    </w:p>
  </w:footnote>
  <w:footnote w:id="24">
    <w:p w:rsidR="0022178B" w:rsidRPr="00181CF2" w:rsidRDefault="0022178B" w:rsidP="00F47842">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Associate Consultant in Psychiatry at Kwai Chung Hospital.</w:t>
      </w:r>
    </w:p>
  </w:footnote>
  <w:footnote w:id="25">
    <w:p w:rsidR="0022178B" w:rsidRPr="0028108F" w:rsidRDefault="0022178B" w:rsidP="00C652F7">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8813DE">
        <w:rPr>
          <w:rFonts w:ascii="Arial" w:hAnsi="Arial" w:cs="Arial"/>
          <w:lang w:val="en-GB"/>
        </w:rPr>
        <w:t>FACV 4/2012</w:t>
      </w:r>
      <w:r w:rsidRPr="00181CF2">
        <w:rPr>
          <w:rFonts w:ascii="Arial" w:hAnsi="Arial" w:cs="Arial"/>
          <w:lang w:val="en-GB"/>
        </w:rPr>
        <w:t xml:space="preserve"> (13 May 2013), at </w:t>
      </w:r>
      <w:r w:rsidRPr="0028108F">
        <w:rPr>
          <w:rFonts w:ascii="Arial" w:hAnsi="Arial" w:cs="Arial"/>
          <w:lang w:val="en-GB"/>
        </w:rPr>
        <w:t>paragraphs 6 and 7.</w:t>
      </w:r>
    </w:p>
  </w:footnote>
  <w:footnote w:id="26">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Jack Drescher, Peggy Cohen-Kettenis and Sam Winter, “Minding the body: Situating gender identity diagnoses in the ICD-11,</w:t>
      </w:r>
      <w:r w:rsidRPr="00181CF2">
        <w:rPr>
          <w:rFonts w:ascii="Arial" w:hAnsi="Arial" w:cs="Arial"/>
          <w:lang w:val="en-GB"/>
        </w:rPr>
        <w:t>”</w:t>
      </w:r>
      <w:r w:rsidRPr="0028108F">
        <w:rPr>
          <w:rFonts w:ascii="Arial" w:hAnsi="Arial" w:cs="Arial"/>
          <w:lang w:val="en-GB"/>
        </w:rPr>
        <w:t xml:space="preserve"> </w:t>
      </w:r>
      <w:r w:rsidRPr="00181CF2">
        <w:rPr>
          <w:rFonts w:ascii="Arial" w:hAnsi="Arial" w:cs="Arial"/>
          <w:i/>
          <w:lang w:val="en-GB"/>
        </w:rPr>
        <w:t>International Review of Psychiatr</w:t>
      </w:r>
      <w:r w:rsidRPr="00C57CE1">
        <w:rPr>
          <w:rFonts w:ascii="Arial" w:hAnsi="Arial" w:cs="Arial"/>
          <w:i/>
          <w:lang w:val="en-GB"/>
        </w:rPr>
        <w:t>y</w:t>
      </w:r>
      <w:r w:rsidRPr="0028108F">
        <w:rPr>
          <w:rFonts w:ascii="Arial" w:hAnsi="Arial" w:cs="Arial"/>
          <w:lang w:val="en-GB"/>
        </w:rPr>
        <w:t xml:space="preserve">, December 2012; 24(6): 568 to 577, at 569.  It is noted that in the Court of </w:t>
      </w:r>
      <w:r>
        <w:rPr>
          <w:rFonts w:ascii="Arial" w:hAnsi="Arial" w:cs="Arial"/>
          <w:lang w:val="en-GB"/>
        </w:rPr>
        <w:t>Appeal</w:t>
      </w:r>
      <w:r w:rsidRPr="0028108F">
        <w:rPr>
          <w:rFonts w:ascii="Arial" w:hAnsi="Arial" w:cs="Arial"/>
          <w:lang w:val="en-GB"/>
        </w:rPr>
        <w:t xml:space="preserve"> in </w:t>
      </w:r>
      <w:r w:rsidRPr="0028108F">
        <w:rPr>
          <w:rFonts w:ascii="Arial" w:hAnsi="Arial" w:cs="Arial"/>
          <w:i/>
          <w:lang w:val="en-GB"/>
        </w:rPr>
        <w:t>W</w:t>
      </w:r>
      <w:r w:rsidRPr="0028108F">
        <w:rPr>
          <w:rFonts w:ascii="Arial" w:hAnsi="Arial" w:cs="Arial"/>
          <w:lang w:val="en-GB"/>
        </w:rPr>
        <w:t xml:space="preserve">’s case, the term </w:t>
      </w:r>
      <w:r w:rsidRPr="0028108F">
        <w:rPr>
          <w:rFonts w:ascii="Arial" w:hAnsi="Arial" w:cs="Arial"/>
          <w:i/>
          <w:lang w:val="en-GB"/>
        </w:rPr>
        <w:t>“psychological sex”</w:t>
      </w:r>
      <w:r w:rsidRPr="0028108F">
        <w:rPr>
          <w:rFonts w:ascii="Arial" w:hAnsi="Arial" w:cs="Arial"/>
          <w:lang w:val="en-GB"/>
        </w:rPr>
        <w:t xml:space="preserve"> was used: see (</w:t>
      </w:r>
      <w:r w:rsidRPr="008813DE">
        <w:rPr>
          <w:rFonts w:ascii="Arial" w:hAnsi="Arial" w:cs="Arial"/>
          <w:lang w:val="en-GB"/>
        </w:rPr>
        <w:t>CACV 266/2010</w:t>
      </w:r>
      <w:r w:rsidRPr="00181CF2">
        <w:rPr>
          <w:rFonts w:ascii="Arial" w:hAnsi="Arial" w:cs="Arial"/>
          <w:lang w:val="en-GB"/>
        </w:rPr>
        <w:t xml:space="preserve">), at </w:t>
      </w:r>
      <w:r w:rsidRPr="0028108F">
        <w:rPr>
          <w:rFonts w:ascii="Arial" w:hAnsi="Arial" w:cs="Arial"/>
          <w:lang w:val="en-GB"/>
        </w:rPr>
        <w:t>paragraph 11 (CA).</w:t>
      </w:r>
    </w:p>
  </w:footnote>
  <w:footnote w:id="27">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Jack Drescher, Peggy Cohen-Kettenis and Sam Winter, “Minding the body: Situating gender identity diagnoses in the ICD-11,</w:t>
      </w:r>
      <w:r w:rsidRPr="00181CF2">
        <w:rPr>
          <w:rFonts w:ascii="Arial" w:hAnsi="Arial" w:cs="Arial"/>
          <w:lang w:val="en-GB"/>
        </w:rPr>
        <w:t>”</w:t>
      </w:r>
      <w:r w:rsidRPr="0028108F">
        <w:rPr>
          <w:rFonts w:ascii="Arial" w:hAnsi="Arial" w:cs="Arial"/>
          <w:lang w:val="en-GB"/>
        </w:rPr>
        <w:t xml:space="preserve"> </w:t>
      </w:r>
      <w:r w:rsidRPr="00181CF2">
        <w:rPr>
          <w:rFonts w:ascii="Arial" w:hAnsi="Arial" w:cs="Arial"/>
          <w:i/>
          <w:lang w:val="en-GB"/>
        </w:rPr>
        <w:t>International Review of Psychiatry</w:t>
      </w:r>
      <w:r w:rsidRPr="00C57CE1">
        <w:rPr>
          <w:rFonts w:ascii="Arial" w:hAnsi="Arial" w:cs="Arial"/>
          <w:lang w:val="en-GB"/>
        </w:rPr>
        <w:t>, Dec</w:t>
      </w:r>
      <w:r w:rsidRPr="0028108F">
        <w:rPr>
          <w:rFonts w:ascii="Arial" w:hAnsi="Arial" w:cs="Arial"/>
          <w:lang w:val="en-GB"/>
        </w:rPr>
        <w:t>ember 2012; 24(6): 568 to 577, at 569.</w:t>
      </w:r>
    </w:p>
  </w:footnote>
  <w:footnote w:id="28">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Ie, American Psychiatric Association, </w:t>
      </w:r>
      <w:r w:rsidRPr="0028108F">
        <w:rPr>
          <w:rFonts w:ascii="Arial" w:hAnsi="Arial" w:cs="Arial"/>
          <w:i/>
          <w:lang w:val="en-GB"/>
        </w:rPr>
        <w:t>Diagnostic and Statistical Manual of Mental Disorders</w:t>
      </w:r>
      <w:r w:rsidRPr="0028108F">
        <w:rPr>
          <w:rFonts w:ascii="Arial" w:hAnsi="Arial" w:cs="Arial"/>
          <w:lang w:val="en-GB"/>
        </w:rPr>
        <w:t xml:space="preserve"> (5th ed, text revision, 2013)</w:t>
      </w:r>
      <w:r w:rsidRPr="0028108F">
        <w:rPr>
          <w:rFonts w:ascii="Arial" w:hAnsi="Arial" w:cs="Arial"/>
          <w:i/>
          <w:lang w:val="en-GB"/>
        </w:rPr>
        <w:t xml:space="preserve"> </w:t>
      </w:r>
      <w:r w:rsidRPr="008813DE">
        <w:rPr>
          <w:rFonts w:ascii="Arial" w:hAnsi="Arial" w:cs="Arial"/>
          <w:lang w:val="en-GB"/>
        </w:rPr>
        <w:t>(DSM-5)</w:t>
      </w:r>
      <w:r w:rsidRPr="0028108F">
        <w:rPr>
          <w:rFonts w:ascii="Arial" w:hAnsi="Arial" w:cs="Arial"/>
          <w:lang w:val="en-GB"/>
        </w:rPr>
        <w:t xml:space="preserve">; and World Health Organization, </w:t>
      </w:r>
      <w:r w:rsidRPr="0028108F">
        <w:rPr>
          <w:rFonts w:ascii="Arial" w:hAnsi="Arial" w:cs="Arial"/>
          <w:i/>
          <w:lang w:val="en-GB"/>
        </w:rPr>
        <w:t xml:space="preserve">International </w:t>
      </w:r>
      <w:r>
        <w:rPr>
          <w:rFonts w:ascii="Arial" w:hAnsi="Arial" w:cs="Arial"/>
          <w:i/>
          <w:lang w:val="en-GB"/>
        </w:rPr>
        <w:t xml:space="preserve">Statistical </w:t>
      </w:r>
      <w:r w:rsidRPr="0028108F">
        <w:rPr>
          <w:rFonts w:ascii="Arial" w:hAnsi="Arial" w:cs="Arial"/>
          <w:i/>
          <w:lang w:val="en-GB"/>
        </w:rPr>
        <w:t>Classification of Disease</w:t>
      </w:r>
      <w:r>
        <w:rPr>
          <w:rFonts w:ascii="Arial" w:hAnsi="Arial" w:cs="Arial"/>
          <w:i/>
          <w:lang w:val="en-GB"/>
        </w:rPr>
        <w:t>s and Related Health Problems</w:t>
      </w:r>
      <w:r w:rsidRPr="0028108F">
        <w:rPr>
          <w:rFonts w:ascii="Arial" w:hAnsi="Arial" w:cs="Arial"/>
          <w:lang w:val="en-GB"/>
        </w:rPr>
        <w:t xml:space="preserve"> (10th ed, 1994)</w:t>
      </w:r>
      <w:r>
        <w:rPr>
          <w:rFonts w:ascii="Arial" w:hAnsi="Arial" w:cs="Arial"/>
          <w:lang w:val="en-GB"/>
        </w:rPr>
        <w:t xml:space="preserve"> (ICD-10)</w:t>
      </w:r>
      <w:r w:rsidRPr="0028108F">
        <w:rPr>
          <w:rFonts w:ascii="Arial" w:hAnsi="Arial" w:cs="Arial"/>
          <w:lang w:val="en-GB"/>
        </w:rPr>
        <w:t>.</w:t>
      </w:r>
    </w:p>
  </w:footnote>
  <w:footnote w:id="29">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w:t>
      </w:r>
      <w:r w:rsidRPr="008813DE">
        <w:rPr>
          <w:rFonts w:ascii="Arial" w:hAnsi="Arial" w:cs="Arial"/>
          <w:lang w:val="en-GB"/>
        </w:rPr>
        <w:t>HCAL</w:t>
      </w:r>
      <w:r w:rsidRPr="00181CF2">
        <w:rPr>
          <w:rFonts w:ascii="Arial" w:hAnsi="Arial" w:cs="Arial"/>
          <w:lang w:val="en-GB"/>
        </w:rPr>
        <w:t xml:space="preserve"> 120/2009), at </w:t>
      </w:r>
      <w:r w:rsidRPr="0028108F">
        <w:rPr>
          <w:rFonts w:ascii="Arial" w:hAnsi="Arial" w:cs="Arial"/>
          <w:lang w:val="en-GB"/>
        </w:rPr>
        <w:t>paragraph 25 (CFI).</w:t>
      </w:r>
      <w:r>
        <w:rPr>
          <w:rFonts w:ascii="Arial" w:hAnsi="Arial" w:cs="Arial"/>
          <w:lang w:val="en-GB"/>
        </w:rPr>
        <w:t xml:space="preserve">  See also the WHO’s classification of “transsexualism” in ICD-10 at paragraph 2 of the Preface to this paper. </w:t>
      </w:r>
    </w:p>
  </w:footnote>
  <w:footnote w:id="30">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w:t>
      </w:r>
      <w:r w:rsidRPr="008813DE">
        <w:rPr>
          <w:rFonts w:ascii="Arial" w:hAnsi="Arial" w:cs="Arial"/>
          <w:lang w:val="en-GB"/>
        </w:rPr>
        <w:t>CACV 266/2010</w:t>
      </w:r>
      <w:r w:rsidRPr="00181CF2">
        <w:rPr>
          <w:rFonts w:ascii="Arial" w:hAnsi="Arial" w:cs="Arial"/>
          <w:lang w:val="en-GB"/>
        </w:rPr>
        <w:t xml:space="preserve">), at </w:t>
      </w:r>
      <w:r w:rsidRPr="0028108F">
        <w:rPr>
          <w:rFonts w:ascii="Arial" w:hAnsi="Arial" w:cs="Arial"/>
          <w:lang w:val="en-GB"/>
        </w:rPr>
        <w:t>paragraph 11 (CA).</w:t>
      </w:r>
    </w:p>
  </w:footnote>
  <w:footnote w:id="31">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formerly known as the Harry Benjamin International Gender Dysphoria Association (HBIGDA), is an international multidisciplinary professional association that aims to promote evidence based care, education, research, advocacy, public policy and respect in transgender health.  The WPATH published the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which are non-binding protocols aiming to articulate a professional consensus about the psychiatric, psychological, medical, and surgical management of gender identity disorders, and help professionals understand the parameters within which they may offer assistance to those with these conditions.  The sixth version of the WPATH’s </w:t>
      </w:r>
      <w:r w:rsidRPr="0028108F">
        <w:rPr>
          <w:rFonts w:ascii="Arial" w:hAnsi="Arial" w:cs="Arial"/>
          <w:i/>
          <w:lang w:val="en-GB"/>
        </w:rPr>
        <w:t>Standards of Care</w:t>
      </w:r>
      <w:r w:rsidRPr="00181CF2">
        <w:rPr>
          <w:rFonts w:ascii="Arial" w:hAnsi="Arial" w:cs="Arial"/>
          <w:lang w:val="en-GB"/>
        </w:rPr>
        <w:t xml:space="preserve"> (also known as “</w:t>
      </w:r>
      <w:r w:rsidRPr="0028108F">
        <w:rPr>
          <w:rFonts w:ascii="Arial" w:hAnsi="Arial" w:cs="Arial"/>
          <w:lang w:val="en-GB"/>
        </w:rPr>
        <w:t>The Harry Benjamin International Gender Dysphoria Association’s Standards of Care for Gender Identity Disorders, Sixth Version (February 2001)”)</w:t>
      </w:r>
      <w:r w:rsidRPr="00181CF2">
        <w:rPr>
          <w:rFonts w:ascii="Arial" w:hAnsi="Arial" w:cs="Arial"/>
          <w:lang w:val="en-GB"/>
        </w:rPr>
        <w:t xml:space="preserve"> was referred to by Cheung J in </w:t>
      </w:r>
      <w:r w:rsidRPr="00C57CE1">
        <w:rPr>
          <w:rFonts w:ascii="Arial" w:hAnsi="Arial" w:cs="Arial"/>
          <w:i/>
          <w:lang w:val="en-GB"/>
        </w:rPr>
        <w:t>W v Registrar of Marriages</w:t>
      </w:r>
      <w:r w:rsidRPr="0028108F">
        <w:rPr>
          <w:rFonts w:ascii="Arial" w:hAnsi="Arial" w:cs="Arial"/>
          <w:lang w:val="en-GB"/>
        </w:rPr>
        <w:t xml:space="preserve">, </w:t>
      </w:r>
      <w:r w:rsidRPr="008813DE">
        <w:rPr>
          <w:rFonts w:ascii="Arial" w:hAnsi="Arial" w:cs="Arial"/>
          <w:lang w:val="en-GB"/>
        </w:rPr>
        <w:t>HCAL</w:t>
      </w:r>
      <w:r w:rsidRPr="00181CF2">
        <w:rPr>
          <w:rFonts w:ascii="Arial" w:hAnsi="Arial" w:cs="Arial"/>
          <w:lang w:val="en-GB"/>
        </w:rPr>
        <w:t xml:space="preserve"> 120/2009 (CFI), ju</w:t>
      </w:r>
      <w:r w:rsidRPr="00C57CE1">
        <w:rPr>
          <w:rFonts w:ascii="Arial" w:hAnsi="Arial" w:cs="Arial"/>
          <w:lang w:val="en-GB"/>
        </w:rPr>
        <w:t>dgment of 5 October 20</w:t>
      </w:r>
      <w:r>
        <w:rPr>
          <w:rFonts w:ascii="Arial" w:hAnsi="Arial" w:cs="Arial"/>
          <w:lang w:val="en-GB"/>
        </w:rPr>
        <w:t>10</w:t>
      </w:r>
      <w:r w:rsidRPr="00C57CE1">
        <w:rPr>
          <w:rFonts w:ascii="Arial" w:hAnsi="Arial" w:cs="Arial"/>
          <w:lang w:val="en-GB"/>
        </w:rPr>
        <w:t xml:space="preserve">, at </w:t>
      </w:r>
      <w:r w:rsidRPr="0028108F">
        <w:rPr>
          <w:rFonts w:ascii="Arial" w:hAnsi="Arial" w:cs="Arial"/>
          <w:lang w:val="en-GB"/>
        </w:rPr>
        <w:t>paragraph 30.</w:t>
      </w:r>
    </w:p>
  </w:footnote>
  <w:footnote w:id="32">
    <w:p w:rsidR="0022178B" w:rsidRPr="0028108F" w:rsidRDefault="0022178B" w:rsidP="003675EF">
      <w:pPr>
        <w:pStyle w:val="FootnoteText"/>
        <w:tabs>
          <w:tab w:val="left" w:pos="851"/>
        </w:tabs>
        <w:ind w:left="708" w:hangingChars="354" w:hanging="708"/>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w:t>
      </w:r>
      <w:r>
        <w:rPr>
          <w:rFonts w:ascii="Arial" w:hAnsi="Arial" w:cs="Arial"/>
          <w:lang w:val="en-GB"/>
        </w:rPr>
        <w:t xml:space="preserve"> </w:t>
      </w:r>
      <w:r w:rsidRPr="00C57CE1">
        <w:rPr>
          <w:rFonts w:ascii="Arial" w:hAnsi="Arial" w:cs="Arial"/>
          <w:lang w:val="en-GB"/>
        </w:rPr>
        <w:t xml:space="preserve">7th </w:t>
      </w:r>
      <w:r>
        <w:rPr>
          <w:rFonts w:ascii="Arial" w:hAnsi="Arial" w:cs="Arial"/>
          <w:lang w:val="en-GB"/>
        </w:rPr>
        <w:t>version</w:t>
      </w:r>
      <w:r w:rsidRPr="00C57CE1">
        <w:rPr>
          <w:rFonts w:ascii="Arial" w:hAnsi="Arial" w:cs="Arial"/>
          <w:lang w:val="en-GB"/>
        </w:rPr>
        <w:t xml:space="preserve"> (2012), at </w:t>
      </w:r>
      <w:r>
        <w:rPr>
          <w:rFonts w:ascii="Arial" w:hAnsi="Arial" w:cs="Arial"/>
          <w:lang w:val="en-GB"/>
        </w:rPr>
        <w:t>5</w:t>
      </w:r>
      <w:r w:rsidRPr="0028108F">
        <w:rPr>
          <w:rFonts w:ascii="Arial" w:hAnsi="Arial" w:cs="Arial"/>
          <w:lang w:val="en-GB"/>
        </w:rPr>
        <w:t xml:space="preserve">.  The WPATH goes on to comment: </w:t>
      </w:r>
      <w:r w:rsidRPr="0028108F">
        <w:rPr>
          <w:rFonts w:ascii="Arial" w:hAnsi="Arial" w:cs="Arial"/>
          <w:i/>
          <w:lang w:val="en-GB"/>
        </w:rPr>
        <w:t>“</w:t>
      </w:r>
      <w:r w:rsidRPr="0028108F">
        <w:rPr>
          <w:rFonts w:ascii="Arial" w:hAnsi="Arial" w:cs="Arial"/>
          <w:i/>
          <w:lang w:val="en-GB" w:eastAsia="zh-TW"/>
        </w:rPr>
        <w:t>Gender nonconformity refers to the extent to which a person’s gender identity, role, or expression differs from the cultural norms prescribed for people of a particular sex. …</w:t>
      </w:r>
      <w:r w:rsidRPr="0028108F">
        <w:rPr>
          <w:rFonts w:ascii="Arial" w:hAnsi="Arial" w:cs="Arial"/>
          <w:i/>
          <w:lang w:val="en-GB"/>
        </w:rPr>
        <w:t xml:space="preserve"> Only some gender-nonconforming people experience gender dysphoria at some point in their lives”</w:t>
      </w:r>
      <w:r w:rsidRPr="0028108F">
        <w:rPr>
          <w:rFonts w:ascii="Arial" w:hAnsi="Arial" w:cs="Arial"/>
          <w:lang w:val="en-GB"/>
        </w:rPr>
        <w:t>, same as above.</w:t>
      </w:r>
    </w:p>
  </w:footnote>
  <w:footnote w:id="33">
    <w:p w:rsidR="0022178B" w:rsidRPr="0028108F" w:rsidRDefault="0022178B" w:rsidP="00E43A27">
      <w:pPr>
        <w:pStyle w:val="FootnoteText"/>
        <w:tabs>
          <w:tab w:val="left" w:pos="851"/>
        </w:tabs>
        <w:ind w:left="700" w:hangingChars="350" w:hanging="700"/>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rPr>
        <w:t>DSM-5</w:t>
      </w:r>
      <w:r w:rsidRPr="00C57CE1">
        <w:rPr>
          <w:rFonts w:ascii="Arial" w:hAnsi="Arial" w:cs="Arial"/>
          <w:lang w:val="en-GB"/>
        </w:rPr>
        <w:t xml:space="preserve">, </w:t>
      </w:r>
      <w:r>
        <w:rPr>
          <w:rFonts w:ascii="Arial" w:hAnsi="Arial" w:cs="Arial"/>
          <w:lang w:val="en-GB"/>
        </w:rPr>
        <w:t xml:space="preserve">above, </w:t>
      </w:r>
      <w:r w:rsidRPr="0028108F">
        <w:rPr>
          <w:rFonts w:ascii="Arial" w:hAnsi="Arial" w:cs="Arial"/>
          <w:lang w:val="en-GB"/>
        </w:rPr>
        <w:t>at 45</w:t>
      </w:r>
      <w:r>
        <w:rPr>
          <w:rFonts w:ascii="Arial" w:hAnsi="Arial" w:cs="Arial"/>
          <w:lang w:val="en-GB"/>
        </w:rPr>
        <w:t>1</w:t>
      </w:r>
      <w:r w:rsidRPr="0028108F">
        <w:rPr>
          <w:rFonts w:ascii="Arial" w:hAnsi="Arial" w:cs="Arial"/>
          <w:lang w:val="en-GB"/>
        </w:rPr>
        <w:t>.</w:t>
      </w:r>
    </w:p>
  </w:footnote>
  <w:footnote w:id="34">
    <w:p w:rsidR="0022178B" w:rsidRPr="0028108F" w:rsidRDefault="0022178B" w:rsidP="007911B8">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The</w:t>
      </w:r>
      <w:r w:rsidRPr="00C57CE1">
        <w:rPr>
          <w:rFonts w:ascii="Arial" w:hAnsi="Arial" w:cs="Arial"/>
          <w:lang w:val="en-GB"/>
        </w:rPr>
        <w:t xml:space="preserve"> Professional Commons</w:t>
      </w:r>
      <w:r w:rsidRPr="0028108F">
        <w:rPr>
          <w:rFonts w:ascii="Arial" w:hAnsi="Arial" w:cs="Arial"/>
          <w:lang w:val="en-GB"/>
        </w:rPr>
        <w:t>, “Task Force on Transgender Law Reform: Background Paper</w:t>
      </w:r>
      <w:r w:rsidRPr="00181CF2">
        <w:rPr>
          <w:rFonts w:ascii="Arial" w:hAnsi="Arial" w:cs="Arial"/>
          <w:i/>
          <w:lang w:val="en-GB"/>
        </w:rPr>
        <w:t>”</w:t>
      </w:r>
      <w:r w:rsidRPr="00C57CE1">
        <w:rPr>
          <w:rFonts w:ascii="Arial" w:hAnsi="Arial" w:cs="Arial"/>
          <w:lang w:val="en-GB"/>
        </w:rPr>
        <w:t>,</w:t>
      </w:r>
      <w:r w:rsidRPr="0028108F">
        <w:rPr>
          <w:rFonts w:ascii="Arial" w:hAnsi="Arial" w:cs="Arial"/>
          <w:lang w:val="en-GB"/>
        </w:rPr>
        <w:t xml:space="preserve"> including Sam Winter, “It’s really time for change: Towards a Gender Recognition Ordinance for Hong Kong</w:t>
      </w:r>
      <w:r w:rsidRPr="00181CF2">
        <w:rPr>
          <w:rFonts w:ascii="Arial" w:hAnsi="Arial" w:cs="Arial"/>
          <w:lang w:val="en-GB"/>
        </w:rPr>
        <w:t>”</w:t>
      </w:r>
      <w:r w:rsidRPr="00C57CE1">
        <w:rPr>
          <w:rFonts w:ascii="Arial" w:hAnsi="Arial" w:cs="Arial"/>
          <w:i/>
          <w:lang w:val="en-GB"/>
        </w:rPr>
        <w:t xml:space="preserve"> </w:t>
      </w:r>
      <w:r w:rsidRPr="0028108F">
        <w:rPr>
          <w:rFonts w:ascii="Arial" w:hAnsi="Arial" w:cs="Arial"/>
          <w:lang w:val="en-GB"/>
        </w:rPr>
        <w:t>(update</w:t>
      </w:r>
      <w:r>
        <w:rPr>
          <w:rFonts w:ascii="Arial" w:hAnsi="Arial" w:cs="Arial" w:hint="eastAsia"/>
          <w:lang w:val="en-GB" w:eastAsia="zh-TW"/>
        </w:rPr>
        <w:t>d on 3 October 2013</w:t>
      </w:r>
      <w:r w:rsidRPr="0028108F">
        <w:rPr>
          <w:rFonts w:ascii="Arial" w:hAnsi="Arial" w:cs="Arial"/>
          <w:lang w:val="en-GB"/>
        </w:rPr>
        <w:t>), at 2.</w:t>
      </w:r>
    </w:p>
  </w:footnote>
  <w:footnote w:id="35">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8813DE">
        <w:rPr>
          <w:rFonts w:ascii="Arial" w:hAnsi="Arial" w:cs="Arial"/>
          <w:lang w:val="en-GB"/>
        </w:rPr>
        <w:t xml:space="preserve">HCAL </w:t>
      </w:r>
      <w:r w:rsidRPr="00181CF2">
        <w:rPr>
          <w:rFonts w:ascii="Arial" w:hAnsi="Arial" w:cs="Arial"/>
          <w:lang w:val="en-GB"/>
        </w:rPr>
        <w:t xml:space="preserve">120/2009, at </w:t>
      </w:r>
      <w:r w:rsidRPr="0028108F">
        <w:rPr>
          <w:rFonts w:ascii="Arial" w:hAnsi="Arial" w:cs="Arial"/>
          <w:lang w:val="en-GB"/>
        </w:rPr>
        <w:t>paragraph 27 (CFI).</w:t>
      </w:r>
    </w:p>
  </w:footnote>
  <w:footnote w:id="36">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8813DE">
        <w:rPr>
          <w:rFonts w:ascii="Arial" w:hAnsi="Arial" w:cs="Arial"/>
          <w:lang w:val="en-GB"/>
        </w:rPr>
        <w:t xml:space="preserve">HCAL </w:t>
      </w:r>
      <w:r w:rsidRPr="00181CF2">
        <w:rPr>
          <w:rFonts w:ascii="Arial" w:hAnsi="Arial" w:cs="Arial"/>
          <w:lang w:val="en-GB"/>
        </w:rPr>
        <w:t xml:space="preserve">120/2009, at </w:t>
      </w:r>
      <w:r w:rsidRPr="0028108F">
        <w:rPr>
          <w:rFonts w:ascii="Arial" w:hAnsi="Arial" w:cs="Arial"/>
          <w:lang w:val="en-GB"/>
        </w:rPr>
        <w:t>paragraph 37 (CFI).</w:t>
      </w:r>
    </w:p>
  </w:footnote>
  <w:footnote w:id="37">
    <w:p w:rsidR="0022178B" w:rsidRPr="00181CF2" w:rsidRDefault="0022178B" w:rsidP="003675EF">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Style w:val="FootnoteReference"/>
          <w:rFonts w:ascii="Arial" w:hAnsi="Arial" w:cs="Arial"/>
          <w:vertAlign w:val="baseline"/>
          <w:lang w:val="en-GB"/>
        </w:rPr>
        <w:tab/>
      </w:r>
      <w:r w:rsidRPr="0028108F">
        <w:rPr>
          <w:rFonts w:ascii="Arial" w:hAnsi="Arial" w:cs="Arial"/>
          <w:lang w:val="en-GB"/>
        </w:rPr>
        <w:t xml:space="preserve">(2004) 34 </w:t>
      </w:r>
      <w:r w:rsidRPr="00F86CD8">
        <w:rPr>
          <w:rFonts w:ascii="Arial" w:hAnsi="Arial" w:cs="Arial"/>
          <w:lang w:val="en-GB"/>
        </w:rPr>
        <w:t>HKLJ</w:t>
      </w:r>
      <w:r w:rsidRPr="00181CF2">
        <w:rPr>
          <w:rFonts w:ascii="Arial" w:hAnsi="Arial" w:cs="Arial"/>
          <w:lang w:val="en-GB"/>
        </w:rPr>
        <w:t xml:space="preserve"> 245.</w:t>
      </w:r>
    </w:p>
  </w:footnote>
  <w:footnote w:id="38">
    <w:p w:rsidR="0022178B" w:rsidRPr="00181CF2" w:rsidRDefault="0022178B" w:rsidP="008A27C8">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(2004) 34 </w:t>
      </w:r>
      <w:r w:rsidRPr="00F86CD8">
        <w:rPr>
          <w:rFonts w:ascii="Arial" w:hAnsi="Arial" w:cs="Arial"/>
          <w:lang w:val="en-GB"/>
        </w:rPr>
        <w:t>HKLJ</w:t>
      </w:r>
      <w:r w:rsidRPr="00181CF2">
        <w:rPr>
          <w:rFonts w:ascii="Arial" w:hAnsi="Arial" w:cs="Arial"/>
          <w:lang w:val="en-GB"/>
        </w:rPr>
        <w:t xml:space="preserve"> 515.</w:t>
      </w:r>
    </w:p>
  </w:footnote>
  <w:footnote w:id="39">
    <w:p w:rsidR="0022178B" w:rsidRPr="00181CF2" w:rsidRDefault="0022178B" w:rsidP="008A27C8">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t>(</w:t>
      </w:r>
      <w:r w:rsidRPr="0028108F">
        <w:rPr>
          <w:rFonts w:ascii="Arial" w:hAnsi="Arial" w:cs="Arial"/>
          <w:color w:val="000000"/>
          <w:lang w:val="en-GB"/>
        </w:rPr>
        <w:t>2004</w:t>
      </w:r>
      <w:r w:rsidRPr="0028108F">
        <w:rPr>
          <w:rFonts w:ascii="Arial" w:hAnsi="Arial" w:cs="Arial"/>
          <w:lang w:val="en-GB"/>
        </w:rPr>
        <w:t xml:space="preserve">) 34 </w:t>
      </w:r>
      <w:r w:rsidRPr="00F86CD8">
        <w:rPr>
          <w:rFonts w:ascii="Arial" w:hAnsi="Arial" w:cs="Arial"/>
          <w:lang w:val="en-GB"/>
        </w:rPr>
        <w:t>HKLJ</w:t>
      </w:r>
      <w:r w:rsidRPr="00181CF2">
        <w:rPr>
          <w:rFonts w:ascii="Arial" w:hAnsi="Arial" w:cs="Arial"/>
          <w:lang w:val="en-GB"/>
        </w:rPr>
        <w:t xml:space="preserve"> 515, at 518 and 519.</w:t>
      </w:r>
    </w:p>
  </w:footnote>
  <w:footnote w:id="40">
    <w:p w:rsidR="0022178B" w:rsidRPr="0028108F" w:rsidRDefault="0022178B" w:rsidP="004B2E95">
      <w:pPr>
        <w:pStyle w:val="FootnoteText"/>
        <w:tabs>
          <w:tab w:val="left" w:pos="851"/>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Fonts w:ascii="Arial" w:hAnsi="Arial" w:cs="Arial"/>
          <w:lang w:val="en-GB"/>
        </w:rPr>
        <w:tab/>
        <w:t>Senior Lecturer at the University of Cambridge, UK and Visiting Professor at the University of Hong Kong.</w:t>
      </w:r>
    </w:p>
  </w:footnote>
  <w:footnote w:id="41">
    <w:p w:rsidR="0022178B" w:rsidRPr="0028108F" w:rsidRDefault="0022178B" w:rsidP="004B2E95">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Fonts w:ascii="Arial" w:hAnsi="Arial" w:cs="Arial"/>
          <w:lang w:val="en-GB"/>
        </w:rPr>
        <w:tab/>
        <w:t xml:space="preserve">See Jens M Scherpe (ed), </w:t>
      </w:r>
      <w:r w:rsidRPr="00181CF2">
        <w:rPr>
          <w:rFonts w:ascii="Arial" w:hAnsi="Arial" w:cs="Arial"/>
          <w:i/>
          <w:lang w:val="en-GB"/>
        </w:rPr>
        <w:t>The Legal Status of Transsexual and Transgender Persons</w:t>
      </w:r>
      <w:r w:rsidRPr="0028108F">
        <w:rPr>
          <w:rFonts w:ascii="Arial" w:hAnsi="Arial" w:cs="Arial"/>
          <w:lang w:val="en-GB"/>
        </w:rPr>
        <w:t xml:space="preserve">, (1st ed, December 2015), at 2, citing S Whittle, </w:t>
      </w:r>
      <w:r w:rsidRPr="0028108F">
        <w:rPr>
          <w:rFonts w:ascii="Arial" w:hAnsi="Arial" w:cs="Arial"/>
          <w:i/>
          <w:lang w:val="en-GB"/>
        </w:rPr>
        <w:t>Respect and Equality: Transsexual and Transgender Rights</w:t>
      </w:r>
      <w:r w:rsidRPr="0028108F">
        <w:rPr>
          <w:rFonts w:ascii="Arial" w:hAnsi="Arial" w:cs="Arial"/>
          <w:lang w:val="en-GB"/>
        </w:rPr>
        <w:t xml:space="preserve"> (Routledge-Cavendish 2002), pp. xxii f.</w:t>
      </w:r>
    </w:p>
  </w:footnote>
  <w:footnote w:id="42">
    <w:p w:rsidR="0022178B" w:rsidRPr="0028108F" w:rsidRDefault="0022178B" w:rsidP="00C45C23">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 xml:space="preserve">Former Associate Professor, Faculty of Education, University of Hong Kong; </w:t>
      </w:r>
      <w:r w:rsidRPr="0028108F">
        <w:rPr>
          <w:rFonts w:ascii="Arial" w:hAnsi="Arial" w:cs="Arial"/>
          <w:lang w:val="en-GB"/>
        </w:rPr>
        <w:t>Associate Professor, Department of Sexology, Curtin University; Member of Board of Directors of the WPATH.</w:t>
      </w:r>
    </w:p>
  </w:footnote>
  <w:footnote w:id="43">
    <w:p w:rsidR="0022178B" w:rsidRPr="00181CF2" w:rsidRDefault="0022178B" w:rsidP="00604960">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 Winter, “It’s really time for change: Towards a Gender Recognition Ordinance for Hong Kong’s transsexual people</w:t>
      </w:r>
      <w:r w:rsidRPr="00181CF2">
        <w:rPr>
          <w:rFonts w:ascii="Arial" w:hAnsi="Arial" w:cs="Arial"/>
          <w:lang w:val="en-GB"/>
        </w:rPr>
        <w:t>”</w:t>
      </w:r>
      <w:r w:rsidRPr="00C57CE1">
        <w:rPr>
          <w:rFonts w:ascii="Arial" w:hAnsi="Arial" w:cs="Arial"/>
          <w:lang w:val="en-GB"/>
        </w:rPr>
        <w:t xml:space="preserve"> (3 January 2014), at </w:t>
      </w:r>
      <w:r w:rsidRPr="0028108F">
        <w:rPr>
          <w:rFonts w:ascii="Arial" w:hAnsi="Arial" w:cs="Arial"/>
          <w:lang w:val="en-GB"/>
        </w:rPr>
        <w:t xml:space="preserve">paragraphs 8 to 10: </w:t>
      </w:r>
      <w:r w:rsidRPr="0028108F">
        <w:rPr>
          <w:rFonts w:ascii="Arial" w:hAnsi="Arial" w:cs="Arial"/>
          <w:color w:val="000000"/>
          <w:lang w:val="en-GB"/>
        </w:rPr>
        <w:t>see</w:t>
      </w:r>
      <w:r w:rsidRPr="0028108F">
        <w:rPr>
          <w:rFonts w:ascii="Arial" w:hAnsi="Arial" w:cs="Arial"/>
          <w:i/>
          <w:lang w:val="en-GB"/>
        </w:rPr>
        <w:t xml:space="preserve"> </w:t>
      </w:r>
      <w:r w:rsidRPr="00181CF2">
        <w:rPr>
          <w:rFonts w:ascii="Arial" w:hAnsi="Arial" w:cs="Arial"/>
          <w:lang w:val="en-GB"/>
        </w:rPr>
        <w:t>LC Paper</w:t>
      </w:r>
      <w:r w:rsidRPr="0028108F">
        <w:rPr>
          <w:rFonts w:ascii="Arial" w:hAnsi="Arial" w:cs="Arial"/>
          <w:i/>
          <w:lang w:val="en-GB"/>
        </w:rPr>
        <w:t xml:space="preserve"> </w:t>
      </w:r>
      <w:r w:rsidRPr="00181CF2">
        <w:rPr>
          <w:rFonts w:ascii="Arial" w:hAnsi="Arial" w:cs="Arial"/>
          <w:lang w:val="en-GB"/>
        </w:rPr>
        <w:t>No. CB(2)612/13-14(02).</w:t>
      </w:r>
    </w:p>
  </w:footnote>
  <w:footnote w:id="44">
    <w:p w:rsidR="0022178B" w:rsidRPr="00C57CE1"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International Commission of Jurists, </w:t>
      </w:r>
      <w:r w:rsidRPr="0028108F">
        <w:rPr>
          <w:rFonts w:ascii="Arial" w:hAnsi="Arial" w:cs="Arial"/>
          <w:lang w:val="en-GB"/>
        </w:rPr>
        <w:t>“Sexual Orientation, Gender Identity and International Human Rights Law: Practitioners Guide No 4”</w:t>
      </w:r>
      <w:r w:rsidRPr="00181CF2">
        <w:rPr>
          <w:rFonts w:ascii="Arial" w:hAnsi="Arial" w:cs="Arial"/>
          <w:lang w:val="en-GB"/>
        </w:rPr>
        <w:t xml:space="preserve"> </w:t>
      </w:r>
      <w:r w:rsidRPr="00C57CE1">
        <w:rPr>
          <w:rFonts w:ascii="Arial" w:hAnsi="Arial" w:cs="Arial"/>
          <w:lang w:val="en-GB"/>
        </w:rPr>
        <w:t>(2009), at 21.</w:t>
      </w:r>
    </w:p>
  </w:footnote>
  <w:footnote w:id="45">
    <w:p w:rsidR="0022178B" w:rsidRPr="0028108F" w:rsidRDefault="0022178B" w:rsidP="00604960">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Explanatory Memorandum to Recommendation 1915 (2010) of the Council of Europe Parliamentary Assembly on </w:t>
      </w:r>
      <w:r w:rsidRPr="0028108F">
        <w:rPr>
          <w:rFonts w:ascii="Arial" w:hAnsi="Arial" w:cs="Arial"/>
          <w:i/>
          <w:lang w:val="en-GB"/>
        </w:rPr>
        <w:t>“discrimination on the basis of sexual orientation and gender identity”</w:t>
      </w:r>
      <w:r w:rsidRPr="0028108F">
        <w:rPr>
          <w:rFonts w:ascii="Arial" w:hAnsi="Arial" w:cs="Arial"/>
          <w:lang w:val="en-GB"/>
        </w:rPr>
        <w:t>, in the Report by the Committee on Legal Affairs and Human Rights of the Parliamentary Assembly, “Discrimination on the basis of sexual orientation and gender identity</w:t>
      </w:r>
      <w:r w:rsidRPr="00181CF2">
        <w:rPr>
          <w:rFonts w:ascii="Arial" w:hAnsi="Arial" w:cs="Arial"/>
          <w:lang w:val="en-GB"/>
        </w:rPr>
        <w:t>”</w:t>
      </w:r>
      <w:r w:rsidRPr="00C57CE1">
        <w:rPr>
          <w:rFonts w:ascii="Arial" w:hAnsi="Arial" w:cs="Arial"/>
          <w:lang w:val="en-GB"/>
        </w:rPr>
        <w:t xml:space="preserve"> (Rapporteur: Mr Andreas Gross, Switzerland), Doc 12185, 23 March 2010, Part C, at </w:t>
      </w:r>
      <w:r w:rsidRPr="0028108F">
        <w:rPr>
          <w:rFonts w:ascii="Arial" w:hAnsi="Arial" w:cs="Arial"/>
          <w:lang w:val="en-GB"/>
        </w:rPr>
        <w:t>paragraph 4.</w:t>
      </w:r>
    </w:p>
  </w:footnote>
  <w:footnote w:id="46">
    <w:p w:rsidR="0022178B" w:rsidRPr="0028108F" w:rsidRDefault="0022178B" w:rsidP="00F47842">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t>
      </w:r>
      <w:r w:rsidRPr="0028108F">
        <w:rPr>
          <w:rFonts w:ascii="Arial" w:hAnsi="Arial" w:cs="Arial"/>
          <w:lang w:val="en-GB"/>
        </w:rPr>
        <w:t>Trans and intersex people: Discrimination on the grounds of sex, gender identity and gender expression</w:t>
      </w:r>
      <w:r w:rsidRPr="00C57CE1">
        <w:rPr>
          <w:rFonts w:ascii="Arial" w:hAnsi="Arial" w:cs="Arial"/>
          <w:i/>
          <w:lang w:val="en-GB"/>
        </w:rPr>
        <w:t>”</w:t>
      </w:r>
      <w:r w:rsidRPr="0028108F">
        <w:rPr>
          <w:rFonts w:ascii="Arial" w:hAnsi="Arial" w:cs="Arial"/>
          <w:lang w:val="en-GB"/>
        </w:rPr>
        <w:t xml:space="preserve"> (Luxembourg: European Union, 2012), prepared for the use of the European Commission, Directorate-General for Justice, and drafted by Silvan Agius and Christa Tobler under the supervision of Migration Policy Group, at 12.</w:t>
      </w:r>
    </w:p>
  </w:footnote>
  <w:footnote w:id="47">
    <w:p w:rsidR="0022178B" w:rsidRPr="0028108F" w:rsidRDefault="0022178B" w:rsidP="00D52EC6">
      <w:pPr>
        <w:pStyle w:val="FootnoteText"/>
        <w:tabs>
          <w:tab w:val="left" w:pos="752"/>
        </w:tabs>
        <w:ind w:left="708" w:hangingChars="354" w:hanging="708"/>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ab/>
      </w:r>
      <w:r>
        <w:rPr>
          <w:rFonts w:ascii="Arial" w:hAnsi="Arial" w:cs="Arial" w:hint="eastAsia"/>
          <w:lang w:val="en-GB" w:eastAsia="zh-TW"/>
        </w:rPr>
        <w:t xml:space="preserve">See </w:t>
      </w:r>
      <w:r w:rsidRPr="0028108F">
        <w:rPr>
          <w:rFonts w:ascii="Arial" w:hAnsi="Arial" w:cs="Arial"/>
          <w:lang w:val="en-GB"/>
        </w:rPr>
        <w:t>Centre for Medical Ethics and Law, Faculty of Law of the University of Hong Kong, “Submission to the Legislative Council and the Security Bureau of the Hong Kong SAR on the Legal Status of Transsexual and Transgender Persons in Hong Kong</w:t>
      </w:r>
      <w:r w:rsidRPr="00181CF2">
        <w:rPr>
          <w:rFonts w:ascii="Arial" w:hAnsi="Arial" w:cs="Arial"/>
          <w:lang w:val="en-GB"/>
        </w:rPr>
        <w:t>”</w:t>
      </w:r>
      <w:r w:rsidRPr="00C57CE1">
        <w:rPr>
          <w:rFonts w:ascii="Arial" w:hAnsi="Arial" w:cs="Arial"/>
          <w:lang w:val="en-GB"/>
        </w:rPr>
        <w:t xml:space="preserve"> [in Relation to the M</w:t>
      </w:r>
      <w:r w:rsidRPr="0028108F">
        <w:rPr>
          <w:rFonts w:ascii="Arial" w:hAnsi="Arial" w:cs="Arial"/>
          <w:lang w:val="en-GB"/>
        </w:rPr>
        <w:t>arriage (Amendment) Bill 2014] (Occasional Paper No 1, March 2014</w:t>
      </w:r>
      <w:r>
        <w:rPr>
          <w:rFonts w:ascii="Arial" w:hAnsi="Arial" w:cs="Arial" w:hint="eastAsia"/>
          <w:lang w:val="en-GB" w:eastAsia="zh-TW"/>
        </w:rPr>
        <w:t xml:space="preserve">; </w:t>
      </w:r>
      <w:r w:rsidRPr="0028108F">
        <w:rPr>
          <w:rFonts w:ascii="Arial" w:hAnsi="Arial" w:cs="Arial"/>
          <w:lang w:val="en-GB"/>
        </w:rPr>
        <w:t>LC Paper No. CB(2)1052/13-14(01)</w:t>
      </w:r>
      <w:r>
        <w:rPr>
          <w:rFonts w:ascii="Arial" w:hAnsi="Arial" w:cs="Arial" w:hint="eastAsia"/>
          <w:lang w:val="en-GB" w:eastAsia="zh-TW"/>
        </w:rPr>
        <w:t>)</w:t>
      </w:r>
      <w:r w:rsidRPr="0028108F">
        <w:rPr>
          <w:rFonts w:ascii="Arial" w:hAnsi="Arial" w:cs="Arial"/>
          <w:lang w:val="en-GB"/>
        </w:rPr>
        <w:t>.</w:t>
      </w:r>
    </w:p>
  </w:footnote>
  <w:footnote w:id="48">
    <w:p w:rsidR="0022178B" w:rsidRPr="0028108F" w:rsidRDefault="0022178B" w:rsidP="00C652F7">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The</w:t>
      </w:r>
      <w:r w:rsidRPr="00C57CE1">
        <w:rPr>
          <w:rFonts w:ascii="Arial" w:hAnsi="Arial" w:cs="Arial"/>
          <w:lang w:val="en-GB"/>
        </w:rPr>
        <w:t xml:space="preserve"> Professional Commons</w:t>
      </w:r>
      <w:r w:rsidRPr="0028108F">
        <w:rPr>
          <w:rFonts w:ascii="Arial" w:hAnsi="Arial" w:cs="Arial"/>
          <w:lang w:val="en-GB"/>
        </w:rPr>
        <w:t>, “Task Force on Transgender Law Reform: Background Paper</w:t>
      </w:r>
      <w:r w:rsidRPr="00181CF2">
        <w:rPr>
          <w:rFonts w:ascii="Arial" w:hAnsi="Arial" w:cs="Arial"/>
          <w:i/>
          <w:lang w:val="en-GB"/>
        </w:rPr>
        <w:t>”</w:t>
      </w:r>
      <w:r w:rsidRPr="00C57CE1">
        <w:rPr>
          <w:rFonts w:ascii="Arial" w:hAnsi="Arial" w:cs="Arial"/>
          <w:lang w:val="en-GB"/>
        </w:rPr>
        <w:t>,</w:t>
      </w:r>
      <w:r w:rsidRPr="0028108F">
        <w:rPr>
          <w:rFonts w:ascii="Arial" w:hAnsi="Arial" w:cs="Arial"/>
          <w:lang w:val="en-GB"/>
        </w:rPr>
        <w:t xml:space="preserve"> including Sam Winter, “It’s really time for change: Towards a Gender Recognition Ordinance for Hong Kong</w:t>
      </w:r>
      <w:r w:rsidRPr="00181CF2">
        <w:rPr>
          <w:rFonts w:ascii="Arial" w:hAnsi="Arial" w:cs="Arial"/>
          <w:lang w:val="en-GB"/>
        </w:rPr>
        <w:t>”</w:t>
      </w:r>
      <w:r w:rsidRPr="00C57CE1">
        <w:rPr>
          <w:rFonts w:ascii="Arial" w:hAnsi="Arial" w:cs="Arial"/>
          <w:i/>
          <w:lang w:val="en-GB"/>
        </w:rPr>
        <w:t xml:space="preserve"> </w:t>
      </w:r>
      <w:r w:rsidRPr="0028108F">
        <w:rPr>
          <w:rFonts w:ascii="Arial" w:hAnsi="Arial" w:cs="Arial"/>
          <w:lang w:val="en-GB"/>
        </w:rPr>
        <w:t>(update</w:t>
      </w:r>
      <w:r>
        <w:rPr>
          <w:rFonts w:ascii="Arial" w:hAnsi="Arial" w:cs="Arial" w:hint="eastAsia"/>
          <w:lang w:val="en-GB" w:eastAsia="zh-TW"/>
        </w:rPr>
        <w:t>d on 3 October 2013</w:t>
      </w:r>
      <w:r w:rsidRPr="0028108F">
        <w:rPr>
          <w:rFonts w:ascii="Arial" w:hAnsi="Arial" w:cs="Arial"/>
          <w:lang w:val="en-GB"/>
        </w:rPr>
        <w:t>), at 2.</w:t>
      </w:r>
    </w:p>
  </w:footnote>
  <w:footnote w:id="49">
    <w:p w:rsidR="0022178B" w:rsidRPr="0028108F" w:rsidRDefault="0022178B" w:rsidP="0028108F">
      <w:pPr>
        <w:pStyle w:val="FootnoteText"/>
        <w:tabs>
          <w:tab w:val="left" w:pos="709"/>
        </w:tabs>
        <w:ind w:left="708" w:hangingChars="354" w:hanging="708"/>
        <w:jc w:val="both"/>
        <w:rPr>
          <w:rFonts w:ascii="Arial" w:hAnsi="Arial" w:cs="Arial"/>
          <w:lang w:val="en-US"/>
        </w:rPr>
      </w:pPr>
      <w:r w:rsidRPr="0028108F">
        <w:rPr>
          <w:rStyle w:val="FootnoteReference"/>
          <w:rFonts w:ascii="Arial" w:hAnsi="Arial" w:cs="Arial"/>
          <w:vertAlign w:val="baseline"/>
          <w:lang w:val="en-GB"/>
        </w:rPr>
        <w:footnoteRef/>
      </w:r>
      <w:r w:rsidRPr="0028108F">
        <w:rPr>
          <w:rFonts w:ascii="Arial" w:hAnsi="Arial" w:cs="Arial"/>
        </w:rPr>
        <w:t xml:space="preserve"> </w:t>
      </w:r>
      <w:r w:rsidRPr="0028108F">
        <w:rPr>
          <w:rFonts w:ascii="Arial" w:hAnsi="Arial" w:cs="Arial"/>
          <w:lang w:val="en-US"/>
        </w:rPr>
        <w:tab/>
      </w:r>
      <w:r w:rsidRPr="00181CF2">
        <w:rPr>
          <w:rFonts w:ascii="Arial" w:hAnsi="Arial" w:cs="Arial"/>
          <w:kern w:val="0"/>
          <w:lang w:val="en-GB"/>
        </w:rPr>
        <w:t>The general procedures of the SRS p</w:t>
      </w:r>
      <w:r w:rsidRPr="00C57CE1">
        <w:rPr>
          <w:rFonts w:ascii="Arial" w:hAnsi="Arial" w:cs="Arial"/>
          <w:kern w:val="0"/>
          <w:lang w:val="en-GB"/>
        </w:rPr>
        <w:t>rocess</w:t>
      </w:r>
      <w:r w:rsidRPr="0028108F">
        <w:rPr>
          <w:rFonts w:ascii="Arial" w:hAnsi="Arial" w:cs="Arial"/>
          <w:kern w:val="0"/>
          <w:lang w:val="en-GB"/>
        </w:rPr>
        <w:t xml:space="preserve"> that might be undertaken by a transgender person, including optional ones, are illustrated in paragraph </w:t>
      </w:r>
      <w:r w:rsidRPr="008813DE">
        <w:rPr>
          <w:rFonts w:ascii="Arial" w:hAnsi="Arial" w:cs="Arial"/>
          <w:kern w:val="0"/>
          <w:lang w:val="en-GB"/>
        </w:rPr>
        <w:t>2.52</w:t>
      </w:r>
      <w:r w:rsidRPr="00181CF2">
        <w:rPr>
          <w:rFonts w:ascii="Arial" w:hAnsi="Arial" w:cs="Arial"/>
          <w:kern w:val="0"/>
          <w:lang w:val="en-GB"/>
        </w:rPr>
        <w:t xml:space="preserve"> of this </w:t>
      </w:r>
      <w:r w:rsidRPr="00C57CE1">
        <w:rPr>
          <w:rFonts w:ascii="Arial" w:hAnsi="Arial" w:cs="Arial"/>
          <w:kern w:val="0"/>
          <w:lang w:val="en-GB"/>
        </w:rPr>
        <w:t>c</w:t>
      </w:r>
      <w:r w:rsidRPr="0028108F">
        <w:rPr>
          <w:rFonts w:ascii="Arial" w:hAnsi="Arial" w:cs="Arial"/>
          <w:kern w:val="0"/>
          <w:lang w:val="en-GB"/>
        </w:rPr>
        <w:t>hapter.</w:t>
      </w:r>
    </w:p>
  </w:footnote>
  <w:footnote w:id="50">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Regulation 14 of </w:t>
      </w:r>
      <w:r w:rsidRPr="00C57CE1">
        <w:rPr>
          <w:rFonts w:ascii="Arial" w:hAnsi="Arial" w:cs="Arial"/>
          <w:kern w:val="0"/>
          <w:lang w:val="en-GB"/>
        </w:rPr>
        <w:t>the Registration of Persons Regulations</w:t>
      </w:r>
      <w:r w:rsidRPr="0028108F">
        <w:rPr>
          <w:rFonts w:ascii="Arial" w:hAnsi="Arial" w:cs="Arial"/>
          <w:lang w:val="en-GB"/>
        </w:rPr>
        <w:t xml:space="preserve"> (Cap 177A) provides that an application for alteration of an identity card shall be made to a registration officer who shall only issue a replacement identity card:</w:t>
      </w:r>
    </w:p>
    <w:p w:rsidR="0022178B" w:rsidRPr="0028108F" w:rsidRDefault="0022178B" w:rsidP="0028108F">
      <w:pPr>
        <w:pStyle w:val="FootnoteText"/>
        <w:numPr>
          <w:ilvl w:val="0"/>
          <w:numId w:val="3"/>
        </w:numPr>
        <w:tabs>
          <w:tab w:val="left" w:pos="851"/>
          <w:tab w:val="left" w:pos="1418"/>
        </w:tabs>
        <w:ind w:left="1418" w:hanging="709"/>
        <w:jc w:val="both"/>
        <w:rPr>
          <w:rFonts w:ascii="Arial" w:hAnsi="Arial" w:cs="Arial"/>
          <w:lang w:val="en-GB"/>
        </w:rPr>
      </w:pPr>
      <w:r w:rsidRPr="0028108F">
        <w:rPr>
          <w:rFonts w:ascii="Arial" w:hAnsi="Arial" w:cs="Arial"/>
          <w:lang w:val="en-GB"/>
        </w:rPr>
        <w:t>after the identity card has been surrendered to him;</w:t>
      </w:r>
    </w:p>
    <w:p w:rsidR="0022178B" w:rsidRPr="0028108F" w:rsidRDefault="0022178B" w:rsidP="0028108F">
      <w:pPr>
        <w:pStyle w:val="FootnoteText"/>
        <w:numPr>
          <w:ilvl w:val="0"/>
          <w:numId w:val="3"/>
        </w:numPr>
        <w:tabs>
          <w:tab w:val="left" w:pos="851"/>
          <w:tab w:val="left" w:pos="1418"/>
        </w:tabs>
        <w:ind w:left="1418" w:hanging="709"/>
        <w:jc w:val="both"/>
        <w:rPr>
          <w:rFonts w:ascii="Arial" w:hAnsi="Arial" w:cs="Arial"/>
          <w:lang w:val="en-GB"/>
        </w:rPr>
      </w:pPr>
      <w:r w:rsidRPr="0028108F">
        <w:rPr>
          <w:rFonts w:ascii="Arial" w:hAnsi="Arial" w:cs="Arial"/>
          <w:lang w:val="en-GB"/>
        </w:rPr>
        <w:t>after the production of such evidence, under oath or otherwise as he may require; and</w:t>
      </w:r>
    </w:p>
    <w:p w:rsidR="0022178B" w:rsidRPr="0028108F" w:rsidRDefault="0022178B" w:rsidP="0028108F">
      <w:pPr>
        <w:pStyle w:val="FootnoteText"/>
        <w:numPr>
          <w:ilvl w:val="0"/>
          <w:numId w:val="3"/>
        </w:numPr>
        <w:tabs>
          <w:tab w:val="left" w:pos="851"/>
          <w:tab w:val="left" w:pos="1418"/>
        </w:tabs>
        <w:ind w:left="1418" w:hanging="709"/>
        <w:jc w:val="both"/>
        <w:rPr>
          <w:rFonts w:ascii="Arial" w:hAnsi="Arial" w:cs="Arial"/>
          <w:lang w:val="en-GB"/>
        </w:rPr>
      </w:pPr>
      <w:r w:rsidRPr="0028108F">
        <w:rPr>
          <w:rFonts w:ascii="Arial" w:hAnsi="Arial" w:cs="Arial"/>
          <w:lang w:val="en-GB"/>
        </w:rPr>
        <w:t>after such investigation as he may consider necessary.</w:t>
      </w:r>
    </w:p>
  </w:footnote>
  <w:footnote w:id="51">
    <w:p w:rsidR="0022178B" w:rsidRPr="00C57CE1"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the relevant guidelines on the procedures and supporting documents for applications to change the sex entry on identity cards, which are available at the website of the Immigration Department: </w:t>
      </w:r>
      <w:hyperlink w:history="1"/>
      <w:hyperlink r:id="rId7" w:history="1">
        <w:r w:rsidRPr="005A10CA">
          <w:rPr>
            <w:rStyle w:val="Hyperlink"/>
            <w:rFonts w:ascii="Arial" w:hAnsi="Arial" w:cs="Arial"/>
            <w:lang w:val="en-GB"/>
          </w:rPr>
          <w:t>http://www.immd.gov.hk/eng/faq/faq_hkic.html</w:t>
        </w:r>
      </w:hyperlink>
      <w:r w:rsidRPr="00C57CE1">
        <w:rPr>
          <w:rFonts w:ascii="Arial" w:hAnsi="Arial" w:cs="Arial"/>
          <w:lang w:val="en-GB"/>
        </w:rPr>
        <w:t>.  Such guidelines have been formulated in consultation with the HA and the medical sector.</w:t>
      </w:r>
    </w:p>
  </w:footnote>
  <w:footnote w:id="52">
    <w:p w:rsidR="0022178B" w:rsidRPr="00181CF2" w:rsidRDefault="0022178B" w:rsidP="0028108F">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Same as above.</w:t>
      </w:r>
    </w:p>
  </w:footnote>
  <w:footnote w:id="53">
    <w:p w:rsidR="0022178B" w:rsidRPr="0028108F" w:rsidRDefault="0022178B" w:rsidP="00F47842">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In Hong Kong, patients aged 18 years or older are eligible for SRS.  This age limit was adopted in</w:t>
      </w:r>
      <w:r w:rsidRPr="00C57CE1">
        <w:rPr>
          <w:rFonts w:ascii="Arial" w:hAnsi="Arial" w:cs="Arial"/>
          <w:lang w:val="en-GB"/>
        </w:rPr>
        <w:t xml:space="preserve"> accordance with the WPATH’s </w:t>
      </w:r>
      <w:r w:rsidRPr="0028108F">
        <w:rPr>
          <w:rFonts w:ascii="Arial" w:hAnsi="Arial" w:cs="Arial"/>
          <w:i/>
          <w:lang w:val="en-GB"/>
        </w:rPr>
        <w:t>Standards of Care</w:t>
      </w:r>
      <w:r w:rsidRPr="00181CF2">
        <w:rPr>
          <w:rFonts w:ascii="Arial" w:hAnsi="Arial" w:cs="Arial"/>
          <w:lang w:val="en-GB"/>
        </w:rPr>
        <w:t xml:space="preserve"> </w:t>
      </w:r>
      <w:r w:rsidRPr="0028108F">
        <w:rPr>
          <w:rFonts w:ascii="Arial" w:hAnsi="Arial" w:cs="Arial"/>
          <w:lang w:val="en-GB"/>
        </w:rPr>
        <w:t xml:space="preserve">which recommended that genital surgery should not be carried out until patients reach the legal age of majority to give consent for medical procedures.  (See the WPATH’s </w:t>
      </w:r>
      <w:r w:rsidRPr="0028108F">
        <w:rPr>
          <w:rFonts w:ascii="Arial" w:hAnsi="Arial" w:cs="Arial"/>
          <w:i/>
          <w:lang w:val="en-GB"/>
        </w:rPr>
        <w:t>Standards of Care</w:t>
      </w:r>
      <w:r w:rsidRPr="00181CF2">
        <w:rPr>
          <w:rFonts w:ascii="Arial" w:hAnsi="Arial" w:cs="Arial"/>
          <w:lang w:val="en-GB"/>
        </w:rPr>
        <w:t xml:space="preserve"> (7th ve</w:t>
      </w:r>
      <w:r w:rsidRPr="00C57CE1">
        <w:rPr>
          <w:rFonts w:ascii="Arial" w:hAnsi="Arial" w:cs="Arial"/>
          <w:lang w:val="en-GB"/>
        </w:rPr>
        <w:t xml:space="preserve">rsion), at </w:t>
      </w:r>
      <w:r>
        <w:rPr>
          <w:rFonts w:ascii="Arial" w:hAnsi="Arial" w:cs="Arial"/>
          <w:lang w:val="en-GB"/>
        </w:rPr>
        <w:t>21</w:t>
      </w:r>
      <w:r w:rsidRPr="00C57CE1">
        <w:rPr>
          <w:rFonts w:ascii="Arial" w:hAnsi="Arial" w:cs="Arial"/>
          <w:lang w:val="en-GB"/>
        </w:rPr>
        <w:t>.)  However, applicants below 18 who have undergone full SRS outside Hong Kong may still apply for amendment of their HKICs with t</w:t>
      </w:r>
      <w:r w:rsidRPr="0028108F">
        <w:rPr>
          <w:rFonts w:ascii="Arial" w:hAnsi="Arial" w:cs="Arial"/>
          <w:lang w:val="en-GB"/>
        </w:rPr>
        <w:t>he necessary supporting evidence.</w:t>
      </w:r>
    </w:p>
  </w:footnote>
  <w:footnote w:id="54">
    <w:p w:rsidR="0022178B" w:rsidRPr="00181CF2" w:rsidRDefault="0022178B" w:rsidP="0028108F">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Regulation 14(1) of Cap 177A.</w:t>
      </w:r>
    </w:p>
  </w:footnote>
  <w:footnote w:id="55">
    <w:p w:rsidR="0022178B" w:rsidRPr="00181CF2" w:rsidRDefault="0022178B" w:rsidP="0028108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rPr>
        <w:t>Section 5 of the Registration of Persons Ordinance (Cap 177) provides, among others, tha</w:t>
      </w:r>
      <w:r w:rsidRPr="00C57CE1">
        <w:rPr>
          <w:rFonts w:ascii="Arial" w:hAnsi="Arial" w:cs="Arial"/>
          <w:lang w:val="en-GB"/>
        </w:rPr>
        <w:t>t every person who is registered with an identity card under the Ordinance has the duty to use his or her registered name and number of identity</w:t>
      </w:r>
      <w:r w:rsidRPr="0028108F">
        <w:rPr>
          <w:rFonts w:ascii="Arial" w:hAnsi="Arial" w:cs="Arial"/>
          <w:lang w:val="en-GB"/>
        </w:rPr>
        <w:t xml:space="preserve"> card in all dealings with the Government.  There is, however, no similar requirement as regards other registered particulars, including “</w:t>
      </w:r>
      <w:r w:rsidRPr="00B25672">
        <w:rPr>
          <w:rFonts w:ascii="Arial" w:hAnsi="Arial" w:cs="Arial"/>
          <w:i/>
          <w:lang w:val="en-GB"/>
        </w:rPr>
        <w:t>sex</w:t>
      </w:r>
      <w:r w:rsidRPr="0028108F">
        <w:rPr>
          <w:rFonts w:ascii="Arial" w:hAnsi="Arial" w:cs="Arial"/>
          <w:lang w:val="en-GB"/>
        </w:rPr>
        <w:t>”.  The relevant provision is set out as follows –</w:t>
      </w:r>
    </w:p>
    <w:p w:rsidR="0022178B" w:rsidRPr="00B25672" w:rsidRDefault="0022178B" w:rsidP="0028108F">
      <w:pPr>
        <w:pStyle w:val="FootnoteText"/>
        <w:tabs>
          <w:tab w:val="left" w:pos="851"/>
        </w:tabs>
        <w:ind w:leftChars="295" w:left="1516" w:hangingChars="404" w:hanging="808"/>
        <w:jc w:val="both"/>
        <w:rPr>
          <w:rFonts w:ascii="Arial" w:hAnsi="Arial" w:cs="Arial"/>
          <w:i/>
          <w:lang w:val="en-GB"/>
        </w:rPr>
      </w:pPr>
      <w:r w:rsidRPr="00C57CE1">
        <w:rPr>
          <w:rFonts w:ascii="Arial" w:hAnsi="Arial" w:cs="Arial"/>
          <w:lang w:val="en-GB"/>
        </w:rPr>
        <w:tab/>
      </w:r>
      <w:r w:rsidRPr="00C57CE1">
        <w:rPr>
          <w:rFonts w:ascii="Arial" w:hAnsi="Arial" w:cs="Arial"/>
          <w:lang w:val="en-GB"/>
        </w:rPr>
        <w:tab/>
      </w:r>
      <w:r w:rsidRPr="0028108F">
        <w:rPr>
          <w:rFonts w:ascii="Arial" w:hAnsi="Arial" w:cs="Arial"/>
          <w:lang w:val="en-GB"/>
        </w:rPr>
        <w:t>“</w:t>
      </w:r>
      <w:r w:rsidRPr="00B25672">
        <w:rPr>
          <w:rFonts w:ascii="Arial" w:hAnsi="Arial" w:cs="Arial"/>
          <w:i/>
          <w:lang w:val="en-GB"/>
        </w:rPr>
        <w:t>(1)</w:t>
      </w:r>
      <w:r w:rsidRPr="00B25672">
        <w:rPr>
          <w:rFonts w:ascii="Arial" w:hAnsi="Arial" w:cs="Arial"/>
          <w:i/>
          <w:lang w:val="en-GB"/>
        </w:rPr>
        <w:tab/>
        <w:t>Notwithstanding the provisions of any law to the contrary, every person who is registered under this Ordinance shall in all dealings with Government-</w:t>
      </w:r>
    </w:p>
    <w:p w:rsidR="0022178B" w:rsidRPr="00B25672" w:rsidRDefault="0022178B" w:rsidP="0028108F">
      <w:pPr>
        <w:pStyle w:val="FootnoteText"/>
        <w:tabs>
          <w:tab w:val="left" w:pos="851"/>
        </w:tabs>
        <w:ind w:leftChars="452" w:left="1893" w:hangingChars="404" w:hanging="808"/>
        <w:jc w:val="both"/>
        <w:rPr>
          <w:rFonts w:ascii="Arial" w:hAnsi="Arial" w:cs="Arial"/>
          <w:i/>
          <w:lang w:val="en-GB"/>
        </w:rPr>
      </w:pPr>
      <w:r w:rsidRPr="00B25672">
        <w:rPr>
          <w:rFonts w:ascii="Arial" w:hAnsi="Arial" w:cs="Arial"/>
          <w:i/>
          <w:lang w:val="en-GB"/>
        </w:rPr>
        <w:tab/>
        <w:t>(a) use the personal name and surname entered on the identity card issued to such person; and </w:t>
      </w:r>
      <w:r w:rsidRPr="00B25672">
        <w:rPr>
          <w:rFonts w:ascii="Arial" w:hAnsi="Arial" w:cs="Arial"/>
          <w:i/>
          <w:lang w:val="en-GB"/>
        </w:rPr>
        <w:br/>
        <w:t>(b) furnish the number of his identity card to the satisfaction of the public officer requiring such number; and </w:t>
      </w:r>
      <w:r w:rsidRPr="00B25672">
        <w:rPr>
          <w:rFonts w:ascii="Arial" w:hAnsi="Arial" w:cs="Arial"/>
          <w:i/>
          <w:lang w:val="en-GB"/>
        </w:rPr>
        <w:br/>
        <w:t>(c) when he is required by law to furnish particulars of any other person, so far as he is able-</w:t>
      </w:r>
    </w:p>
    <w:p w:rsidR="0022178B" w:rsidRPr="00B25672" w:rsidRDefault="0022178B" w:rsidP="0028108F">
      <w:pPr>
        <w:pStyle w:val="FootnoteText"/>
        <w:tabs>
          <w:tab w:val="left" w:pos="851"/>
        </w:tabs>
        <w:ind w:left="2400" w:hanging="1"/>
        <w:jc w:val="both"/>
        <w:rPr>
          <w:rFonts w:ascii="Arial" w:hAnsi="Arial" w:cs="Arial"/>
          <w:i/>
          <w:lang w:val="en-GB"/>
        </w:rPr>
      </w:pPr>
      <w:r w:rsidRPr="00B25672">
        <w:rPr>
          <w:rFonts w:ascii="Arial" w:hAnsi="Arial" w:cs="Arial"/>
          <w:i/>
          <w:lang w:val="en-GB"/>
        </w:rPr>
        <w:tab/>
        <w:t>(i) submit the personal name and surname entered on the identity card issued to such other person; and </w:t>
      </w:r>
      <w:r w:rsidRPr="00B25672">
        <w:rPr>
          <w:rFonts w:ascii="Arial" w:hAnsi="Arial" w:cs="Arial"/>
          <w:i/>
          <w:lang w:val="en-GB"/>
        </w:rPr>
        <w:br/>
        <w:t>(ii) furnish the number of the identity card relating to such person to the satisfaction of the public officer requiring it.</w:t>
      </w:r>
    </w:p>
    <w:p w:rsidR="0022178B" w:rsidRPr="00C57CE1" w:rsidRDefault="0022178B" w:rsidP="0028108F">
      <w:pPr>
        <w:pStyle w:val="FootnoteText"/>
        <w:tabs>
          <w:tab w:val="left" w:pos="851"/>
        </w:tabs>
        <w:ind w:left="1560" w:hanging="1"/>
        <w:jc w:val="both"/>
        <w:rPr>
          <w:rFonts w:ascii="Arial" w:hAnsi="Arial" w:cs="Arial"/>
          <w:lang w:val="en-GB"/>
        </w:rPr>
      </w:pPr>
      <w:r w:rsidRPr="00B25672">
        <w:rPr>
          <w:rFonts w:ascii="Arial" w:hAnsi="Arial" w:cs="Arial"/>
          <w:i/>
          <w:lang w:val="en-GB"/>
        </w:rPr>
        <w:tab/>
        <w:t>(2) Any person who fails to comply with subsection (1) commits an offence and is liable to a fine at level 5 and to imprisonment for 1 year.</w:t>
      </w:r>
      <w:r w:rsidRPr="00181CF2">
        <w:rPr>
          <w:rFonts w:ascii="Arial" w:hAnsi="Arial" w:cs="Arial"/>
          <w:lang w:val="en-GB"/>
        </w:rPr>
        <w:t>”</w:t>
      </w:r>
    </w:p>
  </w:footnote>
  <w:footnote w:id="56">
    <w:p w:rsidR="0022178B" w:rsidRPr="0028108F" w:rsidRDefault="0022178B" w:rsidP="00A42A11">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Pursuant to</w:t>
      </w:r>
      <w:r w:rsidRPr="00C57CE1">
        <w:rPr>
          <w:rFonts w:ascii="Arial" w:hAnsi="Arial" w:cs="Arial"/>
          <w:lang w:val="en-GB"/>
        </w:rPr>
        <w:t xml:space="preserve"> section 27 of the Births and Deaths Registration Ordinance (Cap 174), a birth certificate cannot be amended unless there is any clerical error,</w:t>
      </w:r>
      <w:r w:rsidRPr="0028108F">
        <w:rPr>
          <w:rFonts w:ascii="Arial" w:hAnsi="Arial" w:cs="Arial"/>
          <w:lang w:val="en-GB"/>
        </w:rPr>
        <w:t xml:space="preserve"> or an error of fact or substance with the production of proof.  Any correction of errors of fact or substance is done in the margin of the birth certificate without any alteration of the original entry.</w:t>
      </w:r>
    </w:p>
  </w:footnote>
  <w:footnote w:id="57">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C57CE1">
        <w:rPr>
          <w:rFonts w:ascii="Arial" w:hAnsi="Arial" w:cs="Arial"/>
          <w:lang w:val="en-GB"/>
        </w:rPr>
        <w:t>the Government</w:t>
      </w:r>
      <w:r w:rsidRPr="0028108F">
        <w:rPr>
          <w:rFonts w:ascii="Arial" w:hAnsi="Arial" w:cs="Arial"/>
          <w:lang w:val="en-GB"/>
        </w:rPr>
        <w:t>’s paper to LegCo Security Panel Meeting on 7 January 2014, at paragraph 2.</w:t>
      </w:r>
    </w:p>
  </w:footnote>
  <w:footnote w:id="58">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Based on the CFA’s finding (at </w:t>
      </w:r>
      <w:r w:rsidRPr="0028108F">
        <w:rPr>
          <w:rFonts w:ascii="Arial" w:hAnsi="Arial" w:cs="Arial"/>
          <w:lang w:val="en-GB"/>
        </w:rPr>
        <w:t xml:space="preserve">paragraphs 30 to 39 of the </w:t>
      </w:r>
      <w:r w:rsidRPr="0028108F">
        <w:rPr>
          <w:rFonts w:ascii="Arial" w:hAnsi="Arial" w:cs="Arial"/>
          <w:i/>
          <w:lang w:val="en-GB"/>
        </w:rPr>
        <w:t>W</w:t>
      </w:r>
      <w:r w:rsidRPr="0028108F">
        <w:rPr>
          <w:rFonts w:ascii="Arial" w:hAnsi="Arial" w:cs="Arial"/>
          <w:lang w:val="en-GB"/>
        </w:rPr>
        <w:t xml:space="preserve"> case) that the legislative intent behind the enactment of section 20 of the MCO was to adopt equivalent provisions in the UK Nullity of Marriage Act 1971, which in turn had endorsed the decision of </w:t>
      </w:r>
      <w:r w:rsidRPr="0028108F">
        <w:rPr>
          <w:rFonts w:ascii="Arial" w:hAnsi="Arial" w:cs="Arial"/>
          <w:i/>
          <w:lang w:val="en-GB"/>
        </w:rPr>
        <w:t>Corbett v Corbett (otherwise Ashley)</w:t>
      </w:r>
      <w:r w:rsidRPr="0028108F">
        <w:rPr>
          <w:rFonts w:ascii="Arial" w:hAnsi="Arial" w:cs="Arial"/>
          <w:lang w:val="en-GB"/>
        </w:rPr>
        <w:t xml:space="preserve"> [1971] P 83, in which was held (</w:t>
      </w:r>
      <w:r w:rsidRPr="0028108F">
        <w:rPr>
          <w:rFonts w:ascii="Arial" w:hAnsi="Arial" w:cs="Arial"/>
          <w:i/>
          <w:lang w:val="en-GB"/>
        </w:rPr>
        <w:t>per</w:t>
      </w:r>
      <w:r w:rsidRPr="0028108F">
        <w:rPr>
          <w:rFonts w:ascii="Arial" w:hAnsi="Arial" w:cs="Arial"/>
          <w:lang w:val="en-GB"/>
        </w:rPr>
        <w:t xml:space="preserve"> Ormrod J) that procreative intercourse was an essential constituent of a marriage at common law.</w:t>
      </w:r>
    </w:p>
  </w:footnote>
  <w:footnote w:id="59">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Article 37 of the Basic Law provides that: </w:t>
      </w:r>
      <w:r w:rsidRPr="0028108F">
        <w:rPr>
          <w:rFonts w:ascii="Arial" w:hAnsi="Arial" w:cs="Arial"/>
          <w:i/>
          <w:lang w:val="en-GB"/>
        </w:rPr>
        <w:t>“The freedom of marriage of Hong Kong residents and their right to raise a family freely shall be protected by law.”</w:t>
      </w:r>
    </w:p>
  </w:footnote>
  <w:footnote w:id="60">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Article 19(2) of the HKBOR provides that: </w:t>
      </w:r>
      <w:r w:rsidRPr="0028108F">
        <w:rPr>
          <w:rFonts w:ascii="Arial" w:hAnsi="Arial" w:cs="Arial"/>
          <w:i/>
          <w:lang w:val="en-GB"/>
        </w:rPr>
        <w:t>“The right of men and women of marriageable age to marry and to found a family shall be recognized.”</w:t>
      </w:r>
    </w:p>
  </w:footnote>
  <w:footnote w:id="61">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 marriage that is void in law is taken as not having taken place </w:t>
      </w:r>
      <w:r w:rsidRPr="00C57CE1">
        <w:rPr>
          <w:rFonts w:ascii="Arial" w:hAnsi="Arial" w:cs="Arial"/>
          <w:lang w:val="en-GB"/>
        </w:rPr>
        <w:t>and no status of matrimony as ever having been conferred: see Security Panel Paper, at footnote 3.</w:t>
      </w:r>
    </w:p>
  </w:footnote>
  <w:footnote w:id="62">
    <w:p w:rsidR="0022178B" w:rsidRPr="0028108F" w:rsidRDefault="0022178B" w:rsidP="00B02269">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Style w:val="FootnoteReference"/>
          <w:rFonts w:ascii="Arial" w:hAnsi="Arial" w:cs="Arial"/>
          <w:vertAlign w:val="baseline"/>
          <w:lang w:val="en-GB"/>
        </w:rPr>
        <w:tab/>
      </w:r>
      <w:r w:rsidRPr="00C57CE1">
        <w:rPr>
          <w:rFonts w:ascii="Arial" w:hAnsi="Arial" w:cs="Arial"/>
          <w:lang w:val="en-GB"/>
        </w:rPr>
        <w:t xml:space="preserve">In his affirmation made on 28 January 2010 </w:t>
      </w:r>
      <w:r w:rsidRPr="0028108F">
        <w:rPr>
          <w:rFonts w:ascii="Arial" w:hAnsi="Arial" w:cs="Arial"/>
          <w:lang w:val="en-GB"/>
        </w:rPr>
        <w:t xml:space="preserve">in relation to the </w:t>
      </w:r>
      <w:r w:rsidRPr="0028108F">
        <w:rPr>
          <w:rFonts w:ascii="Arial" w:hAnsi="Arial" w:cs="Arial"/>
          <w:i/>
          <w:lang w:val="en-GB"/>
        </w:rPr>
        <w:t xml:space="preserve">W </w:t>
      </w:r>
      <w:r w:rsidRPr="0028108F">
        <w:rPr>
          <w:rFonts w:ascii="Arial" w:hAnsi="Arial" w:cs="Arial"/>
          <w:lang w:val="en-GB"/>
        </w:rPr>
        <w:t xml:space="preserve">case, the Consultant Surgeon and the Chief of Surgical Service of the Ruttonjee Hospital of the HA affirmed that insofar as the practice in Hong Kong is concerned, a person should have removed the original genital organs </w:t>
      </w:r>
      <w:r w:rsidRPr="00181CF2">
        <w:rPr>
          <w:rFonts w:ascii="Arial" w:hAnsi="Arial" w:cs="Arial"/>
          <w:lang w:val="en-GB"/>
        </w:rPr>
        <w:t xml:space="preserve">and </w:t>
      </w:r>
      <w:r w:rsidRPr="0028108F">
        <w:rPr>
          <w:rFonts w:ascii="Arial" w:hAnsi="Arial" w:cs="Arial"/>
          <w:lang w:val="en-GB"/>
        </w:rPr>
        <w:t xml:space="preserve">constructed some form of genital organs of the opposite sex </w:t>
      </w:r>
      <w:r w:rsidRPr="00181CF2">
        <w:rPr>
          <w:rFonts w:ascii="Arial" w:hAnsi="Arial" w:cs="Arial"/>
          <w:lang w:val="en-GB"/>
        </w:rPr>
        <w:t>in order to be provided with the certificate that he/s</w:t>
      </w:r>
      <w:r w:rsidRPr="00C57CE1">
        <w:rPr>
          <w:rFonts w:ascii="Arial" w:hAnsi="Arial" w:cs="Arial"/>
          <w:lang w:val="en-GB"/>
        </w:rPr>
        <w:t>he has undergone SRS.</w:t>
      </w:r>
      <w:r w:rsidRPr="0028108F">
        <w:rPr>
          <w:rFonts w:ascii="Arial" w:hAnsi="Arial" w:cs="Arial"/>
          <w:lang w:val="en-GB"/>
        </w:rPr>
        <w:t xml:space="preserve">  These procedures as essential steps of the SRS are generally accepted among the medical profession.</w:t>
      </w:r>
    </w:p>
  </w:footnote>
  <w:footnote w:id="63">
    <w:p w:rsidR="0022178B" w:rsidRPr="0028108F" w:rsidRDefault="0022178B" w:rsidP="004633AF">
      <w:pPr>
        <w:pStyle w:val="FootnoteText"/>
        <w:tabs>
          <w:tab w:val="left" w:pos="851"/>
        </w:tabs>
        <w:ind w:left="709" w:hanging="709"/>
        <w:jc w:val="both"/>
        <w:rPr>
          <w:rStyle w:val="FootnoteReference"/>
          <w:rFonts w:ascii="Arial" w:eastAsiaTheme="minorEastAsia" w:hAnsi="Arial" w:cs="Arial"/>
          <w:vertAlign w:val="baseline"/>
          <w:lang w:val="en-GB" w:eastAsia="zh-TW"/>
        </w:rPr>
      </w:pPr>
      <w:r w:rsidRPr="00181CF2">
        <w:rPr>
          <w:rStyle w:val="FootnoteReference"/>
          <w:rFonts w:ascii="Arial" w:hAnsi="Arial" w:cs="Arial"/>
          <w:vertAlign w:val="baseline"/>
          <w:lang w:val="en-GB"/>
        </w:rPr>
        <w:footnoteRef/>
      </w:r>
      <w:r w:rsidRPr="00181CF2">
        <w:rPr>
          <w:rStyle w:val="FootnoteReference"/>
          <w:rFonts w:ascii="Arial" w:hAnsi="Arial" w:cs="Arial"/>
          <w:vertAlign w:val="baseline"/>
          <w:lang w:val="en-GB"/>
        </w:rPr>
        <w:t xml:space="preserve"> </w:t>
      </w:r>
      <w:r w:rsidRPr="00181CF2">
        <w:rPr>
          <w:rStyle w:val="FootnoteReference"/>
          <w:rFonts w:ascii="Arial" w:hAnsi="Arial" w:cs="Arial"/>
          <w:vertAlign w:val="baseline"/>
          <w:lang w:val="en-GB"/>
        </w:rPr>
        <w:tab/>
      </w:r>
      <w:r w:rsidRPr="00C57CE1">
        <w:rPr>
          <w:rFonts w:ascii="Arial" w:hAnsi="Arial" w:cs="Arial"/>
          <w:i/>
          <w:lang w:val="en-GB"/>
        </w:rPr>
        <w:t>W v Registrar of M</w:t>
      </w:r>
      <w:r w:rsidRPr="0028108F">
        <w:rPr>
          <w:rFonts w:ascii="Arial" w:hAnsi="Arial" w:cs="Arial"/>
          <w:i/>
          <w:lang w:val="en-GB"/>
        </w:rPr>
        <w:t>arriages</w:t>
      </w:r>
      <w:r w:rsidRPr="0028108F">
        <w:rPr>
          <w:rFonts w:ascii="Arial" w:hAnsi="Arial" w:cs="Arial"/>
          <w:lang w:val="en-GB"/>
        </w:rPr>
        <w:t xml:space="preserve"> </w:t>
      </w:r>
      <w:r w:rsidRPr="00E82CFA">
        <w:rPr>
          <w:rFonts w:ascii="Arial" w:hAnsi="Arial" w:cs="Arial"/>
          <w:lang w:val="en-GB"/>
        </w:rPr>
        <w:t>(FACV 4/2012)</w:t>
      </w:r>
      <w:r w:rsidRPr="00181CF2">
        <w:rPr>
          <w:rFonts w:ascii="Arial" w:hAnsi="Arial" w:cs="Arial"/>
          <w:lang w:val="en-GB"/>
        </w:rPr>
        <w:t xml:space="preserve">, Orders and Costs, 16 July 2013, at </w:t>
      </w:r>
      <w:r w:rsidRPr="0028108F">
        <w:rPr>
          <w:rFonts w:ascii="Arial" w:hAnsi="Arial" w:cs="Arial"/>
          <w:lang w:val="en-GB"/>
        </w:rPr>
        <w:t>paragraph 2(c).</w:t>
      </w:r>
    </w:p>
  </w:footnote>
  <w:footnote w:id="64">
    <w:p w:rsidR="0022178B" w:rsidRPr="00C57CE1" w:rsidRDefault="0022178B" w:rsidP="00604960">
      <w:pPr>
        <w:pStyle w:val="FootnoteText"/>
        <w:tabs>
          <w:tab w:val="left" w:pos="851"/>
        </w:tabs>
        <w:ind w:left="700" w:hangingChars="350" w:hanging="700"/>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WHO,</w:t>
      </w:r>
      <w:r w:rsidRPr="0028108F">
        <w:rPr>
          <w:rFonts w:ascii="Arial" w:hAnsi="Arial" w:cs="Arial"/>
          <w:i/>
          <w:lang w:val="en-GB"/>
        </w:rPr>
        <w:t xml:space="preserve"> ICD-10 Classification of Mental and Behavioural Disorders: Clinical descriptions and diagnostic guidelines</w:t>
      </w:r>
      <w:r w:rsidRPr="00181CF2">
        <w:rPr>
          <w:rFonts w:ascii="Arial" w:hAnsi="Arial" w:cs="Arial"/>
          <w:lang w:val="en-GB"/>
        </w:rPr>
        <w:t xml:space="preserve">, at </w:t>
      </w:r>
      <w:r w:rsidRPr="0028108F">
        <w:rPr>
          <w:rFonts w:ascii="Arial" w:hAnsi="Arial" w:cs="Arial"/>
          <w:lang w:val="en-GB"/>
        </w:rPr>
        <w:t xml:space="preserve">168. </w:t>
      </w:r>
    </w:p>
  </w:footnote>
  <w:footnote w:id="65">
    <w:p w:rsidR="0022178B" w:rsidRPr="0028108F" w:rsidRDefault="0022178B" w:rsidP="00604960">
      <w:pPr>
        <w:pStyle w:val="FootnoteText"/>
        <w:tabs>
          <w:tab w:val="left" w:pos="851"/>
        </w:tabs>
        <w:ind w:left="700" w:hangingChars="350" w:hanging="700"/>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American Psychiatric Association, </w:t>
      </w:r>
      <w:r w:rsidRPr="00C57CE1">
        <w:rPr>
          <w:rFonts w:ascii="Arial" w:hAnsi="Arial" w:cs="Arial"/>
          <w:i/>
          <w:lang w:val="en-GB"/>
        </w:rPr>
        <w:t>Diagnostic and Statistical Manual of Mental Disorders, Fifth Edition (DSM-5)</w:t>
      </w:r>
      <w:r w:rsidRPr="0028108F">
        <w:rPr>
          <w:rFonts w:ascii="Arial" w:hAnsi="Arial" w:cs="Arial"/>
          <w:lang w:val="en-GB"/>
        </w:rPr>
        <w:t>, Arlington, VA: American Psychiatric Association; 2013, at 453.</w:t>
      </w:r>
    </w:p>
  </w:footnote>
  <w:footnote w:id="66">
    <w:p w:rsidR="0022178B" w:rsidRPr="0028108F" w:rsidRDefault="0022178B" w:rsidP="00604960">
      <w:pPr>
        <w:pStyle w:val="FootnoteText"/>
        <w:tabs>
          <w:tab w:val="left" w:pos="851"/>
        </w:tabs>
        <w:ind w:left="700" w:hangingChars="350" w:hanging="700"/>
        <w:jc w:val="both"/>
        <w:rPr>
          <w:rFonts w:ascii="Arial" w:hAnsi="Arial" w:cs="Arial"/>
          <w:lang w:val="en-GB" w:eastAsia="zh-TW"/>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rPr>
        <w:t>Same as above.</w:t>
      </w:r>
    </w:p>
  </w:footnote>
  <w:footnote w:id="67">
    <w:p w:rsidR="0022178B" w:rsidRPr="0028108F" w:rsidRDefault="0022178B" w:rsidP="00604960">
      <w:pPr>
        <w:pStyle w:val="FootnoteText"/>
        <w:tabs>
          <w:tab w:val="left" w:pos="851"/>
        </w:tabs>
        <w:ind w:left="700" w:hangingChars="350" w:hanging="700"/>
        <w:jc w:val="both"/>
        <w:rPr>
          <w:rFonts w:ascii="Arial" w:hAnsi="Arial" w:cs="Arial"/>
          <w:lang w:val="en-GB" w:eastAsia="zh-TW"/>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rPr>
        <w:t>Same as above.</w:t>
      </w:r>
    </w:p>
  </w:footnote>
  <w:footnote w:id="68">
    <w:p w:rsidR="0022178B" w:rsidRPr="0028108F" w:rsidRDefault="0022178B" w:rsidP="00604960">
      <w:pPr>
        <w:pStyle w:val="FootnoteText"/>
        <w:tabs>
          <w:tab w:val="left" w:pos="851"/>
        </w:tabs>
        <w:ind w:left="700" w:hangingChars="350" w:hanging="700"/>
        <w:jc w:val="both"/>
        <w:rPr>
          <w:rFonts w:ascii="Arial" w:hAnsi="Arial" w:cs="Arial"/>
          <w:lang w:val="en-GB"/>
        </w:rPr>
      </w:pPr>
      <w:r w:rsidRPr="00181CF2">
        <w:rPr>
          <w:rFonts w:ascii="Arial" w:hAnsi="Arial" w:cs="Arial"/>
          <w:lang w:val="en-GB"/>
        </w:rPr>
        <w:footnoteRef/>
      </w:r>
      <w:r w:rsidRPr="00181CF2">
        <w:rPr>
          <w:rFonts w:ascii="Arial" w:hAnsi="Arial" w:cs="Arial"/>
          <w:lang w:val="en-GB"/>
        </w:rPr>
        <w:tab/>
      </w:r>
      <w:r w:rsidRPr="0028108F">
        <w:rPr>
          <w:rFonts w:ascii="Arial" w:hAnsi="Arial" w:cs="Arial"/>
          <w:lang w:val="en-GB"/>
        </w:rPr>
        <w:t xml:space="preserve">Same as above, at 452. </w:t>
      </w:r>
    </w:p>
  </w:footnote>
  <w:footnote w:id="69">
    <w:p w:rsidR="0022178B" w:rsidRPr="0028108F" w:rsidRDefault="0022178B" w:rsidP="00604960">
      <w:pPr>
        <w:pStyle w:val="FootnoteText"/>
        <w:tabs>
          <w:tab w:val="left" w:pos="851"/>
        </w:tabs>
        <w:ind w:left="700" w:hangingChars="350" w:hanging="700"/>
        <w:jc w:val="both"/>
        <w:rPr>
          <w:rFonts w:ascii="Arial" w:hAnsi="Arial" w:cs="Arial"/>
          <w:lang w:val="en-GB" w:eastAsia="zh-TW"/>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lang w:val="en-GB"/>
        </w:rPr>
        <w:t xml:space="preserve">Same as above, </w:t>
      </w:r>
      <w:r w:rsidRPr="0028108F">
        <w:rPr>
          <w:rFonts w:ascii="Arial" w:hAnsi="Arial" w:cs="Arial"/>
          <w:lang w:val="en-GB"/>
        </w:rPr>
        <w:t>at 452 and 453</w:t>
      </w:r>
      <w:r w:rsidRPr="0028108F">
        <w:rPr>
          <w:rFonts w:ascii="Arial" w:hAnsi="Arial" w:cs="Arial"/>
          <w:lang w:val="en-GB" w:eastAsia="zh-TW"/>
        </w:rPr>
        <w:t>.</w:t>
      </w:r>
    </w:p>
  </w:footnote>
  <w:footnote w:id="70">
    <w:p w:rsidR="0022178B" w:rsidRPr="0028108F" w:rsidRDefault="0022178B" w:rsidP="00F47842">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8813DE">
        <w:rPr>
          <w:rFonts w:ascii="Arial" w:hAnsi="Arial" w:cs="Arial"/>
          <w:lang w:val="en-GB"/>
        </w:rPr>
        <w:t>FACV</w:t>
      </w:r>
      <w:r w:rsidRPr="00181CF2">
        <w:rPr>
          <w:rFonts w:ascii="Arial" w:hAnsi="Arial" w:cs="Arial"/>
          <w:lang w:val="en-GB"/>
        </w:rPr>
        <w:t xml:space="preserve"> 4/2012 (13 May 2013), at </w:t>
      </w:r>
      <w:r w:rsidRPr="0028108F">
        <w:rPr>
          <w:rFonts w:ascii="Arial" w:hAnsi="Arial" w:cs="Arial"/>
          <w:lang w:val="en-GB"/>
        </w:rPr>
        <w:t xml:space="preserve">paragraph 11. </w:t>
      </w:r>
    </w:p>
  </w:footnote>
  <w:footnote w:id="71">
    <w:p w:rsidR="0022178B" w:rsidRPr="0028108F" w:rsidRDefault="0022178B" w:rsidP="00C652F7">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8813DE">
        <w:rPr>
          <w:rFonts w:ascii="Arial" w:hAnsi="Arial" w:cs="Arial"/>
          <w:lang w:val="en-GB"/>
        </w:rPr>
        <w:t>FACV</w:t>
      </w:r>
      <w:r w:rsidRPr="00181CF2">
        <w:rPr>
          <w:rFonts w:ascii="Arial" w:hAnsi="Arial" w:cs="Arial"/>
          <w:lang w:val="en-GB"/>
        </w:rPr>
        <w:t xml:space="preserve"> 4/2012 (13 May 2013), at </w:t>
      </w:r>
      <w:r w:rsidRPr="0028108F">
        <w:rPr>
          <w:rFonts w:ascii="Arial" w:hAnsi="Arial" w:cs="Arial"/>
          <w:lang w:val="en-GB"/>
        </w:rPr>
        <w:t xml:space="preserve">paragraph 15. </w:t>
      </w:r>
    </w:p>
  </w:footnote>
  <w:footnote w:id="72">
    <w:p w:rsidR="0022178B" w:rsidRPr="00181CF2" w:rsidRDefault="0022178B" w:rsidP="00C652F7">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Annex 1 to the government’s Press Release dated 9 December 2015, </w:t>
      </w:r>
      <w:r w:rsidRPr="00C57CE1">
        <w:rPr>
          <w:rFonts w:ascii="Arial" w:hAnsi="Arial" w:cs="Arial"/>
          <w:lang w:val="en-GB"/>
        </w:rPr>
        <w:t>“</w:t>
      </w:r>
      <w:r w:rsidRPr="0028108F">
        <w:rPr>
          <w:rFonts w:ascii="Arial" w:hAnsi="Arial" w:cs="Arial"/>
          <w:lang w:val="en-GB"/>
        </w:rPr>
        <w:t>LCQ7</w:t>
      </w:r>
      <w:r w:rsidRPr="00181CF2">
        <w:rPr>
          <w:rFonts w:ascii="Arial" w:hAnsi="Arial" w:cs="Arial"/>
          <w:lang w:val="en-GB"/>
        </w:rPr>
        <w:t xml:space="preserve">: </w:t>
      </w:r>
      <w:r w:rsidRPr="0028108F">
        <w:rPr>
          <w:rFonts w:ascii="Arial" w:hAnsi="Arial" w:cs="Arial"/>
          <w:lang w:val="en-GB"/>
        </w:rPr>
        <w:t>Gender identity disorder-related services provided by public hospitals</w:t>
      </w:r>
      <w:r w:rsidRPr="00181CF2">
        <w:rPr>
          <w:rFonts w:ascii="Arial" w:hAnsi="Arial" w:cs="Arial"/>
          <w:lang w:val="en-GB"/>
        </w:rPr>
        <w:t>”</w:t>
      </w:r>
      <w:r w:rsidRPr="00C57CE1">
        <w:rPr>
          <w:rFonts w:ascii="Arial" w:hAnsi="Arial" w:cs="Arial"/>
          <w:lang w:val="en-GB"/>
        </w:rPr>
        <w:t xml:space="preserve">, available at: </w:t>
      </w:r>
      <w:hyperlink r:id="rId8" w:history="1">
        <w:r w:rsidRPr="005A10CA">
          <w:rPr>
            <w:rStyle w:val="Hyperlink"/>
            <w:rFonts w:ascii="Arial" w:hAnsi="Arial" w:cs="Arial"/>
            <w:lang w:val="en-GB"/>
          </w:rPr>
          <w:t>http://www.info.gov.hk/gia/general/201512/09/P201512090358.htm</w:t>
        </w:r>
      </w:hyperlink>
      <w:r w:rsidRPr="00181CF2">
        <w:rPr>
          <w:rFonts w:ascii="Arial" w:hAnsi="Arial" w:cs="Arial"/>
          <w:lang w:val="en-GB"/>
        </w:rPr>
        <w:t>.</w:t>
      </w:r>
    </w:p>
  </w:footnote>
  <w:footnote w:id="73">
    <w:p w:rsidR="0022178B" w:rsidRPr="00181CF2" w:rsidRDefault="0022178B" w:rsidP="00C652F7">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See the Annex 2 to the</w:t>
      </w:r>
      <w:r w:rsidRPr="00C57CE1">
        <w:rPr>
          <w:rFonts w:ascii="Arial" w:hAnsi="Arial" w:cs="Arial"/>
          <w:lang w:val="en-GB"/>
        </w:rPr>
        <w:t xml:space="preserve"> government’s Press Release dated 9 December 2015, </w:t>
      </w:r>
      <w:r w:rsidRPr="0028108F">
        <w:rPr>
          <w:rFonts w:ascii="Arial" w:hAnsi="Arial" w:cs="Arial"/>
          <w:lang w:val="en-GB"/>
        </w:rPr>
        <w:t>“LCQ7: Gender identity disorder-related services provided by public hospitals</w:t>
      </w:r>
      <w:r w:rsidRPr="00181CF2">
        <w:rPr>
          <w:rFonts w:ascii="Arial" w:hAnsi="Arial" w:cs="Arial"/>
          <w:lang w:val="en-GB"/>
        </w:rPr>
        <w:t>”</w:t>
      </w:r>
      <w:r w:rsidRPr="00C57CE1">
        <w:rPr>
          <w:rFonts w:ascii="Arial" w:hAnsi="Arial" w:cs="Arial"/>
          <w:lang w:val="en-GB"/>
        </w:rPr>
        <w:t>, available at</w:t>
      </w:r>
      <w:r w:rsidRPr="0028108F">
        <w:rPr>
          <w:rFonts w:ascii="Arial" w:hAnsi="Arial" w:cs="Arial"/>
          <w:lang w:val="en-GB"/>
        </w:rPr>
        <w:t xml:space="preserve">: </w:t>
      </w:r>
      <w:hyperlink r:id="rId9" w:history="1">
        <w:r w:rsidRPr="005A10CA">
          <w:rPr>
            <w:rStyle w:val="Hyperlink"/>
            <w:rFonts w:ascii="Arial" w:hAnsi="Arial" w:cs="Arial"/>
            <w:lang w:val="en-GB"/>
          </w:rPr>
          <w:t>http://www.info.gov.hk/gia/general/201512/09/P201512090358.htm</w:t>
        </w:r>
      </w:hyperlink>
      <w:r w:rsidRPr="00181CF2">
        <w:rPr>
          <w:rFonts w:ascii="Arial" w:hAnsi="Arial" w:cs="Arial"/>
          <w:lang w:val="en-GB"/>
        </w:rPr>
        <w:t xml:space="preserve">. </w:t>
      </w:r>
    </w:p>
  </w:footnote>
  <w:footnote w:id="74">
    <w:p w:rsidR="0022178B" w:rsidRPr="00C57CE1" w:rsidRDefault="0022178B" w:rsidP="00C652F7">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New cases received at the psychiatric SOPCs will be triaged into priority 1 (urgent), priority 2 (semi-urgent) and routine (stable) cases according to their severity and urgency to ensure that more urgent and severe cas</w:t>
      </w:r>
      <w:r w:rsidRPr="00C57CE1">
        <w:rPr>
          <w:rFonts w:ascii="Arial" w:hAnsi="Arial" w:cs="Arial"/>
          <w:lang w:val="en-GB"/>
        </w:rPr>
        <w:t>es are followed up promptly.  The HA seeks to keep the median waiting time for first appointment at the psychiatric SOPCs for priority 1 and pri</w:t>
      </w:r>
      <w:r w:rsidRPr="0028108F">
        <w:rPr>
          <w:rFonts w:ascii="Arial" w:hAnsi="Arial" w:cs="Arial"/>
          <w:lang w:val="en-GB"/>
        </w:rPr>
        <w:t>ority 2 cases within two and eight weeks respectively. This performance pledge has been fulfilled.  The waiting time for new cases in non-urgent and stable condition is relatively longer, as more patients are under this category.  In 2014/15, the median waiting time for first appointment at the psychiatric SOPCs for cases in stable condition was 22 weeks. If a patient's mental condition changes before the appointment, he or she may request the psychiatric SOPC concerned for re-assessment to determine whether his/her original appointment should be advanced. Patients whose condition drastically deteriorates or who require urgent medical attention may consider seeking medical treatment from the accident and emergency department, and the HA will provide suitable services for them according to their needs.  See the Government’s Press Release dated 9 December 2015, “LCQ7: Gender identity disorder-related services provided by public hospitals</w:t>
      </w:r>
      <w:r w:rsidRPr="00181CF2">
        <w:rPr>
          <w:rFonts w:ascii="Arial" w:hAnsi="Arial" w:cs="Arial"/>
          <w:lang w:val="en-GB"/>
        </w:rPr>
        <w:t>”</w:t>
      </w:r>
      <w:r w:rsidRPr="00C57CE1">
        <w:rPr>
          <w:rFonts w:ascii="Arial" w:hAnsi="Arial" w:cs="Arial"/>
          <w:lang w:val="en-GB"/>
        </w:rPr>
        <w:t xml:space="preserve">, available at: </w:t>
      </w:r>
    </w:p>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0" w:history="1">
        <w:r w:rsidRPr="005A10CA">
          <w:rPr>
            <w:rStyle w:val="Hyperlink"/>
            <w:rFonts w:ascii="Arial" w:hAnsi="Arial" w:cs="Arial"/>
            <w:lang w:val="en-GB"/>
          </w:rPr>
          <w:t>http://www.info.gov.hk/gia/general/201512/09/P201512090358.htm</w:t>
        </w:r>
      </w:hyperlink>
      <w:r w:rsidRPr="00181CF2">
        <w:rPr>
          <w:rFonts w:ascii="Arial" w:hAnsi="Arial" w:cs="Arial"/>
          <w:lang w:val="en-GB"/>
        </w:rPr>
        <w:t>.</w:t>
      </w:r>
    </w:p>
  </w:footnote>
  <w:footnote w:id="75">
    <w:p w:rsidR="0022178B" w:rsidRPr="00181CF2" w:rsidRDefault="0022178B" w:rsidP="0028108F">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The most updated ve</w:t>
      </w:r>
      <w:r w:rsidRPr="00C57CE1">
        <w:rPr>
          <w:rFonts w:ascii="Arial" w:hAnsi="Arial" w:cs="Arial"/>
          <w:lang w:val="en-GB"/>
        </w:rPr>
        <w:t>rsion is the 7th version published in 2011 (since the original 1979 document) in the International Journal of Transgenderism, 13(4), 165–232</w:t>
      </w:r>
      <w:r w:rsidRPr="00181CF2">
        <w:rPr>
          <w:rFonts w:ascii="Arial" w:hAnsi="Arial" w:cs="Arial"/>
          <w:lang w:val="en-GB"/>
        </w:rPr>
        <w:t xml:space="preserve">. </w:t>
      </w:r>
    </w:p>
  </w:footnote>
  <w:footnote w:id="76">
    <w:p w:rsidR="0022178B" w:rsidRPr="00181CF2"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Published in October 2013 in the </w:t>
      </w:r>
      <w:r w:rsidRPr="0028108F">
        <w:rPr>
          <w:rFonts w:ascii="Arial" w:hAnsi="Arial" w:cs="Arial"/>
          <w:i/>
          <w:lang w:val="en-GB"/>
        </w:rPr>
        <w:t>College Report C</w:t>
      </w:r>
      <w:r w:rsidRPr="00F11758">
        <w:rPr>
          <w:rFonts w:ascii="Arial" w:hAnsi="Arial" w:cs="Arial"/>
          <w:i/>
          <w:lang w:val="en-GB"/>
        </w:rPr>
        <w:t>R181</w:t>
      </w:r>
      <w:r w:rsidRPr="00181CF2">
        <w:rPr>
          <w:rFonts w:ascii="Arial" w:hAnsi="Arial" w:cs="Arial"/>
          <w:lang w:val="en-GB"/>
        </w:rPr>
        <w:t xml:space="preserve">. </w:t>
      </w:r>
    </w:p>
  </w:footnote>
  <w:footnote w:id="77">
    <w:p w:rsidR="0022178B" w:rsidRPr="00181CF2"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Published in 2012. </w:t>
      </w:r>
    </w:p>
  </w:footnote>
  <w:footnote w:id="78">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Published in </w:t>
      </w:r>
      <w:r w:rsidRPr="0028108F">
        <w:rPr>
          <w:rFonts w:ascii="Arial" w:hAnsi="Arial" w:cs="Arial"/>
          <w:i/>
          <w:lang w:val="en-GB"/>
        </w:rPr>
        <w:t>J Clin Endocrinal Metab</w:t>
      </w:r>
      <w:r w:rsidRPr="00181CF2">
        <w:rPr>
          <w:rFonts w:ascii="Arial" w:hAnsi="Arial" w:cs="Arial"/>
          <w:lang w:val="en-GB"/>
        </w:rPr>
        <w:t>, September 2009, 94(9):</w:t>
      </w:r>
      <w:r w:rsidRPr="00C57CE1">
        <w:rPr>
          <w:rFonts w:ascii="Arial" w:hAnsi="Arial" w:cs="Arial"/>
          <w:lang w:val="en-GB"/>
        </w:rPr>
        <w:t xml:space="preserve"> </w:t>
      </w:r>
      <w:r w:rsidRPr="0028108F">
        <w:rPr>
          <w:rFonts w:ascii="Arial" w:hAnsi="Arial" w:cs="Arial"/>
          <w:lang w:val="en-GB"/>
        </w:rPr>
        <w:t>3132-3154.</w:t>
      </w:r>
    </w:p>
  </w:footnote>
  <w:footnote w:id="79">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Psychother</w:t>
      </w:r>
      <w:r w:rsidRPr="00C57CE1">
        <w:rPr>
          <w:rFonts w:ascii="Arial" w:hAnsi="Arial" w:cs="Arial"/>
          <w:lang w:val="en-GB"/>
        </w:rPr>
        <w:t>apy aims to help the patients explore gender concerns, look for ways to alleviate gender discomfort, improve body image and enhance social and p</w:t>
      </w:r>
      <w:r w:rsidRPr="0028108F">
        <w:rPr>
          <w:rFonts w:ascii="Arial" w:hAnsi="Arial" w:cs="Arial"/>
          <w:lang w:val="en-GB"/>
        </w:rPr>
        <w:t xml:space="preserve">eer support. The goal is to help the persons achieve long-term comfort in their gender identity expression, promote resilience, improve the quality of life, and attain self-fulfilment.  More information about when psychotherapy sessions are to be recommended and the goals of psychotherapy for adults with gender concerns can be found in the WPATH’s </w:t>
      </w:r>
      <w:r w:rsidRPr="0028108F">
        <w:rPr>
          <w:rFonts w:ascii="Arial" w:hAnsi="Arial" w:cs="Arial"/>
          <w:i/>
          <w:lang w:val="en-GB"/>
        </w:rPr>
        <w:t xml:space="preserve">Standards of Care </w:t>
      </w:r>
      <w:r w:rsidRPr="00181CF2">
        <w:rPr>
          <w:rFonts w:ascii="Arial" w:hAnsi="Arial" w:cs="Arial"/>
          <w:lang w:val="en-GB"/>
        </w:rPr>
        <w:t xml:space="preserve">(7th version), at </w:t>
      </w:r>
      <w:r>
        <w:rPr>
          <w:rFonts w:ascii="Arial" w:hAnsi="Arial" w:cs="Arial"/>
          <w:lang w:val="en-GB"/>
        </w:rPr>
        <w:t>28</w:t>
      </w:r>
      <w:r w:rsidRPr="0028108F">
        <w:rPr>
          <w:rFonts w:ascii="Arial" w:hAnsi="Arial" w:cs="Arial"/>
          <w:lang w:val="en-GB"/>
        </w:rPr>
        <w:t xml:space="preserve"> to </w:t>
      </w:r>
      <w:r>
        <w:rPr>
          <w:rFonts w:ascii="Arial" w:hAnsi="Arial" w:cs="Arial"/>
          <w:lang w:val="en-GB"/>
        </w:rPr>
        <w:t>31</w:t>
      </w:r>
      <w:r w:rsidRPr="0028108F">
        <w:rPr>
          <w:rFonts w:ascii="Arial" w:hAnsi="Arial" w:cs="Arial"/>
          <w:lang w:val="en-GB"/>
        </w:rPr>
        <w:t>.</w:t>
      </w:r>
    </w:p>
  </w:footnote>
  <w:footnote w:id="80">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According to the </w:t>
      </w:r>
      <w:r w:rsidRPr="0028108F">
        <w:rPr>
          <w:rFonts w:ascii="Arial" w:hAnsi="Arial" w:cs="Arial"/>
          <w:lang w:val="en-GB"/>
        </w:rPr>
        <w:t xml:space="preserve">HA, the prescribing of hormonal treatment aims to let transgender persons go through a period of time when they will develop the physical characteristics of the desired gender. This involves a hormone regimen that will: </w:t>
      </w:r>
    </w:p>
    <w:p w:rsidR="0022178B" w:rsidRPr="0028108F" w:rsidRDefault="0022178B" w:rsidP="004633AF">
      <w:pPr>
        <w:pStyle w:val="FootnoteText"/>
        <w:tabs>
          <w:tab w:val="left" w:pos="851"/>
        </w:tabs>
        <w:ind w:left="709" w:hanging="709"/>
        <w:jc w:val="both"/>
        <w:rPr>
          <w:rFonts w:ascii="Arial" w:hAnsi="Arial" w:cs="Arial"/>
          <w:lang w:val="en-GB"/>
        </w:rPr>
      </w:pPr>
      <w:r>
        <w:rPr>
          <w:rFonts w:ascii="Arial" w:hAnsi="Arial" w:cs="Arial"/>
          <w:lang w:val="en-GB"/>
        </w:rPr>
        <w:tab/>
      </w:r>
      <w:r w:rsidRPr="0028108F">
        <w:rPr>
          <w:rFonts w:ascii="Arial" w:hAnsi="Arial" w:cs="Arial"/>
          <w:lang w:val="en-GB"/>
        </w:rPr>
        <w:t xml:space="preserve">(1) </w:t>
      </w:r>
      <w:r w:rsidRPr="0028108F">
        <w:rPr>
          <w:rFonts w:ascii="Arial" w:hAnsi="Arial" w:cs="Arial"/>
          <w:lang w:val="en-GB"/>
        </w:rPr>
        <w:tab/>
        <w:t>suppress their (original) biological hormone secretion;</w:t>
      </w:r>
    </w:p>
    <w:p w:rsidR="0022178B" w:rsidRPr="0028108F" w:rsidRDefault="0022178B" w:rsidP="00F11758">
      <w:pPr>
        <w:pStyle w:val="FootnoteText"/>
        <w:tabs>
          <w:tab w:val="left" w:pos="851"/>
        </w:tabs>
        <w:ind w:left="709" w:hanging="709"/>
        <w:jc w:val="both"/>
        <w:rPr>
          <w:rFonts w:ascii="Arial" w:hAnsi="Arial" w:cs="Arial"/>
          <w:lang w:val="en-GB"/>
        </w:rPr>
      </w:pPr>
      <w:r>
        <w:rPr>
          <w:rFonts w:ascii="Arial" w:hAnsi="Arial" w:cs="Arial" w:hint="eastAsia"/>
          <w:lang w:val="en-GB" w:eastAsia="zh-TW"/>
        </w:rPr>
        <w:tab/>
      </w:r>
      <w:r w:rsidRPr="0028108F">
        <w:rPr>
          <w:rFonts w:ascii="Arial" w:hAnsi="Arial" w:cs="Arial"/>
          <w:lang w:val="en-GB"/>
        </w:rPr>
        <w:t xml:space="preserve">(2) </w:t>
      </w:r>
      <w:r w:rsidRPr="0028108F">
        <w:rPr>
          <w:rFonts w:ascii="Arial" w:hAnsi="Arial" w:cs="Arial"/>
          <w:lang w:val="en-GB"/>
        </w:rPr>
        <w:tab/>
        <w:t>maintain sex hormone levels within the normal range for the person</w:t>
      </w:r>
      <w:r>
        <w:rPr>
          <w:rFonts w:ascii="Arial" w:hAnsi="Arial" w:cs="Arial"/>
          <w:lang w:val="en-GB"/>
        </w:rPr>
        <w:t>’</w:t>
      </w:r>
      <w:r w:rsidRPr="0028108F">
        <w:rPr>
          <w:rFonts w:ascii="Arial" w:hAnsi="Arial" w:cs="Arial"/>
          <w:lang w:val="en-GB"/>
        </w:rPr>
        <w:t>s desired gender to induce the secondary sex characteristics of the new sex.</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t xml:space="preserve">During the period of hormone intake, patients undergo the transition period under medical supervision.  Endocrinologists will make sure the dosage of hormone can achieve the above two purposes, remain safe and have minimal side effects.  It is important to communicate to patients that supraphysiologic doses of sex steroids are potentially harmful.  Detailed history, physical examination and monitoring of the effects as well as potential complications would be needed.  From time to time, titration of doses or change to different preparations would be needed.  </w:t>
      </w:r>
    </w:p>
  </w:footnote>
  <w:footnote w:id="81">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Athena Liu, </w:t>
      </w:r>
      <w:r w:rsidRPr="00C57CE1">
        <w:rPr>
          <w:rFonts w:ascii="Arial" w:hAnsi="Arial" w:cs="Arial"/>
          <w:lang w:val="en-GB"/>
        </w:rPr>
        <w:t>“</w:t>
      </w:r>
      <w:r w:rsidRPr="0028108F">
        <w:rPr>
          <w:rFonts w:ascii="Arial" w:hAnsi="Arial" w:cs="Arial"/>
          <w:lang w:val="en-GB"/>
        </w:rPr>
        <w:t>Gender recognition: Two legal implications for marriage</w:t>
      </w:r>
      <w:r w:rsidRPr="00181CF2">
        <w:rPr>
          <w:rFonts w:ascii="Arial" w:hAnsi="Arial" w:cs="Arial"/>
          <w:lang w:val="en-GB"/>
        </w:rPr>
        <w:t>”</w:t>
      </w:r>
      <w:r w:rsidRPr="00C57CE1">
        <w:rPr>
          <w:rFonts w:ascii="Arial" w:hAnsi="Arial" w:cs="Arial"/>
          <w:lang w:val="en-GB"/>
        </w:rPr>
        <w:t xml:space="preserve"> (2013</w:t>
      </w:r>
      <w:r w:rsidRPr="0028108F">
        <w:rPr>
          <w:rFonts w:ascii="Arial" w:hAnsi="Arial" w:cs="Arial"/>
          <w:lang w:val="en-GB"/>
        </w:rPr>
        <w:t>)</w:t>
      </w:r>
      <w:r>
        <w:rPr>
          <w:rFonts w:ascii="Arial" w:hAnsi="Arial" w:cs="Arial"/>
          <w:lang w:val="en-GB"/>
        </w:rPr>
        <w:t xml:space="preserve"> 43</w:t>
      </w:r>
      <w:r w:rsidRPr="0028108F">
        <w:rPr>
          <w:rFonts w:ascii="Arial" w:hAnsi="Arial" w:cs="Arial"/>
          <w:lang w:val="en-GB"/>
        </w:rPr>
        <w:t xml:space="preserve"> </w:t>
      </w:r>
      <w:r w:rsidRPr="00F86CD8">
        <w:rPr>
          <w:rFonts w:ascii="Arial" w:hAnsi="Arial" w:cs="Arial"/>
          <w:lang w:val="en-GB"/>
        </w:rPr>
        <w:t>HKLJ</w:t>
      </w:r>
      <w:r w:rsidRPr="0028108F">
        <w:rPr>
          <w:rFonts w:ascii="Arial" w:hAnsi="Arial" w:cs="Arial"/>
          <w:lang w:val="en-GB"/>
        </w:rPr>
        <w:t xml:space="preserve"> </w:t>
      </w:r>
      <w:r w:rsidRPr="00F11758">
        <w:rPr>
          <w:rFonts w:ascii="Arial" w:hAnsi="Arial" w:cs="Arial"/>
          <w:i/>
          <w:lang w:val="en-GB"/>
        </w:rPr>
        <w:t>497</w:t>
      </w:r>
      <w:r w:rsidRPr="0028108F">
        <w:rPr>
          <w:rFonts w:ascii="Arial" w:hAnsi="Arial" w:cs="Arial"/>
          <w:lang w:val="en-GB"/>
        </w:rPr>
        <w:t>, at 504.</w:t>
      </w:r>
      <w:r>
        <w:rPr>
          <w:rFonts w:ascii="Arial" w:hAnsi="Arial" w:cs="Arial"/>
          <w:lang w:val="en-GB"/>
        </w:rPr>
        <w:t xml:space="preserve">  See also </w:t>
      </w:r>
      <w:r w:rsidRPr="00181CF2">
        <w:rPr>
          <w:rFonts w:ascii="Arial" w:hAnsi="Arial" w:cs="Arial"/>
          <w:i/>
          <w:lang w:val="en-GB"/>
        </w:rPr>
        <w:t>W v Registrar of Marriages</w:t>
      </w:r>
      <w:r w:rsidRPr="00C57CE1">
        <w:rPr>
          <w:rFonts w:ascii="Arial" w:hAnsi="Arial" w:cs="Arial"/>
          <w:lang w:val="en-GB"/>
        </w:rPr>
        <w:t xml:space="preserve">, </w:t>
      </w:r>
      <w:r w:rsidRPr="000D0760">
        <w:rPr>
          <w:rFonts w:ascii="Arial" w:hAnsi="Arial" w:cs="Arial"/>
          <w:lang w:val="en-GB"/>
        </w:rPr>
        <w:t>HCAL</w:t>
      </w:r>
      <w:r w:rsidRPr="0028108F">
        <w:rPr>
          <w:rFonts w:ascii="Arial" w:hAnsi="Arial" w:cs="Arial"/>
          <w:lang w:val="en-GB"/>
        </w:rPr>
        <w:t xml:space="preserve"> 120/2009 (CFI), judgment of 5 October 20</w:t>
      </w:r>
      <w:r>
        <w:rPr>
          <w:rFonts w:ascii="Arial" w:hAnsi="Arial" w:cs="Arial"/>
          <w:lang w:val="en-GB"/>
        </w:rPr>
        <w:t>10</w:t>
      </w:r>
      <w:r w:rsidRPr="0028108F">
        <w:rPr>
          <w:rFonts w:ascii="Arial" w:hAnsi="Arial" w:cs="Arial"/>
          <w:lang w:val="en-GB"/>
        </w:rPr>
        <w:t xml:space="preserve">, at paragraph </w:t>
      </w:r>
      <w:r>
        <w:rPr>
          <w:rFonts w:ascii="Arial" w:hAnsi="Arial" w:cs="Arial"/>
          <w:lang w:val="en-GB"/>
        </w:rPr>
        <w:t>30</w:t>
      </w:r>
      <w:r w:rsidRPr="0028108F">
        <w:rPr>
          <w:rFonts w:ascii="Arial" w:hAnsi="Arial" w:cs="Arial"/>
          <w:lang w:val="en-GB"/>
        </w:rPr>
        <w:t>.</w:t>
      </w:r>
    </w:p>
  </w:footnote>
  <w:footnote w:id="82">
    <w:p w:rsidR="0022178B" w:rsidRPr="00C57CE1"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It was noted in </w:t>
      </w:r>
      <w:r w:rsidRPr="00C57CE1">
        <w:rPr>
          <w:rFonts w:ascii="Arial" w:hAnsi="Arial" w:cs="Arial"/>
          <w:i/>
          <w:lang w:val="en-GB"/>
        </w:rPr>
        <w:t>W</w:t>
      </w:r>
      <w:r w:rsidRPr="0028108F">
        <w:rPr>
          <w:rFonts w:ascii="Arial" w:hAnsi="Arial" w:cs="Arial"/>
          <w:lang w:val="en-GB"/>
        </w:rPr>
        <w:t>’s case that other surgical procedures may be also involved, for example, the shortening of vocal chords in the case of a male-to-female transsexual: see</w:t>
      </w:r>
      <w:r w:rsidRPr="0028108F">
        <w:rPr>
          <w:rFonts w:ascii="Arial" w:hAnsi="Arial" w:cs="Arial"/>
          <w:i/>
          <w:lang w:val="en-GB"/>
        </w:rPr>
        <w:t xml:space="preserve"> 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8813DE">
        <w:rPr>
          <w:rFonts w:ascii="Arial" w:hAnsi="Arial" w:cs="Arial"/>
          <w:lang w:val="en-GB"/>
        </w:rPr>
        <w:t>FACV</w:t>
      </w:r>
      <w:r w:rsidRPr="00CA7C66">
        <w:rPr>
          <w:rFonts w:ascii="Arial" w:hAnsi="Arial" w:cs="Arial"/>
          <w:lang w:val="en-GB"/>
        </w:rPr>
        <w:t xml:space="preserve"> </w:t>
      </w:r>
      <w:r w:rsidRPr="00181CF2">
        <w:rPr>
          <w:rFonts w:ascii="Arial" w:hAnsi="Arial" w:cs="Arial"/>
          <w:lang w:val="en-GB"/>
        </w:rPr>
        <w:t>4/2012 (13 May 2013</w:t>
      </w:r>
      <w:r w:rsidRPr="00C57CE1">
        <w:rPr>
          <w:rFonts w:ascii="Arial" w:hAnsi="Arial" w:cs="Arial"/>
          <w:lang w:val="en-GB"/>
        </w:rPr>
        <w:t>), at footnote 12.</w:t>
      </w:r>
    </w:p>
  </w:footnote>
  <w:footnote w:id="83">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8813DE">
        <w:rPr>
          <w:rFonts w:ascii="Arial" w:hAnsi="Arial" w:cs="Arial"/>
          <w:lang w:val="en-GB"/>
        </w:rPr>
        <w:t>FACV</w:t>
      </w:r>
      <w:r w:rsidRPr="00CA7C66">
        <w:rPr>
          <w:rFonts w:ascii="Arial" w:hAnsi="Arial" w:cs="Arial"/>
          <w:lang w:val="en-GB"/>
        </w:rPr>
        <w:t xml:space="preserve"> </w:t>
      </w:r>
      <w:r w:rsidRPr="00181CF2">
        <w:rPr>
          <w:rFonts w:ascii="Arial" w:hAnsi="Arial" w:cs="Arial"/>
          <w:lang w:val="en-GB"/>
        </w:rPr>
        <w:t xml:space="preserve">4/2012 (13 May 2013), at </w:t>
      </w:r>
      <w:r w:rsidRPr="0028108F">
        <w:rPr>
          <w:rFonts w:ascii="Arial" w:hAnsi="Arial" w:cs="Arial"/>
          <w:lang w:val="en-GB"/>
        </w:rPr>
        <w:t xml:space="preserve">paragraph 13. </w:t>
      </w:r>
    </w:p>
  </w:footnote>
  <w:footnote w:id="84">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Athena Liu, </w:t>
      </w:r>
      <w:r w:rsidRPr="00C57CE1">
        <w:rPr>
          <w:rFonts w:ascii="Arial" w:hAnsi="Arial" w:cs="Arial"/>
          <w:lang w:val="en-GB"/>
        </w:rPr>
        <w:t>“</w:t>
      </w:r>
      <w:r w:rsidRPr="0028108F">
        <w:rPr>
          <w:rFonts w:ascii="Arial" w:hAnsi="Arial" w:cs="Arial"/>
          <w:lang w:val="en-GB"/>
        </w:rPr>
        <w:t>Gender recognition: Two legal implications for marriage</w:t>
      </w:r>
      <w:r w:rsidRPr="00181CF2">
        <w:rPr>
          <w:rFonts w:ascii="Arial" w:hAnsi="Arial" w:cs="Arial"/>
          <w:lang w:val="en-GB"/>
        </w:rPr>
        <w:t>”</w:t>
      </w:r>
      <w:r w:rsidRPr="00C57CE1">
        <w:rPr>
          <w:rFonts w:ascii="Arial" w:hAnsi="Arial" w:cs="Arial"/>
          <w:lang w:val="en-GB"/>
        </w:rPr>
        <w:t xml:space="preserve"> (2013)</w:t>
      </w:r>
      <w:r>
        <w:rPr>
          <w:rFonts w:ascii="Arial" w:hAnsi="Arial" w:cs="Arial"/>
          <w:lang w:val="en-GB"/>
        </w:rPr>
        <w:t xml:space="preserve"> 43</w:t>
      </w:r>
      <w:r w:rsidRPr="00C57CE1">
        <w:rPr>
          <w:rFonts w:ascii="Arial" w:hAnsi="Arial" w:cs="Arial"/>
          <w:lang w:val="en-GB"/>
        </w:rPr>
        <w:t xml:space="preserve"> </w:t>
      </w:r>
      <w:r w:rsidRPr="00F86CD8">
        <w:rPr>
          <w:rFonts w:ascii="Arial" w:hAnsi="Arial" w:cs="Arial"/>
          <w:lang w:val="en-GB"/>
        </w:rPr>
        <w:t>HKLJ</w:t>
      </w:r>
      <w:r w:rsidRPr="00F11758">
        <w:rPr>
          <w:rFonts w:ascii="Arial" w:hAnsi="Arial" w:cs="Arial"/>
          <w:i/>
          <w:lang w:val="en-GB"/>
        </w:rPr>
        <w:t xml:space="preserve"> 497</w:t>
      </w:r>
      <w:r w:rsidRPr="0028108F">
        <w:rPr>
          <w:rFonts w:ascii="Arial" w:hAnsi="Arial" w:cs="Arial"/>
          <w:lang w:val="en-GB"/>
        </w:rPr>
        <w:t>, at 505.</w:t>
      </w:r>
    </w:p>
  </w:footnote>
  <w:footnote w:id="85">
    <w:p w:rsidR="0022178B" w:rsidRPr="00C57CE1" w:rsidRDefault="0022178B" w:rsidP="00F47842">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Former Consultant surgeon an</w:t>
      </w:r>
      <w:r w:rsidRPr="00C57CE1">
        <w:rPr>
          <w:rFonts w:ascii="Arial" w:hAnsi="Arial" w:cs="Arial"/>
          <w:lang w:val="en-GB"/>
        </w:rPr>
        <w:t>d Chief of Surgical Service of Ruttonjee Hospital of the Hospital Authority, who had been performing sex reassignment surgery from 1987 to 2015,</w:t>
      </w:r>
      <w:r w:rsidRPr="0028108F">
        <w:rPr>
          <w:rFonts w:ascii="Arial" w:hAnsi="Arial" w:cs="Arial"/>
          <w:lang w:val="en-GB"/>
        </w:rPr>
        <w:t xml:space="preserve"> affirmation made on 28 January 2010: see </w:t>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8813DE">
        <w:rPr>
          <w:rFonts w:ascii="Arial" w:hAnsi="Arial" w:cs="Arial"/>
          <w:lang w:val="en-GB"/>
        </w:rPr>
        <w:t>FACV</w:t>
      </w:r>
      <w:r w:rsidRPr="00181CF2">
        <w:rPr>
          <w:rFonts w:ascii="Arial" w:hAnsi="Arial" w:cs="Arial"/>
          <w:lang w:val="en-GB"/>
        </w:rPr>
        <w:t xml:space="preserve"> 4/2012 (13 May 2013)</w:t>
      </w:r>
      <w:r w:rsidRPr="00C57CE1">
        <w:rPr>
          <w:rFonts w:ascii="Arial" w:hAnsi="Arial" w:cs="Arial"/>
          <w:lang w:val="en-GB"/>
        </w:rPr>
        <w:t>, at footnote 11.</w:t>
      </w:r>
    </w:p>
  </w:footnote>
  <w:footnote w:id="86">
    <w:p w:rsidR="0022178B" w:rsidRPr="0028108F" w:rsidRDefault="0022178B" w:rsidP="00F47842">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 xml:space="preserve">paragraph 13. </w:t>
      </w:r>
    </w:p>
  </w:footnote>
  <w:footnote w:id="87">
    <w:p w:rsidR="0022178B" w:rsidRPr="0028108F" w:rsidRDefault="0022178B" w:rsidP="00F47842">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the Annex 2 to the Government’s Press Release dated 9 December 2015, “LCQ7: Gender identity disorder-related services provided by public hospitals</w:t>
      </w:r>
      <w:r w:rsidRPr="00181CF2">
        <w:rPr>
          <w:rFonts w:ascii="Arial" w:hAnsi="Arial" w:cs="Arial"/>
          <w:lang w:val="en-GB"/>
        </w:rPr>
        <w:t>”</w:t>
      </w:r>
      <w:r w:rsidRPr="00C57CE1">
        <w:rPr>
          <w:rFonts w:ascii="Arial" w:hAnsi="Arial" w:cs="Arial"/>
          <w:lang w:val="en-GB"/>
        </w:rPr>
        <w:t xml:space="preserve">, available at: </w:t>
      </w:r>
      <w:hyperlink r:id="rId11" w:history="1">
        <w:r w:rsidRPr="005A10CA">
          <w:rPr>
            <w:rStyle w:val="Hyperlink"/>
            <w:rFonts w:ascii="Arial" w:hAnsi="Arial" w:cs="Arial"/>
            <w:lang w:val="en-GB"/>
          </w:rPr>
          <w:t>http://www.info.gov.hk/gia/general/201512/09/P201512090358.htm</w:t>
        </w:r>
      </w:hyperlink>
      <w:r w:rsidRPr="0028108F">
        <w:rPr>
          <w:rFonts w:ascii="Arial" w:hAnsi="Arial" w:cs="Arial"/>
          <w:lang w:val="en-GB"/>
        </w:rPr>
        <w:t>.</w:t>
      </w:r>
    </w:p>
  </w:footnote>
  <w:footnote w:id="88">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paragraph 15, where it was also noted that in the case of W herself, she had had the first of her operations (an orchidectomy) in Thailand.</w:t>
      </w:r>
    </w:p>
  </w:footnote>
  <w:footnote w:id="89">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paragraph 16.</w:t>
      </w:r>
    </w:p>
  </w:footnote>
  <w:footnote w:id="90">
    <w:p w:rsidR="0022178B" w:rsidRPr="00C57CE1"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the Government’s Press Release dated 9 December 2015, “LCQ7: Gender identity disorder-related services provided by public hospitals</w:t>
      </w:r>
      <w:r w:rsidRPr="00181CF2">
        <w:rPr>
          <w:rFonts w:ascii="Arial" w:hAnsi="Arial" w:cs="Arial"/>
          <w:lang w:val="en-GB"/>
        </w:rPr>
        <w:t>”</w:t>
      </w:r>
      <w:r w:rsidRPr="00C57CE1">
        <w:rPr>
          <w:rFonts w:ascii="Arial" w:hAnsi="Arial" w:cs="Arial"/>
          <w:lang w:val="en-GB"/>
        </w:rPr>
        <w:t xml:space="preserve">,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2" w:history="1">
        <w:r w:rsidRPr="005A10CA">
          <w:rPr>
            <w:rStyle w:val="Hyperlink"/>
            <w:rFonts w:ascii="Arial" w:hAnsi="Arial" w:cs="Arial"/>
            <w:lang w:val="en-GB"/>
          </w:rPr>
          <w:t>http://www.info.gov.hk/gia/general/201512/09/P201512090358.htm</w:t>
        </w:r>
      </w:hyperlink>
      <w:r w:rsidRPr="0028108F">
        <w:rPr>
          <w:rFonts w:ascii="Arial" w:hAnsi="Arial" w:cs="Arial"/>
          <w:lang w:val="en-GB"/>
        </w:rPr>
        <w:t>.</w:t>
      </w:r>
    </w:p>
  </w:footnote>
  <w:footnote w:id="91">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FACV</w:t>
      </w:r>
      <w:r w:rsidRPr="00181CF2">
        <w:rPr>
          <w:rFonts w:ascii="Arial" w:hAnsi="Arial" w:cs="Arial"/>
          <w:lang w:val="en-GB"/>
        </w:rPr>
        <w:t xml:space="preserve"> 4/2012 (13 May 2013), at </w:t>
      </w:r>
      <w:r w:rsidRPr="0028108F">
        <w:rPr>
          <w:rFonts w:ascii="Arial" w:hAnsi="Arial" w:cs="Arial"/>
          <w:lang w:val="en-GB"/>
        </w:rPr>
        <w:t>paragraph 138.  See also Robyn Emerton, “Time for Change: a Call for the Legal Recognition of Transsexuals and Other Transgender Persons in Hong Kong</w:t>
      </w:r>
      <w:r w:rsidRPr="00181CF2">
        <w:rPr>
          <w:rFonts w:ascii="Arial" w:hAnsi="Arial" w:cs="Arial"/>
          <w:lang w:val="en-GB"/>
        </w:rPr>
        <w:t>”</w:t>
      </w:r>
      <w:r w:rsidRPr="00C57CE1">
        <w:rPr>
          <w:rFonts w:ascii="Arial" w:hAnsi="Arial" w:cs="Arial"/>
          <w:i/>
          <w:lang w:val="en-GB"/>
        </w:rPr>
        <w:t xml:space="preserve"> </w:t>
      </w:r>
      <w:r w:rsidRPr="0028108F">
        <w:rPr>
          <w:rFonts w:ascii="Arial" w:hAnsi="Arial" w:cs="Arial"/>
          <w:lang w:val="en-GB"/>
        </w:rPr>
        <w:t xml:space="preserve">(2004) 34 </w:t>
      </w:r>
      <w:r w:rsidRPr="00F86CD8">
        <w:rPr>
          <w:rFonts w:ascii="Arial" w:hAnsi="Arial" w:cs="Arial"/>
          <w:lang w:val="en-GB"/>
        </w:rPr>
        <w:t>HKLJ</w:t>
      </w:r>
      <w:r w:rsidRPr="00181CF2">
        <w:rPr>
          <w:rFonts w:ascii="Arial" w:hAnsi="Arial" w:cs="Arial"/>
          <w:lang w:val="en-GB"/>
        </w:rPr>
        <w:t xml:space="preserve"> 515; and Jens M S</w:t>
      </w:r>
      <w:r w:rsidRPr="00C57CE1">
        <w:rPr>
          <w:rFonts w:ascii="Arial" w:hAnsi="Arial" w:cs="Arial"/>
          <w:lang w:val="en-GB"/>
        </w:rPr>
        <w:t>c</w:t>
      </w:r>
      <w:r w:rsidRPr="0028108F">
        <w:rPr>
          <w:rFonts w:ascii="Arial" w:hAnsi="Arial" w:cs="Arial"/>
          <w:lang w:val="en-GB"/>
        </w:rPr>
        <w:t>herpe, “Changing One's Legal Gender in Europe - The ‘W’ Case in Comparative Perspective</w:t>
      </w:r>
      <w:r w:rsidRPr="00181CF2">
        <w:rPr>
          <w:rFonts w:ascii="Arial" w:hAnsi="Arial" w:cs="Arial"/>
          <w:lang w:val="en-GB"/>
        </w:rPr>
        <w:t>”</w:t>
      </w:r>
      <w:r w:rsidRPr="00C57CE1">
        <w:rPr>
          <w:rFonts w:ascii="Arial" w:hAnsi="Arial" w:cs="Arial"/>
          <w:i/>
          <w:lang w:val="en-GB"/>
        </w:rPr>
        <w:t xml:space="preserve"> </w:t>
      </w:r>
      <w:r w:rsidRPr="0028108F">
        <w:rPr>
          <w:rFonts w:ascii="Arial" w:hAnsi="Arial" w:cs="Arial"/>
          <w:lang w:val="en-GB"/>
        </w:rPr>
        <w:t xml:space="preserve">(2011) 41 </w:t>
      </w:r>
      <w:r w:rsidRPr="00F86CD8">
        <w:rPr>
          <w:rFonts w:ascii="Arial" w:hAnsi="Arial" w:cs="Arial"/>
          <w:lang w:val="en-GB"/>
        </w:rPr>
        <w:t>HKLJ</w:t>
      </w:r>
      <w:r w:rsidRPr="00181CF2">
        <w:rPr>
          <w:rFonts w:ascii="Arial" w:hAnsi="Arial" w:cs="Arial"/>
          <w:lang w:val="en-GB"/>
        </w:rPr>
        <w:t xml:space="preserve"> 109.</w:t>
      </w:r>
    </w:p>
  </w:footnote>
  <w:footnote w:id="92">
    <w:p w:rsidR="0022178B" w:rsidRPr="0028108F" w:rsidRDefault="0022178B" w:rsidP="00F37F2D">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Under the UK Gender Recognition Act 2004 the “</w:t>
      </w:r>
      <w:r w:rsidRPr="0028108F">
        <w:rPr>
          <w:rFonts w:ascii="Arial" w:hAnsi="Arial" w:cs="Arial"/>
          <w:i/>
          <w:lang w:val="en-GB"/>
        </w:rPr>
        <w:t>acquired gender</w:t>
      </w:r>
      <w:r w:rsidRPr="0028108F">
        <w:rPr>
          <w:rFonts w:ascii="Arial" w:hAnsi="Arial" w:cs="Arial"/>
          <w:lang w:val="en-GB"/>
        </w:rPr>
        <w:t xml:space="preserve">”, in relation to a person by whom an application for a gender recognition certificate is or has been made, means, pursuant to section 1(2) of the Act, (a) in the case of an ordinary application, the gender in which the person is living, or (b) in the case of an application for recognition of overseas gender change, the gender to which the person has changed under the law of the foreign country or territory concerned.  </w:t>
      </w:r>
    </w:p>
  </w:footnote>
  <w:footnote w:id="9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Section 2(1), Gender Recognition Act 2004 (UK).</w:t>
      </w:r>
    </w:p>
  </w:footnote>
  <w:footnote w:id="9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Explanatory Notes on Gender Recognition Act 2004, at paragraphs 4 and 20, available at</w:t>
      </w:r>
      <w:r w:rsidRPr="0028108F">
        <w:rPr>
          <w:rFonts w:ascii="Arial" w:hAnsi="Arial" w:cs="Arial"/>
          <w:lang w:val="en-GB" w:eastAsia="zh-TW"/>
        </w:rPr>
        <w:t>:</w:t>
      </w:r>
      <w:r w:rsidRPr="0028108F">
        <w:rPr>
          <w:rFonts w:ascii="Arial" w:hAnsi="Arial" w:cs="Arial"/>
          <w:lang w:val="en-GB"/>
        </w:rPr>
        <w:t xml:space="preserve"> </w:t>
      </w:r>
      <w:hyperlink r:id="rId13" w:history="1">
        <w:r w:rsidRPr="0028108F">
          <w:rPr>
            <w:rStyle w:val="Hyperlink"/>
            <w:rFonts w:ascii="Arial" w:hAnsi="Arial" w:cs="Arial"/>
            <w:lang w:val="en-GB"/>
          </w:rPr>
          <w:t>http://www.legislation.gov.uk/ukpga/2004/7/notes</w:t>
        </w:r>
      </w:hyperlink>
      <w:r w:rsidRPr="0028108F">
        <w:rPr>
          <w:rFonts w:ascii="Arial" w:hAnsi="Arial" w:cs="Arial"/>
          <w:lang w:val="en-GB"/>
        </w:rPr>
        <w: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t>If the applicant was legally married or a civil partner, an interim Gender Recognition Certificate would be issued which could be used as grounds for that marriage or civil partnership being voidable, but otherwise had no status.  After annulment or dissolution of the marriage or civil partnership, a full Gender Recognition Certificate would be issued.</w:t>
      </w:r>
    </w:p>
  </w:footnote>
  <w:footnote w:id="9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Ie, section 12 and Parts 1 and 2 of Schedule 5 of the Marriage (Same Sex Couples) Act 2013 (UK) and section 31 and Schedule 2 of the Marriage and Civil Partnership (Scotland) Act 2014.</w:t>
      </w:r>
    </w:p>
  </w:footnote>
  <w:footnote w:id="9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For more information, see Stephen Gilmore, “The Legal Status Of Transsexual And Transgender Persons In England And Wales”, in Jens M Scherpe (ed), </w:t>
      </w:r>
      <w:r w:rsidRPr="0028108F">
        <w:rPr>
          <w:rFonts w:ascii="Arial" w:hAnsi="Arial" w:cs="Arial"/>
          <w:i/>
          <w:lang w:val="en-GB"/>
        </w:rPr>
        <w:t>The Legal Status of Transsexual and Transgender Persons</w:t>
      </w:r>
      <w:r w:rsidRPr="0028108F">
        <w:rPr>
          <w:rFonts w:ascii="Arial" w:hAnsi="Arial" w:cs="Arial"/>
          <w:lang w:val="en-GB"/>
        </w:rPr>
        <w:t xml:space="preserve"> (1st ed, December 2015), at 183 to 191</w:t>
      </w:r>
      <w:r>
        <w:rPr>
          <w:rFonts w:ascii="Arial" w:hAnsi="Arial" w:cs="Arial" w:hint="eastAsia"/>
          <w:lang w:val="en-GB" w:eastAsia="zh-TW"/>
        </w:rPr>
        <w:t>.</w:t>
      </w:r>
      <w:r w:rsidRPr="0028108F">
        <w:rPr>
          <w:rFonts w:ascii="Arial" w:hAnsi="Arial" w:cs="Arial"/>
          <w:lang w:val="en-GB"/>
        </w:rPr>
        <w:t xml:space="preserve"> </w:t>
      </w:r>
    </w:p>
  </w:footnote>
  <w:footnote w:id="97">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Catherine Fairbairn, Home Affairs Section, House of Commons Library, “The Gender Recognition Bill [HL] - Bill 56 of 2003-04</w:t>
      </w:r>
      <w:r w:rsidRPr="00181CF2">
        <w:rPr>
          <w:rFonts w:ascii="Arial" w:hAnsi="Arial" w:cs="Arial"/>
          <w:lang w:val="en-GB"/>
        </w:rPr>
        <w:t>”</w:t>
      </w:r>
      <w:r w:rsidRPr="00C57CE1">
        <w:rPr>
          <w:rFonts w:ascii="Arial" w:hAnsi="Arial" w:cs="Arial"/>
          <w:lang w:val="en-GB"/>
        </w:rPr>
        <w:t xml:space="preserve"> (Research Paper 04/15, 17 February 2004), at 9.</w:t>
      </w:r>
    </w:p>
  </w:footnote>
  <w:footnote w:id="98">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example, it is possible to have passport details amended without a Gender Recognition Certificate by providing a letter from a medical practitioner confirming that the change of gender is likely to be permanent and evidence of change of name such as deed poll: see HM Passport Office guidance note, “Applying for a passport: additional information for transgender and transsexual customers”</w:t>
      </w:r>
      <w:r w:rsidRPr="00181CF2">
        <w:rPr>
          <w:rFonts w:ascii="Arial" w:hAnsi="Arial" w:cs="Arial"/>
          <w:lang w:val="en-GB"/>
        </w:rPr>
        <w:t>,</w:t>
      </w:r>
      <w:r w:rsidRPr="00C57CE1">
        <w:rPr>
          <w:rFonts w:ascii="Arial" w:hAnsi="Arial" w:cs="Arial"/>
          <w:lang w:val="en-GB"/>
        </w:rPr>
        <w:t xml:space="preserve">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4" w:history="1">
        <w:r w:rsidRPr="0028108F">
          <w:rPr>
            <w:rStyle w:val="Hyperlink"/>
            <w:rFonts w:ascii="Arial" w:hAnsi="Arial" w:cs="Arial"/>
            <w:lang w:val="en-GB"/>
          </w:rPr>
          <w:t>https://www.gov.uk/government/uploads/system/uploads/attachment_data/file/229992/Applying_for_a_passport_additional_information_WEB.PDF</w:t>
        </w:r>
      </w:hyperlink>
      <w:r w:rsidRPr="0028108F">
        <w:rPr>
          <w:rFonts w:ascii="Arial" w:hAnsi="Arial" w:cs="Arial"/>
          <w:lang w:val="en-GB"/>
        </w:rPr>
        <w:t>.</w:t>
      </w:r>
    </w:p>
  </w:footnote>
  <w:footnote w:id="99">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Catherine Fairbairn, Home Affairs Section, House of Commons Library, “The Gender Recognition Bill [HL] - Bill 56 of 2003-04</w:t>
      </w:r>
      <w:r w:rsidRPr="00181CF2">
        <w:rPr>
          <w:rFonts w:ascii="Arial" w:hAnsi="Arial" w:cs="Arial"/>
          <w:lang w:val="en-GB"/>
        </w:rPr>
        <w:t>”</w:t>
      </w:r>
      <w:r w:rsidRPr="00C57CE1">
        <w:rPr>
          <w:rFonts w:ascii="Arial" w:hAnsi="Arial" w:cs="Arial"/>
          <w:lang w:val="en-GB"/>
        </w:rPr>
        <w:t xml:space="preserve"> (Research Paper 04/15, 17 February 2004), at 9 to 10.</w:t>
      </w:r>
    </w:p>
  </w:footnote>
  <w:footnote w:id="10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Home Office, </w:t>
      </w:r>
      <w:r w:rsidRPr="0028108F">
        <w:rPr>
          <w:rFonts w:ascii="Arial" w:hAnsi="Arial" w:cs="Arial"/>
          <w:i/>
          <w:lang w:val="en-GB"/>
        </w:rPr>
        <w:t>Report of the Interdepartmental Working Group on Transsexual People</w:t>
      </w:r>
      <w:r w:rsidRPr="0028108F">
        <w:rPr>
          <w:rFonts w:ascii="Arial" w:hAnsi="Arial" w:cs="Arial"/>
          <w:lang w:val="en-GB"/>
        </w:rPr>
        <w:t xml:space="preserve"> (April 2000), terms of reference,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5" w:history="1">
        <w:r w:rsidRPr="0028108F">
          <w:rPr>
            <w:rStyle w:val="Hyperlink"/>
            <w:rFonts w:ascii="Arial" w:hAnsi="Arial" w:cs="Arial"/>
            <w:lang w:val="en-GB"/>
          </w:rPr>
          <w:t>http://www.dca.gov.uk/constitution/transsex/wgtrans.pdf</w:t>
        </w:r>
      </w:hyperlink>
      <w:r w:rsidRPr="0028108F">
        <w:rPr>
          <w:rFonts w:ascii="Arial" w:hAnsi="Arial" w:cs="Arial"/>
          <w:lang w:val="en-GB"/>
        </w:rPr>
        <w:t xml:space="preserve">.  </w:t>
      </w:r>
    </w:p>
  </w:footnote>
  <w:footnote w:id="101">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 xml:space="preserve">paragraph 1.18 and </w:t>
      </w:r>
      <w:r w:rsidRPr="0028108F">
        <w:rPr>
          <w:rFonts w:ascii="Arial" w:hAnsi="Arial" w:cs="Arial"/>
          <w:i/>
          <w:lang w:val="en-GB"/>
        </w:rPr>
        <w:t xml:space="preserve">Annex </w:t>
      </w:r>
      <w:r w:rsidRPr="00181CF2">
        <w:rPr>
          <w:rFonts w:ascii="Arial" w:hAnsi="Arial" w:cs="Arial"/>
          <w:lang w:val="en-GB"/>
        </w:rPr>
        <w:t>4</w:t>
      </w:r>
      <w:r w:rsidRPr="00C57CE1">
        <w:rPr>
          <w:rFonts w:ascii="Arial" w:hAnsi="Arial" w:cs="Arial"/>
          <w:lang w:val="en-GB"/>
        </w:rPr>
        <w:t>.</w:t>
      </w:r>
    </w:p>
  </w:footnote>
  <w:footnote w:id="10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paragraph 1.18.</w:t>
      </w:r>
    </w:p>
  </w:footnote>
  <w:footnote w:id="10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 xml:space="preserve">Home Office, above, </w:t>
      </w:r>
      <w:r w:rsidRPr="00181CF2">
        <w:rPr>
          <w:rFonts w:ascii="Arial" w:hAnsi="Arial" w:cs="Arial"/>
          <w:lang w:val="en-GB"/>
        </w:rPr>
        <w:t xml:space="preserve">at </w:t>
      </w:r>
      <w:r w:rsidRPr="0028108F">
        <w:rPr>
          <w:rFonts w:ascii="Arial" w:hAnsi="Arial" w:cs="Arial"/>
          <w:lang w:val="en-GB"/>
        </w:rPr>
        <w:t>paragraph 1.17.</w:t>
      </w:r>
    </w:p>
  </w:footnote>
  <w:footnote w:id="104">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 at paragraphs 1.16</w:t>
      </w:r>
      <w:r w:rsidRPr="0028108F">
        <w:rPr>
          <w:rFonts w:ascii="Arial" w:hAnsi="Arial" w:cs="Arial"/>
          <w:i/>
          <w:lang w:val="en-GB"/>
        </w:rPr>
        <w:t xml:space="preserve"> </w:t>
      </w:r>
      <w:r w:rsidRPr="00181CF2">
        <w:rPr>
          <w:rFonts w:ascii="Arial" w:hAnsi="Arial" w:cs="Arial"/>
          <w:lang w:val="en-GB"/>
        </w:rPr>
        <w:t xml:space="preserve">and </w:t>
      </w:r>
      <w:r w:rsidRPr="00C57CE1">
        <w:rPr>
          <w:rFonts w:ascii="Arial" w:hAnsi="Arial" w:cs="Arial"/>
          <w:lang w:val="en-GB"/>
        </w:rPr>
        <w:t>5.5.</w:t>
      </w:r>
    </w:p>
  </w:footnote>
  <w:footnote w:id="10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5.2.</w:t>
      </w:r>
    </w:p>
  </w:footnote>
  <w:footnote w:id="10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 at paragraph 5.2.</w:t>
      </w:r>
    </w:p>
  </w:footnote>
  <w:footnote w:id="107">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5.3.  In addition, the Working Group mentioned that: “</w:t>
      </w:r>
      <w:r w:rsidRPr="0028108F">
        <w:rPr>
          <w:rFonts w:ascii="Arial" w:hAnsi="Arial" w:cs="Arial"/>
          <w:i/>
          <w:lang w:val="en-GB"/>
        </w:rPr>
        <w:t>We understand that many non-governmental bodies, such as examination authorities, will often re-issue examination certificates etc. (or otherwise provide evidence of qualifications) showing the acquired gender. We also found that at least one insurance company will issue policies to transsexual people in their acquired gender.</w:t>
      </w:r>
      <w:r w:rsidRPr="00181CF2">
        <w:rPr>
          <w:rFonts w:ascii="Arial" w:hAnsi="Arial" w:cs="Arial"/>
          <w:lang w:val="en-GB"/>
        </w:rPr>
        <w:t>”</w:t>
      </w:r>
    </w:p>
  </w:footnote>
  <w:footnote w:id="108">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5.4.</w:t>
      </w:r>
    </w:p>
  </w:footnote>
  <w:footnote w:id="10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 at paragraphs 2.2 to 2.6.</w:t>
      </w:r>
    </w:p>
  </w:footnote>
  <w:footnote w:id="110">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 xml:space="preserve">paragraphs 2.2 to 2.6.  Amendments were possible </w:t>
      </w:r>
      <w:r w:rsidRPr="0028108F">
        <w:rPr>
          <w:rFonts w:ascii="Arial" w:hAnsi="Arial" w:cs="Arial"/>
          <w:i/>
          <w:lang w:val="en-GB"/>
        </w:rPr>
        <w:t>“only in cases of clerical error, or where the apparent sex of the child was wrongly identified, or where the biological criteria were not congruent at birth.”</w:t>
      </w:r>
      <w:r w:rsidRPr="00181CF2">
        <w:rPr>
          <w:rFonts w:ascii="Arial" w:hAnsi="Arial" w:cs="Arial"/>
          <w:lang w:val="en-GB"/>
        </w:rPr>
        <w:t xml:space="preserve">  </w:t>
      </w:r>
    </w:p>
  </w:footnote>
  <w:footnote w:id="111">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i/>
          <w:lang w:val="en-GB"/>
        </w:rPr>
        <w:t xml:space="preserve"> </w:t>
      </w:r>
      <w:r w:rsidRPr="00C57CE1">
        <w:rPr>
          <w:rFonts w:ascii="Arial" w:hAnsi="Arial" w:cs="Arial"/>
          <w:lang w:val="en-GB"/>
        </w:rPr>
        <w:t xml:space="preserve">at </w:t>
      </w:r>
      <w:r w:rsidRPr="0028108F">
        <w:rPr>
          <w:rFonts w:ascii="Arial" w:hAnsi="Arial" w:cs="Arial"/>
          <w:lang w:val="en-GB"/>
        </w:rPr>
        <w:t>paragraph 3.2.</w:t>
      </w:r>
    </w:p>
  </w:footnote>
  <w:footnote w:id="11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i/>
          <w:lang w:val="en-GB"/>
        </w:rPr>
        <w:t xml:space="preserve"> </w:t>
      </w:r>
      <w:r w:rsidRPr="00C57CE1">
        <w:rPr>
          <w:rFonts w:ascii="Arial" w:hAnsi="Arial" w:cs="Arial"/>
          <w:lang w:val="en-GB"/>
        </w:rPr>
        <w:t xml:space="preserve">at </w:t>
      </w:r>
      <w:r w:rsidRPr="0028108F">
        <w:rPr>
          <w:rFonts w:ascii="Arial" w:hAnsi="Arial" w:cs="Arial"/>
          <w:lang w:val="en-GB"/>
        </w:rPr>
        <w:t>paragraph 3.6.  The Working Group noted that procedures currently followed by, for example, the Passport Office could be adopted (requiring a letter from the applicant’s doctor saying that the applicant is living permanently in the new gender together with evidence such as deed poll of a change of name).</w:t>
      </w:r>
    </w:p>
  </w:footnote>
  <w:footnote w:id="11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i/>
          <w:lang w:val="en-GB"/>
        </w:rPr>
        <w:t xml:space="preserve"> </w:t>
      </w:r>
      <w:r w:rsidRPr="00C57CE1">
        <w:rPr>
          <w:rFonts w:ascii="Arial" w:hAnsi="Arial" w:cs="Arial"/>
          <w:lang w:val="en-GB"/>
        </w:rPr>
        <w:t xml:space="preserve">at </w:t>
      </w:r>
      <w:r w:rsidRPr="0028108F">
        <w:rPr>
          <w:rFonts w:ascii="Arial" w:hAnsi="Arial" w:cs="Arial"/>
          <w:lang w:val="en-GB"/>
        </w:rPr>
        <w:t>paragraph 3.5.</w:t>
      </w:r>
    </w:p>
  </w:footnote>
  <w:footnote w:id="11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i/>
          <w:lang w:val="en-GB"/>
        </w:rPr>
        <w:t xml:space="preserve"> </w:t>
      </w:r>
      <w:r w:rsidRPr="00C57CE1">
        <w:rPr>
          <w:rFonts w:ascii="Arial" w:hAnsi="Arial" w:cs="Arial"/>
          <w:lang w:val="en-GB"/>
        </w:rPr>
        <w:t xml:space="preserve">at </w:t>
      </w:r>
      <w:r w:rsidRPr="0028108F">
        <w:rPr>
          <w:rFonts w:ascii="Arial" w:hAnsi="Arial" w:cs="Arial"/>
          <w:lang w:val="en-GB"/>
        </w:rPr>
        <w:t>paragraph 3.8.</w:t>
      </w:r>
    </w:p>
  </w:footnote>
  <w:footnote w:id="115">
    <w:p w:rsidR="0022178B" w:rsidRPr="0028108F" w:rsidRDefault="0022178B" w:rsidP="00F37F2D">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 at paragraph 4.3.</w:t>
      </w:r>
    </w:p>
  </w:footnote>
  <w:footnote w:id="11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paragraphs 4.3 and 4.4.  To accommodate persons who did not meet the criteria for full recognition, the Working Group recommended that the then existing arrangements for providing transsexual people with new driving licences, passports and national insurance cards should not be withdrawn, provided that they could not be used to obtain other legal rights to which the person was not entitled. Same as above, at paragraph 4.11.</w:t>
      </w:r>
    </w:p>
  </w:footnote>
  <w:footnote w:id="117">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4.4.</w:t>
      </w:r>
    </w:p>
  </w:footnote>
  <w:footnote w:id="11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paragraph 5.1.</w:t>
      </w:r>
    </w:p>
  </w:footnote>
  <w:footnote w:id="11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4.6.</w:t>
      </w:r>
    </w:p>
  </w:footnote>
  <w:footnote w:id="12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4.7.</w:t>
      </w:r>
    </w:p>
  </w:footnote>
  <w:footnote w:id="12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4.8.</w:t>
      </w:r>
    </w:p>
  </w:footnote>
  <w:footnote w:id="12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4.9.</w:t>
      </w:r>
    </w:p>
  </w:footnote>
  <w:footnote w:id="12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4.10.</w:t>
      </w:r>
    </w:p>
  </w:footnote>
  <w:footnote w:id="12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4.12.  The report refers to the transgender community’s view that the requirement is unnecessary because, “</w:t>
      </w:r>
      <w:r w:rsidRPr="0028108F">
        <w:rPr>
          <w:rFonts w:ascii="Arial" w:hAnsi="Arial" w:cs="Arial"/>
          <w:i/>
          <w:lang w:val="en-GB"/>
        </w:rPr>
        <w:t>after a few years, the hormone treatment undertaken by transsexual people will have rendered them infertile</w:t>
      </w:r>
      <w:r w:rsidRPr="0028108F">
        <w:rPr>
          <w:rFonts w:ascii="Arial" w:hAnsi="Arial" w:cs="Arial"/>
          <w:lang w:val="en-GB"/>
        </w:rPr>
        <w:t>”, also that “</w:t>
      </w:r>
      <w:r w:rsidRPr="0028108F">
        <w:rPr>
          <w:rFonts w:ascii="Arial" w:hAnsi="Arial" w:cs="Arial"/>
          <w:i/>
          <w:lang w:val="en-GB"/>
        </w:rPr>
        <w:t>the requirement is discriminatory as some transsexual people, for health reasons, cannot take the high hormone levels normally prescribed, nor can they necessarily undergo extensive surgery</w:t>
      </w:r>
      <w:r w:rsidRPr="0028108F">
        <w:rPr>
          <w:rFonts w:ascii="Arial" w:hAnsi="Arial" w:cs="Arial"/>
          <w:lang w:val="en-GB"/>
        </w:rPr>
        <w:t>.”</w:t>
      </w:r>
    </w:p>
  </w:footnote>
  <w:footnote w:id="12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4.14.</w:t>
      </w:r>
    </w:p>
  </w:footnote>
  <w:footnote w:id="12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4.16.</w:t>
      </w:r>
    </w:p>
  </w:footnote>
  <w:footnote w:id="127">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4.17.</w:t>
      </w:r>
    </w:p>
  </w:footnote>
  <w:footnote w:id="12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Home Office, above, </w:t>
      </w:r>
      <w:r w:rsidRPr="00181CF2">
        <w:rPr>
          <w:rFonts w:ascii="Arial" w:hAnsi="Arial" w:cs="Arial"/>
          <w:lang w:val="en-GB"/>
        </w:rPr>
        <w:t xml:space="preserve">at </w:t>
      </w:r>
      <w:r w:rsidRPr="0028108F">
        <w:rPr>
          <w:rFonts w:ascii="Arial" w:hAnsi="Arial" w:cs="Arial"/>
          <w:lang w:val="en-GB"/>
        </w:rPr>
        <w:t>paragraph 4.19.</w:t>
      </w:r>
    </w:p>
  </w:footnote>
  <w:footnote w:id="12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Home Office, above, </w:t>
      </w:r>
      <w:r w:rsidRPr="00181CF2">
        <w:rPr>
          <w:rFonts w:ascii="Arial" w:hAnsi="Arial" w:cs="Arial"/>
          <w:lang w:val="en-GB"/>
        </w:rPr>
        <w:t xml:space="preserve">at </w:t>
      </w:r>
      <w:r w:rsidRPr="0028108F">
        <w:rPr>
          <w:rFonts w:ascii="Arial" w:hAnsi="Arial" w:cs="Arial"/>
          <w:lang w:val="en-GB"/>
        </w:rPr>
        <w:t>paragraph 4.19.</w:t>
      </w:r>
    </w:p>
  </w:footnote>
  <w:footnote w:id="130">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Corbett v Corbett </w:t>
      </w:r>
      <w:r w:rsidRPr="00181CF2">
        <w:rPr>
          <w:rFonts w:ascii="Arial" w:hAnsi="Arial" w:cs="Arial"/>
          <w:lang w:val="en-GB"/>
        </w:rPr>
        <w:t>(otherwise Ashley) [1971] P 83.</w:t>
      </w:r>
    </w:p>
  </w:footnote>
  <w:footnote w:id="131">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 at paragraphs 2.14, 2.18 to 2.20.</w:t>
      </w:r>
    </w:p>
  </w:footnote>
  <w:footnote w:id="13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at</w:t>
      </w:r>
      <w:r w:rsidRPr="00C57CE1">
        <w:rPr>
          <w:rFonts w:ascii="Arial" w:hAnsi="Arial" w:cs="Arial"/>
          <w:i/>
          <w:lang w:val="en-GB"/>
        </w:rPr>
        <w:t xml:space="preserve"> </w:t>
      </w:r>
      <w:r w:rsidRPr="0028108F">
        <w:rPr>
          <w:rFonts w:ascii="Arial" w:hAnsi="Arial" w:cs="Arial"/>
          <w:lang w:val="en-GB"/>
        </w:rPr>
        <w:t>paragraph 4.18.</w:t>
      </w:r>
    </w:p>
  </w:footnote>
  <w:footnote w:id="133">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w:t>
      </w:r>
      <w:r w:rsidRPr="00C57CE1">
        <w:rPr>
          <w:rFonts w:ascii="Arial" w:hAnsi="Arial" w:cs="Arial"/>
          <w:i/>
          <w:lang w:val="en-GB"/>
        </w:rPr>
        <w:t xml:space="preserve"> </w:t>
      </w:r>
      <w:r w:rsidRPr="0028108F">
        <w:rPr>
          <w:rFonts w:ascii="Arial" w:hAnsi="Arial" w:cs="Arial"/>
          <w:lang w:val="en-GB"/>
        </w:rPr>
        <w:t>paragraphs 2.22 and 2.38.  It has been observed that problems for such families would complicate relationships with schools, Social Security and the Inland Revenue.  Worse still, if the relationship of the parents encounters difficulties, or one of them dies, the family would be hit by the reality that the ‘</w:t>
      </w:r>
      <w:r w:rsidRPr="0028108F">
        <w:rPr>
          <w:rFonts w:ascii="Arial" w:hAnsi="Arial" w:cs="Arial"/>
          <w:i/>
          <w:lang w:val="en-GB"/>
        </w:rPr>
        <w:t>dad</w:t>
      </w:r>
      <w:r w:rsidRPr="0028108F">
        <w:rPr>
          <w:rFonts w:ascii="Arial" w:hAnsi="Arial" w:cs="Arial"/>
          <w:lang w:val="en-GB"/>
        </w:rPr>
        <w:t>’ in fact had no legal tie to the children he had brought up.  See Stephen Whittle, “The Gender Recognition Act 2004: Its Impact on Transsexual People’s Families</w:t>
      </w:r>
      <w:r w:rsidRPr="00181CF2">
        <w:rPr>
          <w:rFonts w:ascii="Arial" w:hAnsi="Arial" w:cs="Arial"/>
          <w:lang w:val="en-GB"/>
        </w:rPr>
        <w:t>”</w:t>
      </w:r>
      <w:r w:rsidRPr="00C57CE1">
        <w:rPr>
          <w:rFonts w:ascii="Arial" w:hAnsi="Arial" w:cs="Arial"/>
          <w:lang w:val="en-GB"/>
        </w:rPr>
        <w:t xml:space="preserve"> (Childright, 210, October 2004), at 10 to 11. </w:t>
      </w:r>
    </w:p>
  </w:footnote>
  <w:footnote w:id="13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 4.20.</w:t>
      </w:r>
    </w:p>
  </w:footnote>
  <w:footnote w:id="13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w:t>
      </w:r>
      <w:r w:rsidRPr="00C57CE1">
        <w:rPr>
          <w:rFonts w:ascii="Arial" w:hAnsi="Arial" w:cs="Arial"/>
          <w:i/>
          <w:lang w:val="en-GB"/>
        </w:rPr>
        <w:t xml:space="preserve"> </w:t>
      </w:r>
      <w:r w:rsidRPr="0028108F">
        <w:rPr>
          <w:rFonts w:ascii="Arial" w:hAnsi="Arial" w:cs="Arial"/>
          <w:lang w:val="en-GB"/>
        </w:rPr>
        <w:t>at paragraphs 2.42 to 2.49.</w:t>
      </w:r>
    </w:p>
  </w:footnote>
  <w:footnote w:id="13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i/>
          <w:lang w:val="en-GB"/>
        </w:rPr>
        <w:t xml:space="preserve"> </w:t>
      </w:r>
      <w:r w:rsidRPr="00C57CE1">
        <w:rPr>
          <w:rFonts w:ascii="Arial" w:hAnsi="Arial" w:cs="Arial"/>
          <w:lang w:val="en-GB"/>
        </w:rPr>
        <w:t xml:space="preserve">at </w:t>
      </w:r>
      <w:r w:rsidRPr="0028108F">
        <w:rPr>
          <w:rFonts w:ascii="Arial" w:hAnsi="Arial" w:cs="Arial"/>
          <w:lang w:val="en-GB"/>
        </w:rPr>
        <w:t>paragraph 4.22.</w:t>
      </w:r>
    </w:p>
  </w:footnote>
  <w:footnote w:id="137">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paragraphs 2.86 and 2.87.</w:t>
      </w:r>
    </w:p>
  </w:footnote>
  <w:footnote w:id="13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Thus, a male-to-female transsexual police and prison officers would be able to, after legal recognition of change of gender, search female prisoners and female-to-male transsexual officers could search male prisoners.  See Home Office, above</w:t>
      </w:r>
      <w:r w:rsidRPr="00181CF2">
        <w:rPr>
          <w:rFonts w:ascii="Arial" w:hAnsi="Arial" w:cs="Arial"/>
          <w:lang w:val="en-GB"/>
        </w:rPr>
        <w:t xml:space="preserve">, at </w:t>
      </w:r>
      <w:r w:rsidRPr="0028108F">
        <w:rPr>
          <w:rFonts w:ascii="Arial" w:hAnsi="Arial" w:cs="Arial"/>
          <w:lang w:val="en-GB"/>
        </w:rPr>
        <w:t>paragraphs 4.23 and 4.25.</w:t>
      </w:r>
    </w:p>
  </w:footnote>
  <w:footnote w:id="13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Home Office, above</w:t>
      </w:r>
      <w:r w:rsidRPr="00181CF2">
        <w:rPr>
          <w:rFonts w:ascii="Arial" w:hAnsi="Arial" w:cs="Arial"/>
          <w:lang w:val="en-GB"/>
        </w:rPr>
        <w:t xml:space="preserve">, at </w:t>
      </w:r>
      <w:r w:rsidRPr="0028108F">
        <w:rPr>
          <w:rFonts w:ascii="Arial" w:hAnsi="Arial" w:cs="Arial"/>
          <w:lang w:val="en-GB"/>
        </w:rPr>
        <w:t>paragraphs 2.89 to 2.102.</w:t>
      </w:r>
    </w:p>
  </w:footnote>
  <w:footnote w:id="14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paragraph 4.32.</w:t>
      </w:r>
    </w:p>
  </w:footnote>
  <w:footnote w:id="14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paragraphs 2.103 and 4.33.</w:t>
      </w:r>
    </w:p>
  </w:footnote>
  <w:footnote w:id="14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paragraph 2.105.</w:t>
      </w:r>
    </w:p>
  </w:footnote>
  <w:footnote w:id="14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Home Office, above,</w:t>
      </w:r>
      <w:r w:rsidRPr="00181CF2">
        <w:rPr>
          <w:rFonts w:ascii="Arial" w:hAnsi="Arial" w:cs="Arial"/>
          <w:lang w:val="en-GB"/>
        </w:rPr>
        <w:t xml:space="preserve"> at </w:t>
      </w:r>
      <w:r w:rsidRPr="0028108F">
        <w:rPr>
          <w:rFonts w:ascii="Arial" w:hAnsi="Arial" w:cs="Arial"/>
          <w:lang w:val="en-GB"/>
        </w:rPr>
        <w:t>paragraph 4.35.</w:t>
      </w:r>
    </w:p>
  </w:footnote>
  <w:footnote w:id="14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Catherine Fairbairn, Home Affairs Section, House of Commons Library, “The Gender Recognition Bill</w:t>
      </w:r>
      <w:r w:rsidRPr="00181CF2">
        <w:rPr>
          <w:rFonts w:ascii="Arial" w:hAnsi="Arial" w:cs="Arial"/>
          <w:lang w:val="en-GB"/>
        </w:rPr>
        <w:t>”</w:t>
      </w:r>
      <w:r w:rsidRPr="00C57CE1">
        <w:rPr>
          <w:rFonts w:ascii="Arial" w:hAnsi="Arial" w:cs="Arial"/>
          <w:i/>
          <w:lang w:val="en-GB"/>
        </w:rPr>
        <w:t xml:space="preserve"> [HL]</w:t>
      </w:r>
      <w:r w:rsidRPr="0028108F">
        <w:rPr>
          <w:rFonts w:ascii="Arial" w:hAnsi="Arial" w:cs="Arial"/>
          <w:lang w:val="en-GB"/>
        </w:rPr>
        <w:t xml:space="preserve"> </w:t>
      </w:r>
      <w:r w:rsidRPr="0028108F">
        <w:rPr>
          <w:rFonts w:ascii="Arial" w:hAnsi="Arial" w:cs="Arial"/>
          <w:i/>
          <w:lang w:val="en-GB"/>
        </w:rPr>
        <w:t>- Bill 56 of 2003-04</w:t>
      </w:r>
      <w:r w:rsidRPr="0028108F">
        <w:rPr>
          <w:rFonts w:ascii="Arial" w:hAnsi="Arial" w:cs="Arial"/>
          <w:lang w:val="en-GB"/>
        </w:rPr>
        <w:t xml:space="preserve"> (Research Paper 04/15, 17 February 2004), at 11.</w:t>
      </w:r>
    </w:p>
  </w:footnote>
  <w:footnote w:id="145">
    <w:p w:rsidR="0022178B" w:rsidRPr="008813DE" w:rsidRDefault="0022178B" w:rsidP="008813DE">
      <w:pPr>
        <w:pStyle w:val="FootnoteText"/>
        <w:tabs>
          <w:tab w:val="left" w:pos="709"/>
        </w:tabs>
        <w:rPr>
          <w:lang w:val="en-US"/>
        </w:rPr>
      </w:pPr>
      <w:r w:rsidRPr="008813DE">
        <w:rPr>
          <w:rStyle w:val="FootnoteReference"/>
          <w:rFonts w:ascii="Arial" w:hAnsi="Arial" w:cs="Arial"/>
          <w:vertAlign w:val="baseline"/>
          <w:lang w:val="en-GB"/>
        </w:rPr>
        <w:footnoteRef/>
      </w:r>
      <w:r w:rsidRPr="003B666D">
        <w:t xml:space="preserve"> </w:t>
      </w:r>
      <w:r>
        <w:rPr>
          <w:lang w:val="en-US"/>
        </w:rPr>
        <w:tab/>
      </w:r>
      <w:r w:rsidRPr="0028108F">
        <w:rPr>
          <w:rFonts w:ascii="Arial" w:hAnsi="Arial" w:cs="Arial"/>
          <w:lang w:val="en-GB"/>
        </w:rPr>
        <w:t xml:space="preserve">(2002) 35 </w:t>
      </w:r>
      <w:r w:rsidRPr="00F86CD8">
        <w:rPr>
          <w:rFonts w:ascii="Arial" w:hAnsi="Arial" w:cs="Arial"/>
          <w:lang w:val="en-GB"/>
        </w:rPr>
        <w:t>EHRR</w:t>
      </w:r>
      <w:r w:rsidRPr="0028108F">
        <w:rPr>
          <w:rFonts w:ascii="Arial" w:hAnsi="Arial" w:cs="Arial"/>
          <w:lang w:val="en-GB"/>
        </w:rPr>
        <w:t xml:space="preserve"> 18</w:t>
      </w:r>
      <w:r>
        <w:rPr>
          <w:rFonts w:ascii="Arial" w:hAnsi="Arial" w:cs="Arial"/>
          <w:lang w:val="en-GB"/>
        </w:rPr>
        <w:t>.</w:t>
      </w:r>
    </w:p>
  </w:footnote>
  <w:footnote w:id="14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(2002) 36 EHRR 53.</w:t>
      </w:r>
    </w:p>
  </w:footnote>
  <w:footnote w:id="14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Catherine Fairbairn, above, at 11.</w:t>
      </w:r>
    </w:p>
  </w:footnote>
  <w:footnote w:id="148">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Ie, when defining a person</w:t>
      </w:r>
      <w:r>
        <w:rPr>
          <w:rFonts w:ascii="Arial" w:hAnsi="Arial" w:cs="Arial"/>
          <w:lang w:val="en-GB"/>
        </w:rPr>
        <w:t>’</w:t>
      </w:r>
      <w:r w:rsidRPr="0028108F">
        <w:rPr>
          <w:rFonts w:ascii="Arial" w:hAnsi="Arial" w:cs="Arial"/>
          <w:lang w:val="en-GB"/>
        </w:rPr>
        <w:t xml:space="preserve">s gender, the courts in the UK at that time followed the three criteria laid down by Ormrod J in </w:t>
      </w:r>
      <w:r w:rsidRPr="0028108F">
        <w:rPr>
          <w:rFonts w:ascii="Arial" w:hAnsi="Arial" w:cs="Arial"/>
          <w:i/>
          <w:lang w:val="en-GB"/>
        </w:rPr>
        <w:t>Corbett v Corbett (otherwise Ashley)</w:t>
      </w:r>
      <w:r w:rsidRPr="0028108F">
        <w:rPr>
          <w:rFonts w:ascii="Arial" w:hAnsi="Arial" w:cs="Arial"/>
          <w:lang w:val="en-GB"/>
        </w:rPr>
        <w:t xml:space="preserve"> [1971] P 83, including for the purposes of marriage, social security, employment and pension.  Thus, despite gender reassignment surgery, a transsexual person continued to be regarded under UK law as being of the sex recorded in his or her birth certificate.  See discussion of </w:t>
      </w:r>
      <w:r w:rsidRPr="0028108F">
        <w:rPr>
          <w:rFonts w:ascii="Arial" w:hAnsi="Arial" w:cs="Arial"/>
          <w:i/>
          <w:lang w:val="en-GB"/>
        </w:rPr>
        <w:t>Goodwin</w:t>
      </w:r>
      <w:r w:rsidRPr="0028108F">
        <w:rPr>
          <w:rFonts w:ascii="Arial" w:hAnsi="Arial" w:cs="Arial"/>
          <w:lang w:val="en-GB"/>
        </w:rPr>
        <w:t xml:space="preserve"> and other related cases in Patrick Jiang, “Legislating for Transgender People: a Comparative Study of the Change of Legal Gender in Hong Kong, Singapore, Japan and the United Kingdom</w:t>
      </w:r>
      <w:r w:rsidRPr="00181CF2">
        <w:rPr>
          <w:rFonts w:ascii="Arial" w:hAnsi="Arial" w:cs="Arial"/>
          <w:lang w:val="en-GB"/>
        </w:rPr>
        <w:t>”</w:t>
      </w:r>
      <w:r w:rsidRPr="00C57CE1">
        <w:rPr>
          <w:rFonts w:ascii="Arial" w:hAnsi="Arial" w:cs="Arial"/>
          <w:lang w:val="en-GB"/>
        </w:rPr>
        <w:t xml:space="preserve"> (2013) 7 </w:t>
      </w:r>
      <w:r w:rsidRPr="008813DE">
        <w:rPr>
          <w:rFonts w:ascii="Arial" w:hAnsi="Arial" w:cs="Arial"/>
          <w:lang w:val="en-GB"/>
        </w:rPr>
        <w:t>HKJLS</w:t>
      </w:r>
      <w:r w:rsidRPr="0028108F">
        <w:rPr>
          <w:rFonts w:ascii="Arial" w:hAnsi="Arial" w:cs="Arial"/>
          <w:lang w:val="en-GB"/>
        </w:rPr>
        <w:t xml:space="preserve"> 31, at 35 to 38.</w:t>
      </w:r>
    </w:p>
  </w:footnote>
  <w:footnote w:id="149">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Goodwin, </w:t>
      </w:r>
      <w:r w:rsidRPr="0028108F">
        <w:rPr>
          <w:rFonts w:ascii="Arial" w:hAnsi="Arial" w:cs="Arial"/>
          <w:lang w:val="en-GB"/>
        </w:rPr>
        <w:t>above</w:t>
      </w:r>
      <w:r w:rsidRPr="00181CF2">
        <w:rPr>
          <w:rFonts w:ascii="Arial" w:hAnsi="Arial" w:cs="Arial"/>
          <w:lang w:val="en-GB"/>
        </w:rPr>
        <w:t xml:space="preserve">, at </w:t>
      </w:r>
      <w:r w:rsidRPr="0028108F">
        <w:rPr>
          <w:rFonts w:ascii="Arial" w:hAnsi="Arial" w:cs="Arial"/>
          <w:lang w:val="en-GB"/>
        </w:rPr>
        <w:t>paragraph 103.</w:t>
      </w:r>
    </w:p>
  </w:footnote>
  <w:footnote w:id="15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Goodwin, </w:t>
      </w:r>
      <w:r w:rsidRPr="0028108F">
        <w:rPr>
          <w:rFonts w:ascii="Arial" w:hAnsi="Arial" w:cs="Arial"/>
          <w:lang w:val="en-GB"/>
        </w:rPr>
        <w:t>above</w:t>
      </w:r>
      <w:r w:rsidRPr="00181CF2">
        <w:rPr>
          <w:rFonts w:ascii="Arial" w:hAnsi="Arial" w:cs="Arial"/>
          <w:lang w:val="en-GB"/>
        </w:rPr>
        <w:t xml:space="preserve">, at </w:t>
      </w:r>
      <w:r w:rsidRPr="0028108F">
        <w:rPr>
          <w:rFonts w:ascii="Arial" w:hAnsi="Arial" w:cs="Arial"/>
          <w:lang w:val="en-GB"/>
        </w:rPr>
        <w:t>paragraph 103.</w:t>
      </w:r>
    </w:p>
  </w:footnote>
  <w:footnote w:id="151">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Catherine Fairbairn, above</w:t>
      </w:r>
      <w:r w:rsidRPr="00181CF2">
        <w:rPr>
          <w:rFonts w:ascii="Arial" w:hAnsi="Arial" w:cs="Arial"/>
          <w:lang w:val="en-GB"/>
        </w:rPr>
        <w:t>, at 14.</w:t>
      </w:r>
    </w:p>
  </w:footnote>
  <w:footnote w:id="152">
    <w:p w:rsidR="0022178B" w:rsidRPr="00181CF2"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Catherine Fairbairn, above</w:t>
      </w:r>
      <w:r w:rsidRPr="00181CF2">
        <w:rPr>
          <w:rFonts w:ascii="Arial" w:hAnsi="Arial" w:cs="Arial"/>
          <w:lang w:val="en-GB"/>
        </w:rPr>
        <w:t>, at 13.</w:t>
      </w:r>
    </w:p>
  </w:footnote>
  <w:footnote w:id="153">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Bellinger v Bellinger</w:t>
      </w:r>
      <w:r w:rsidRPr="0028108F">
        <w:rPr>
          <w:rFonts w:ascii="Arial" w:hAnsi="Arial" w:cs="Arial"/>
          <w:lang w:val="en-GB"/>
        </w:rPr>
        <w:t xml:space="preserve"> [2003] 2 AC 467 (HL).</w:t>
      </w:r>
    </w:p>
  </w:footnote>
  <w:footnote w:id="15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Bellinger</w:t>
      </w:r>
      <w:r w:rsidRPr="0028108F">
        <w:rPr>
          <w:rFonts w:ascii="Arial" w:hAnsi="Arial" w:cs="Arial"/>
          <w:lang w:val="en-GB"/>
        </w:rPr>
        <w:t>, above, at 36.</w:t>
      </w:r>
    </w:p>
  </w:footnote>
  <w:footnote w:id="15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Bellinger</w:t>
      </w:r>
      <w:r w:rsidRPr="0028108F">
        <w:rPr>
          <w:rFonts w:ascii="Arial" w:hAnsi="Arial" w:cs="Arial"/>
          <w:lang w:val="en-GB"/>
        </w:rPr>
        <w:t>, above, at 37.</w:t>
      </w:r>
    </w:p>
  </w:footnote>
  <w:footnote w:id="15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Bellinger</w:t>
      </w:r>
      <w:r w:rsidRPr="0028108F">
        <w:rPr>
          <w:rFonts w:ascii="Arial" w:hAnsi="Arial" w:cs="Arial"/>
          <w:lang w:val="en-GB"/>
        </w:rPr>
        <w:t>, above, at 37.</w:t>
      </w:r>
    </w:p>
  </w:footnote>
  <w:footnote w:id="157">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Which made various recommendations on a number of issues in its report. See Joint Committee on Human Rights, “Draft Gender Recognition Bill</w:t>
      </w:r>
      <w:r w:rsidRPr="00181CF2">
        <w:rPr>
          <w:rFonts w:ascii="Arial" w:hAnsi="Arial" w:cs="Arial"/>
          <w:lang w:val="en-GB"/>
        </w:rPr>
        <w:t>”</w:t>
      </w:r>
      <w:r w:rsidRPr="00C57CE1">
        <w:rPr>
          <w:rFonts w:ascii="Arial" w:hAnsi="Arial" w:cs="Arial"/>
          <w:lang w:val="en-GB"/>
        </w:rPr>
        <w:t xml:space="preserve">, 20 November 2003, </w:t>
      </w:r>
      <w:r w:rsidRPr="0028108F">
        <w:rPr>
          <w:rFonts w:ascii="Arial" w:hAnsi="Arial" w:cs="Arial"/>
          <w:i/>
          <w:lang w:val="en-GB"/>
        </w:rPr>
        <w:t>HL</w:t>
      </w:r>
      <w:r w:rsidRPr="00181CF2">
        <w:rPr>
          <w:rFonts w:ascii="Arial" w:hAnsi="Arial" w:cs="Arial"/>
          <w:lang w:val="en-GB"/>
        </w:rPr>
        <w:t xml:space="preserve"> </w:t>
      </w:r>
      <w:r w:rsidRPr="0028108F">
        <w:rPr>
          <w:rFonts w:ascii="Arial" w:hAnsi="Arial" w:cs="Arial"/>
          <w:i/>
          <w:lang w:val="en-GB"/>
        </w:rPr>
        <w:t>Paper</w:t>
      </w:r>
      <w:r w:rsidRPr="00181CF2">
        <w:rPr>
          <w:rFonts w:ascii="Arial" w:hAnsi="Arial" w:cs="Arial"/>
          <w:lang w:val="en-GB"/>
        </w:rPr>
        <w:t xml:space="preserve"> 188-I &amp; II, </w:t>
      </w:r>
      <w:r w:rsidRPr="0028108F">
        <w:rPr>
          <w:rFonts w:ascii="Arial" w:hAnsi="Arial" w:cs="Arial"/>
          <w:i/>
          <w:lang w:val="en-GB"/>
        </w:rPr>
        <w:t>HC</w:t>
      </w:r>
      <w:r w:rsidRPr="00181CF2">
        <w:rPr>
          <w:rFonts w:ascii="Arial" w:hAnsi="Arial" w:cs="Arial"/>
          <w:lang w:val="en-GB"/>
        </w:rPr>
        <w:t xml:space="preserve"> 1276-I &amp; II: </w:t>
      </w:r>
    </w:p>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tab/>
      </w:r>
      <w:hyperlink r:id="rId16" w:history="1">
        <w:r w:rsidRPr="0028108F">
          <w:rPr>
            <w:rStyle w:val="Hyperlink"/>
            <w:rFonts w:ascii="Arial" w:hAnsi="Arial" w:cs="Arial"/>
            <w:lang w:val="en-GB"/>
          </w:rPr>
          <w:t>http://www.publications.parliament.uk/pa/jt200203/jtselect/jtrights/188/188.pdf</w:t>
        </w:r>
      </w:hyperlink>
      <w:r w:rsidRPr="0028108F">
        <w:rPr>
          <w:rFonts w:ascii="Arial" w:hAnsi="Arial" w:cs="Arial"/>
          <w:lang w:val="en-GB"/>
        </w:rPr>
        <w:t>.</w:t>
      </w:r>
    </w:p>
  </w:footnote>
  <w:footnote w:id="158">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section 28 of UK GRA.</w:t>
      </w:r>
    </w:p>
  </w:footnote>
  <w:footnote w:id="15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Schedule 1: Gender Recognition Panels; Schedule 2: Interim certificates: marriage; Schedule 3: Registration; Schedule 4: Effect on marriage; Schedule 5: Benefits and pensions; and Schedule 6: Sex discrimination.</w:t>
      </w:r>
      <w:r w:rsidRPr="0028108F">
        <w:rPr>
          <w:rFonts w:ascii="Arial" w:hAnsi="Arial" w:cs="Arial"/>
          <w:lang w:val="en-GB"/>
        </w:rPr>
        <w:tab/>
      </w:r>
    </w:p>
  </w:footnote>
  <w:footnote w:id="160">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UK experience indicates that treatment to modify sexual characteristics is rarely provided before a young person is 16 years of age.  Also, because of the apparent concerns of medical practitioners in providing irreversible treatments to adolescents, what is provided is generally hormonal blockers to prevent pubertal changes in the old gender role.  See Stephen Whittle, “The Gender Recognition Act 2004: Its Impact on Transsexual People’s Families</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Childright</w:t>
      </w:r>
      <w:r w:rsidRPr="00181CF2">
        <w:rPr>
          <w:rFonts w:ascii="Arial" w:hAnsi="Arial" w:cs="Arial"/>
          <w:lang w:val="en-GB"/>
        </w:rPr>
        <w:t>, 210, October 2004</w:t>
      </w:r>
      <w:r w:rsidRPr="00C57CE1">
        <w:rPr>
          <w:rFonts w:ascii="Arial" w:hAnsi="Arial" w:cs="Arial"/>
          <w:lang w:val="en-GB"/>
        </w:rPr>
        <w:t>, at 10 to 11.</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r w:rsidRPr="0028108F">
        <w:rPr>
          <w:rFonts w:ascii="Arial" w:hAnsi="Arial" w:cs="Arial"/>
          <w:color w:val="000000"/>
          <w:lang w:val="en-GB"/>
        </w:rPr>
        <w:t>S</w:t>
      </w:r>
      <w:r w:rsidRPr="0028108F">
        <w:rPr>
          <w:rFonts w:ascii="Arial" w:hAnsi="Arial" w:cs="Arial"/>
          <w:lang w:val="en-GB"/>
        </w:rPr>
        <w:t>ince May 2012, the Tavistock Portman Childhood and Adolescent Gender Identity Service Clinic in London has been providing pubertal postponement treatment for carefully screened adolescents and there was, as of October 2013, a provisional protocol for gender reassignment treatment.  Further, the Family Law Reform Act 1969, section 8 allows a 16 or 17 year-old trans person to consent, as if an adult, to surgical, medical and dental treatment which otherwise would constitute a trespass to his person, and parental consent is not needed in these circumstances.  This includes any diagnostic procedure or any ancillary treatment, such as administration of an anaesthetic if needed to carry out the treatment.  See Stephen Whittle, “UK Transgender Law Factsheet 03: The Gender Variant Child’s Right to Attend School: A Guide to UK Law for the Transgender Community, Parents &amp; Schools</w:t>
      </w:r>
      <w:r w:rsidRPr="00181CF2">
        <w:rPr>
          <w:rFonts w:ascii="Arial" w:hAnsi="Arial" w:cs="Arial"/>
          <w:lang w:val="en-GB"/>
        </w:rPr>
        <w:t>”</w:t>
      </w:r>
      <w:r w:rsidRPr="00C57CE1">
        <w:rPr>
          <w:rFonts w:ascii="Arial" w:hAnsi="Arial" w:cs="Arial"/>
          <w:lang w:val="en-GB"/>
        </w:rPr>
        <w:t xml:space="preserve">, published </w:t>
      </w:r>
      <w:r w:rsidRPr="0028108F">
        <w:rPr>
          <w:rFonts w:ascii="Arial" w:hAnsi="Arial" w:cs="Arial"/>
          <w:lang w:val="en-GB"/>
        </w:rPr>
        <w:t xml:space="preserve">by </w:t>
      </w:r>
      <w:r w:rsidRPr="0028108F">
        <w:rPr>
          <w:rFonts w:ascii="Arial" w:hAnsi="Arial" w:cs="Arial"/>
          <w:i/>
          <w:lang w:val="en-GB"/>
        </w:rPr>
        <w:t>Press for Change</w:t>
      </w:r>
      <w:r w:rsidRPr="00181CF2">
        <w:rPr>
          <w:rFonts w:ascii="Arial" w:hAnsi="Arial" w:cs="Arial"/>
          <w:lang w:val="en-GB"/>
        </w:rPr>
        <w:t xml:space="preserve">, May 2013, at </w:t>
      </w:r>
      <w:r w:rsidRPr="0028108F">
        <w:rPr>
          <w:rFonts w:ascii="Arial" w:hAnsi="Arial" w:cs="Arial"/>
          <w:lang w:val="en-GB"/>
        </w:rPr>
        <w:t>paragraphs 2.2.2 to 2.4.2.</w:t>
      </w:r>
    </w:p>
  </w:footnote>
  <w:footnote w:id="161">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example, a person who is a citizen of Spain, and has had their new gender recognised for all legal purposes in Spain (one of the approved countries under sections 1(1)(b) and 2 of the GRA), can apply for a GRC under section 1(1)(b) of the GRA.  Further, a trans person may be living inside or outside the UK at the time of the application.  See more examples in Press for Change’s website available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7" w:history="1">
        <w:r w:rsidRPr="0028108F">
          <w:rPr>
            <w:rStyle w:val="Hyperlink"/>
            <w:rFonts w:ascii="Arial" w:hAnsi="Arial" w:cs="Arial"/>
            <w:lang w:val="en-GB"/>
          </w:rPr>
          <w:t>http://www.pfc.org.uk/GRC_Applications.html</w:t>
        </w:r>
      </w:hyperlink>
      <w:r w:rsidRPr="0028108F">
        <w:rPr>
          <w:rFonts w:ascii="Arial" w:hAnsi="Arial" w:cs="Arial"/>
          <w:lang w:val="en-GB"/>
        </w:rPr>
        <w:t>.</w:t>
      </w:r>
    </w:p>
  </w:footnote>
  <w:footnote w:id="16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Alternative grounds for granting applications were introduced under the Marriage (Same Sex Couples) Act 2013 which commenced on 10 December 2014.  See Schedule 5, paragraphs 17 to 20, which allow a full GRC to be granted to applicants to a protected marriage or a protected civil partnership and those who have been living in the acquired gender for six years before the commencement of the 2013 Act.  Similar provisions are provided in Schedule 2 of the Marriage and Civil Partnership (Scotland) Act 2014 which came into force on 16 December 2014.</w:t>
      </w:r>
    </w:p>
  </w:footnote>
  <w:footnote w:id="16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 requirement of annulling a marriage before obtaining a full GRC has been heavily criticised as imposing on </w:t>
      </w:r>
      <w:r w:rsidRPr="0028108F">
        <w:rPr>
          <w:rFonts w:ascii="Arial" w:hAnsi="Arial" w:cs="Arial"/>
          <w:color w:val="000000"/>
          <w:lang w:val="en-GB"/>
        </w:rPr>
        <w:t xml:space="preserve">a transsexual the burden of choosing between either maintaining his or her existing marriage or gender recognition. </w:t>
      </w:r>
      <w:r w:rsidRPr="0028108F">
        <w:rPr>
          <w:rFonts w:ascii="Arial" w:hAnsi="Arial" w:cs="Arial"/>
          <w:lang w:val="en-GB"/>
        </w:rPr>
        <w:t xml:space="preserve"> The Marriage (Same Sex Couples) Act 2013 and the Marriage and Civil Partnership (Scotland) Act 2014 have changed this situation for those married under the law of England and Wales and Scotland by allowing couples to convert their civil partnerships into marriage, and vice versa, and will enable some married people to be granted gender recognition while remaining married (if the marriage is a protected marriage and the applicant’s spouse has issued a statutory declaration of consent) or remain in a civil partnership (if it is a protected civil partnership and the GRP has decided to issue the other party to the civil partnership with a full GRC).   </w:t>
      </w:r>
    </w:p>
  </w:footnote>
  <w:footnote w:id="16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Appeals may be made on a point of law to the High Court of England and Wales, or Court of Session in Scotland, and subsection (5) provides the Secretary of State with the right to refer a case to the High Court or Court of Session if he considers that the grant of an application was secured by fraud (subsection (1)).  Subsection (4) stipulates that if an application under section 1(1) is rejected the applicant may not make a further application until six months have elapsed. </w:t>
      </w:r>
    </w:p>
  </w:footnote>
  <w:footnote w:id="16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This is because in England and Wales and Northern Ireland, non-consummation of marriage is a voidable ground under section 12(a) of the Matrimonial Causes Act 1973. Section 12 (a) of the Matrimonial Causes Act 1973 provides that a marriage celebrated after 31 July 1971 shall be voidable on the ground: </w:t>
      </w:r>
      <w:r w:rsidRPr="0028108F">
        <w:rPr>
          <w:rFonts w:ascii="Arial" w:hAnsi="Arial" w:cs="Arial"/>
          <w:i/>
          <w:lang w:val="en-GB"/>
        </w:rPr>
        <w:t>“(a) that the marriage has not been consummated owing to the incapacity of either party to consummate it.”</w:t>
      </w:r>
      <w:r w:rsidRPr="0028108F">
        <w:rPr>
          <w:rFonts w:ascii="Arial" w:hAnsi="Arial" w:cs="Arial"/>
          <w:lang w:val="en-GB"/>
        </w:rPr>
        <w:t xml:space="preserve"> This appears to be particularly relevant to a transsexual person. As the UK</w:t>
      </w:r>
      <w:r>
        <w:rPr>
          <w:rFonts w:ascii="Arial" w:hAnsi="Arial" w:cs="Arial"/>
          <w:lang w:val="en-GB"/>
        </w:rPr>
        <w:t xml:space="preserve"> </w:t>
      </w:r>
      <w:r w:rsidRPr="0028108F">
        <w:rPr>
          <w:rFonts w:ascii="Arial" w:hAnsi="Arial" w:cs="Arial"/>
          <w:lang w:val="en-GB"/>
        </w:rPr>
        <w:t xml:space="preserve">GRA does not mention this point, the position in </w:t>
      </w:r>
      <w:r w:rsidRPr="0028108F">
        <w:rPr>
          <w:rFonts w:ascii="Arial" w:hAnsi="Arial" w:cs="Arial"/>
          <w:i/>
          <w:iCs/>
          <w:lang w:val="en-GB"/>
        </w:rPr>
        <w:t>Corbett v Corbett (otherwise Ashley)</w:t>
      </w:r>
      <w:r w:rsidRPr="0028108F">
        <w:rPr>
          <w:rFonts w:ascii="Arial" w:hAnsi="Arial" w:cs="Arial"/>
          <w:iCs/>
          <w:lang w:val="en-GB"/>
        </w:rPr>
        <w:t xml:space="preserve"> [1971] P 83</w:t>
      </w:r>
      <w:r w:rsidRPr="0028108F">
        <w:rPr>
          <w:rFonts w:ascii="Arial" w:hAnsi="Arial" w:cs="Arial"/>
          <w:lang w:val="en-GB"/>
        </w:rPr>
        <w:t xml:space="preserve"> remains unchanged by legislation, ie, that intercourse using an artificial cavity does not amount to consummation. </w:t>
      </w:r>
    </w:p>
  </w:footnote>
  <w:footnote w:id="166">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As to what stands for </w:t>
      </w:r>
      <w:r w:rsidRPr="0028108F">
        <w:rPr>
          <w:rFonts w:ascii="Arial" w:hAnsi="Arial" w:cs="Arial"/>
          <w:i/>
          <w:lang w:val="en-GB"/>
        </w:rPr>
        <w:t>“acquired gender”</w:t>
      </w:r>
      <w:r w:rsidRPr="00181CF2">
        <w:rPr>
          <w:rFonts w:ascii="Arial" w:hAnsi="Arial" w:cs="Arial"/>
          <w:lang w:val="en-GB"/>
        </w:rPr>
        <w:t>, see paragraph 3.51.  One of the implications under this provision is that a child’s birth registration need not be altered to reflect the fact that, for example, his or her mother w</w:t>
      </w:r>
      <w:r w:rsidRPr="00C57CE1">
        <w:rPr>
          <w:rFonts w:ascii="Arial" w:hAnsi="Arial" w:cs="Arial"/>
          <w:lang w:val="en-GB"/>
        </w:rPr>
        <w:t xml:space="preserve">ho was a </w:t>
      </w:r>
      <w:r w:rsidRPr="0028108F">
        <w:rPr>
          <w:rFonts w:ascii="Arial" w:hAnsi="Arial" w:cs="Arial"/>
          <w:i/>
          <w:lang w:val="en-GB"/>
        </w:rPr>
        <w:t>“father”</w:t>
      </w:r>
      <w:r w:rsidRPr="0028108F">
        <w:rPr>
          <w:rFonts w:ascii="Arial" w:hAnsi="Arial" w:cs="Arial"/>
          <w:lang w:val="en-GB"/>
        </w:rPr>
        <w:t>, is now of female gender.  It has been observed that this should be regarded as the correct approach, on the ground that a person</w:t>
      </w:r>
      <w:r>
        <w:rPr>
          <w:rFonts w:ascii="Arial" w:hAnsi="Arial" w:cs="Arial"/>
          <w:lang w:val="en-GB"/>
        </w:rPr>
        <w:t>’</w:t>
      </w:r>
      <w:r w:rsidRPr="0028108F">
        <w:rPr>
          <w:rFonts w:ascii="Arial" w:hAnsi="Arial" w:cs="Arial"/>
          <w:lang w:val="en-GB"/>
        </w:rPr>
        <w:t>s change of gender should not affect a child</w:t>
      </w:r>
      <w:r>
        <w:rPr>
          <w:rFonts w:ascii="Arial" w:hAnsi="Arial" w:cs="Arial"/>
          <w:lang w:val="en-GB"/>
        </w:rPr>
        <w:t>’</w:t>
      </w:r>
      <w:r w:rsidRPr="0028108F">
        <w:rPr>
          <w:rFonts w:ascii="Arial" w:hAnsi="Arial" w:cs="Arial"/>
          <w:lang w:val="en-GB"/>
        </w:rPr>
        <w:t>s need for the care of a parent (although the parties may need to re-adjust in light of a parent</w:t>
      </w:r>
      <w:r>
        <w:rPr>
          <w:rFonts w:ascii="Arial" w:hAnsi="Arial" w:cs="Arial"/>
          <w:lang w:val="en-GB"/>
        </w:rPr>
        <w:t>’</w:t>
      </w:r>
      <w:r w:rsidRPr="0028108F">
        <w:rPr>
          <w:rFonts w:ascii="Arial" w:hAnsi="Arial" w:cs="Arial"/>
          <w:lang w:val="en-GB"/>
        </w:rPr>
        <w:t>s gender reassignment surgery): see Athena Liu, “Gender Recognition: Two Legal Implications for Marriage</w:t>
      </w:r>
      <w:r w:rsidRPr="00181CF2">
        <w:rPr>
          <w:rFonts w:ascii="Arial" w:hAnsi="Arial" w:cs="Arial"/>
          <w:lang w:val="en-GB"/>
        </w:rPr>
        <w:t>”</w:t>
      </w:r>
      <w:r w:rsidRPr="00C57CE1">
        <w:rPr>
          <w:rFonts w:ascii="Arial" w:hAnsi="Arial" w:cs="Arial"/>
          <w:lang w:val="en-GB"/>
        </w:rPr>
        <w:t xml:space="preserve"> (201</w:t>
      </w:r>
      <w:r w:rsidRPr="0028108F">
        <w:rPr>
          <w:rFonts w:ascii="Arial" w:hAnsi="Arial" w:cs="Arial"/>
          <w:lang w:val="en-GB"/>
        </w:rPr>
        <w:t>3)</w:t>
      </w:r>
      <w:r>
        <w:rPr>
          <w:rFonts w:ascii="Arial" w:hAnsi="Arial" w:cs="Arial"/>
          <w:lang w:val="en-GB"/>
        </w:rPr>
        <w:t xml:space="preserve"> 43</w:t>
      </w:r>
      <w:r w:rsidRPr="0028108F">
        <w:rPr>
          <w:rFonts w:ascii="Arial" w:hAnsi="Arial" w:cs="Arial"/>
          <w:lang w:val="en-GB"/>
        </w:rPr>
        <w:t xml:space="preserve"> </w:t>
      </w:r>
      <w:r w:rsidRPr="00F86CD8">
        <w:rPr>
          <w:rFonts w:ascii="Arial" w:hAnsi="Arial" w:cs="Arial"/>
          <w:lang w:val="en-GB"/>
        </w:rPr>
        <w:t>HKLJ</w:t>
      </w:r>
      <w:r w:rsidRPr="00181CF2">
        <w:rPr>
          <w:rFonts w:ascii="Arial" w:hAnsi="Arial" w:cs="Arial"/>
          <w:lang w:val="en-GB"/>
        </w:rPr>
        <w:t xml:space="preserve"> 497, at footnote 11.</w:t>
      </w:r>
    </w:p>
  </w:footnote>
  <w:footnote w:id="167">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As to what stands for “standard application”, see paragraph 3.60.</w:t>
      </w:r>
    </w:p>
  </w:footnote>
  <w:footnote w:id="168">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Transsexualism or </w:t>
      </w:r>
      <w:r w:rsidRPr="0028108F">
        <w:rPr>
          <w:rFonts w:ascii="Arial" w:hAnsi="Arial" w:cs="Arial"/>
          <w:i/>
          <w:lang w:val="en-GB"/>
        </w:rPr>
        <w:t>“gender dysphoria”</w:t>
      </w:r>
      <w:r w:rsidRPr="00181CF2">
        <w:rPr>
          <w:rFonts w:ascii="Arial" w:hAnsi="Arial" w:cs="Arial"/>
          <w:lang w:val="en-GB"/>
        </w:rPr>
        <w:t xml:space="preserve"> is a widely recognised medical condition that the UK Government’s Chief Medical Officer has confirmed may properly be treated under the National Health Service as well as privately.  See </w:t>
      </w:r>
      <w:r w:rsidRPr="00C57CE1">
        <w:rPr>
          <w:rFonts w:ascii="Arial" w:hAnsi="Arial" w:cs="Arial"/>
          <w:i/>
          <w:lang w:val="en-GB"/>
        </w:rPr>
        <w:t>“</w:t>
      </w:r>
      <w:r w:rsidRPr="0028108F">
        <w:rPr>
          <w:rFonts w:ascii="Arial" w:hAnsi="Arial" w:cs="Arial"/>
          <w:lang w:val="en-GB"/>
        </w:rPr>
        <w:t>Government Policy concerning Transsexual People</w:t>
      </w:r>
      <w:r w:rsidRPr="00181CF2">
        <w:rPr>
          <w:rFonts w:ascii="Arial" w:hAnsi="Arial" w:cs="Arial"/>
          <w:i/>
          <w:lang w:val="en-GB"/>
        </w:rPr>
        <w:t>”</w:t>
      </w:r>
      <w:r w:rsidRPr="00C57CE1">
        <w:rPr>
          <w:rFonts w:ascii="Arial" w:hAnsi="Arial" w:cs="Arial"/>
          <w:lang w:val="en-GB"/>
        </w:rPr>
        <w:t>, Department for Constitutional Affairs (UK) website (Archived Content)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8" w:history="1">
        <w:r w:rsidRPr="0028108F">
          <w:rPr>
            <w:rStyle w:val="Hyperlink"/>
            <w:rFonts w:ascii="Arial" w:hAnsi="Arial" w:cs="Arial"/>
            <w:lang w:val="en-GB"/>
          </w:rPr>
          <w:t>http://webarchive.nationalarchives.gov.uk/+/http:/www.dca.gov.uk/constitution/transsex/policy.htm</w:t>
        </w:r>
      </w:hyperlink>
      <w:r w:rsidRPr="0028108F">
        <w:rPr>
          <w:rStyle w:val="Hyperlink"/>
          <w:rFonts w:ascii="Arial" w:hAnsi="Arial" w:cs="Arial"/>
          <w:color w:val="000000"/>
          <w:u w:val="none"/>
          <w:lang w:val="en-GB"/>
        </w:rPr>
        <w:t xml:space="preserve">.  </w:t>
      </w:r>
      <w:r w:rsidRPr="0028108F">
        <w:rPr>
          <w:rFonts w:ascii="Arial" w:hAnsi="Arial" w:cs="Arial"/>
          <w:lang w:val="en-GB"/>
        </w:rPr>
        <w:t xml:space="preserve">For a more detailed discussion of </w:t>
      </w:r>
      <w:r w:rsidRPr="0028108F">
        <w:rPr>
          <w:rFonts w:ascii="Arial" w:hAnsi="Arial" w:cs="Arial"/>
          <w:i/>
          <w:lang w:val="en-GB"/>
        </w:rPr>
        <w:t>"gender dysphoria"</w:t>
      </w:r>
      <w:r w:rsidRPr="0028108F">
        <w:rPr>
          <w:rFonts w:ascii="Arial" w:hAnsi="Arial" w:cs="Arial"/>
          <w:lang w:val="en-GB"/>
        </w:rPr>
        <w:t>, see Chapter 1 of this paper.</w:t>
      </w:r>
    </w:p>
  </w:footnote>
  <w:footnote w:id="16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 medical practitioner must also hold a licence to practice.  See HM Courts &amp; Tribunals Service, </w:t>
      </w:r>
      <w:r w:rsidRPr="0028108F">
        <w:rPr>
          <w:rFonts w:ascii="Arial" w:hAnsi="Arial" w:cs="Arial"/>
          <w:i/>
          <w:lang w:val="en-GB"/>
        </w:rPr>
        <w:t>Guidelines for registered medical practitioners and registered psychologists – to facilitate completion of the medical Report Proforma for Gender Recognition</w:t>
      </w:r>
      <w:r w:rsidRPr="0028108F">
        <w:rPr>
          <w:rFonts w:ascii="Arial" w:hAnsi="Arial" w:cs="Arial"/>
          <w:lang w:val="en-GB"/>
        </w:rPr>
        <w:t xml:space="preserve"> (Booklet T452), at 1.</w:t>
      </w:r>
    </w:p>
  </w:footnote>
  <w:footnote w:id="17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color w:val="000000"/>
          <w:lang w:val="en-GB"/>
        </w:rPr>
        <w:t>Andrew</w:t>
      </w:r>
      <w:r w:rsidRPr="0028108F">
        <w:rPr>
          <w:rFonts w:ascii="Arial" w:hAnsi="Arial" w:cs="Arial"/>
          <w:lang w:val="en-GB"/>
        </w:rPr>
        <w:t xml:space="preserve"> N Sharpe, “Endless Sex: The Gender Recognition Act 2004 and the Persistence of a Legal Category</w:t>
      </w:r>
      <w:r w:rsidRPr="00181CF2">
        <w:rPr>
          <w:rFonts w:ascii="Arial" w:hAnsi="Arial" w:cs="Arial"/>
          <w:lang w:val="en-GB"/>
        </w:rPr>
        <w:t>”</w:t>
      </w:r>
      <w:r w:rsidRPr="00C57CE1">
        <w:rPr>
          <w:rFonts w:ascii="Arial" w:hAnsi="Arial" w:cs="Arial"/>
          <w:lang w:val="en-GB"/>
        </w:rPr>
        <w:t xml:space="preserve"> (2007) 15(1) </w:t>
      </w:r>
      <w:r w:rsidRPr="0028108F">
        <w:rPr>
          <w:rFonts w:ascii="Arial" w:hAnsi="Arial" w:cs="Arial"/>
          <w:i/>
          <w:lang w:val="en-GB"/>
        </w:rPr>
        <w:t>Feminist Legal Studies</w:t>
      </w:r>
      <w:r w:rsidRPr="0028108F">
        <w:rPr>
          <w:rFonts w:ascii="Arial" w:hAnsi="Arial" w:cs="Arial"/>
          <w:lang w:val="en-GB"/>
        </w:rPr>
        <w:t xml:space="preserve"> 57 to 84, available at: </w:t>
      </w:r>
      <w:hyperlink r:id="rId19" w:history="1">
        <w:r w:rsidRPr="0028108F">
          <w:rPr>
            <w:rStyle w:val="Hyperlink"/>
            <w:rFonts w:ascii="Arial" w:hAnsi="Arial" w:cs="Arial"/>
            <w:lang w:val="en-GB"/>
          </w:rPr>
          <w:t>https://www.academia.edu/attachments/30515465/download_file</w:t>
        </w:r>
      </w:hyperlink>
      <w:r w:rsidRPr="0028108F">
        <w:rPr>
          <w:rFonts w:ascii="Arial" w:hAnsi="Arial" w:cs="Arial"/>
          <w:lang w:val="en-GB"/>
        </w:rPr>
        <w: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t>See also UK Hansard, Hon David Lammy, “House of Commons Standing Committee A”, 9 March 2004, Col 19.</w:t>
      </w:r>
    </w:p>
  </w:footnote>
  <w:footnote w:id="171">
    <w:p w:rsidR="0022178B" w:rsidRPr="0028108F" w:rsidRDefault="0022178B">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HM Courts &amp; Tribunals Service, </w:t>
      </w:r>
      <w:r w:rsidRPr="0028108F">
        <w:rPr>
          <w:rFonts w:ascii="Arial" w:hAnsi="Arial" w:cs="Arial"/>
          <w:i/>
          <w:lang w:val="en-GB"/>
        </w:rPr>
        <w:t>Guidelines for registered medical practitioners and registered psychologists – to facilitate completion of the medical Report Proforma for Gender Recognition</w:t>
      </w:r>
      <w:r w:rsidRPr="00181CF2">
        <w:rPr>
          <w:rFonts w:ascii="Arial" w:hAnsi="Arial" w:cs="Arial"/>
          <w:lang w:val="en-GB"/>
        </w:rPr>
        <w:t xml:space="preserve"> (Booklet T452), at 1</w:t>
      </w:r>
      <w:r w:rsidRPr="0028108F">
        <w:rPr>
          <w:rFonts w:ascii="Arial" w:hAnsi="Arial" w:cs="Arial"/>
          <w:lang w:val="en-GB"/>
        </w:rPr>
        <w:t>.</w:t>
      </w:r>
    </w:p>
  </w:footnote>
  <w:footnote w:id="17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Lord Filkin (Parliamentary Under-Secretary of State, Department for Constitutional Affairs) at House of Lords second reading on the Bill, 13 January 2004, Column GC10, available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0" w:history="1">
        <w:r w:rsidRPr="0028108F">
          <w:rPr>
            <w:rStyle w:val="Hyperlink"/>
            <w:rFonts w:ascii="Arial" w:hAnsi="Arial" w:cs="Arial"/>
            <w:lang w:val="en-GB"/>
          </w:rPr>
          <w:t>http://www.publications.parliament.uk/pa/ld200304/ldhansrd/vo040113/text/40113-10.htm</w:t>
        </w:r>
      </w:hyperlink>
      <w:r w:rsidRPr="0028108F">
        <w:rPr>
          <w:rFonts w:ascii="Arial" w:hAnsi="Arial" w:cs="Arial"/>
          <w:lang w:val="en-GB"/>
        </w:rPr>
        <w:t>.</w:t>
      </w:r>
    </w:p>
  </w:footnote>
  <w:footnote w:id="17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As to how detailed the information and evidence that is required for an application, see the latter part of this </w:t>
      </w:r>
      <w:r>
        <w:rPr>
          <w:rFonts w:ascii="Arial" w:hAnsi="Arial" w:cs="Arial" w:hint="eastAsia"/>
          <w:lang w:val="en-GB" w:eastAsia="zh-TW"/>
        </w:rPr>
        <w:t>c</w:t>
      </w:r>
      <w:r w:rsidRPr="0028108F">
        <w:rPr>
          <w:rFonts w:ascii="Arial" w:hAnsi="Arial" w:cs="Arial"/>
          <w:lang w:val="en-GB"/>
        </w:rPr>
        <w:t>hapter.</w:t>
      </w:r>
    </w:p>
  </w:footnote>
  <w:footnote w:id="17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There are now new sections 3(6A) and 3(6B) inserted by the Marriage (Same Sex Couples) Act 2013 (section 12 and Schedule 5 paragraph 2) which provide that if the applicant is married, he or she has to submit a statutory declaration as to whether the marriage was registered (an existing marriage registered in England and Wales or outside the UK as defined under the new section 25(a) of the GRA), and, if the marriage is a protected marriage, a statutory declaration of consent to the continuity of the marriage by the applicant’s spouse or the applicant’s declaration that no such consent was made.  </w:t>
      </w:r>
    </w:p>
  </w:footnote>
  <w:footnote w:id="17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Stephen Whittle,</w:t>
      </w:r>
      <w:r w:rsidRPr="0028108F">
        <w:rPr>
          <w:rFonts w:ascii="Arial" w:hAnsi="Arial" w:cs="Arial"/>
          <w:i/>
          <w:lang w:val="en-GB"/>
        </w:rPr>
        <w:t xml:space="preserve"> </w:t>
      </w:r>
      <w:r w:rsidRPr="00181CF2">
        <w:rPr>
          <w:rFonts w:ascii="Arial" w:hAnsi="Arial" w:cs="Arial"/>
          <w:i/>
          <w:lang w:val="en-GB"/>
        </w:rPr>
        <w:t>“</w:t>
      </w:r>
      <w:r w:rsidRPr="00C57CE1">
        <w:rPr>
          <w:rFonts w:ascii="Arial" w:hAnsi="Arial" w:cs="Arial"/>
          <w:lang w:val="en-GB"/>
        </w:rPr>
        <w:t xml:space="preserve">UK Transgender Law Factsheet </w:t>
      </w:r>
      <w:r w:rsidRPr="0028108F">
        <w:rPr>
          <w:rFonts w:ascii="Arial" w:hAnsi="Arial" w:cs="Arial"/>
          <w:lang w:val="en-GB"/>
        </w:rPr>
        <w:t>01: Changing Names &amp; Changing Legal Gender: A Guide to UK Law for Organisations, Employers &amp; the Trans Community”</w:t>
      </w:r>
      <w:r w:rsidRPr="0028108F">
        <w:rPr>
          <w:rFonts w:ascii="Arial" w:hAnsi="Arial" w:cs="Arial"/>
          <w:i/>
          <w:lang w:val="en-GB"/>
        </w:rPr>
        <w:t xml:space="preserve">, </w:t>
      </w:r>
      <w:r w:rsidRPr="00181CF2">
        <w:rPr>
          <w:rFonts w:ascii="Arial" w:hAnsi="Arial" w:cs="Arial"/>
          <w:lang w:val="en-GB"/>
        </w:rPr>
        <w:t>published by</w:t>
      </w:r>
      <w:r w:rsidRPr="0028108F">
        <w:rPr>
          <w:rFonts w:ascii="Arial" w:hAnsi="Arial" w:cs="Arial"/>
          <w:i/>
          <w:lang w:val="en-GB"/>
        </w:rPr>
        <w:t xml:space="preserve"> Press For Change</w:t>
      </w:r>
      <w:r w:rsidRPr="00181CF2">
        <w:rPr>
          <w:rFonts w:ascii="Arial" w:hAnsi="Arial" w:cs="Arial"/>
          <w:lang w:val="en-GB"/>
        </w:rPr>
        <w:t xml:space="preserve">, May 2013, at </w:t>
      </w:r>
      <w:r w:rsidRPr="0028108F">
        <w:rPr>
          <w:rFonts w:ascii="Arial" w:hAnsi="Arial" w:cs="Arial"/>
          <w:lang w:val="en-GB"/>
        </w:rPr>
        <w:t>paragraph 8.5.</w:t>
      </w:r>
    </w:p>
  </w:footnote>
  <w:footnote w:id="17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Cs/>
          <w:lang w:val="en-GB"/>
        </w:rPr>
        <w:t>See</w:t>
      </w:r>
      <w:r w:rsidRPr="0028108F">
        <w:rPr>
          <w:rFonts w:ascii="Arial" w:hAnsi="Arial" w:cs="Arial"/>
          <w:lang w:val="en-GB"/>
        </w:rPr>
        <w:t xml:space="preserve"> the Gender Recognition (Approved Countries and Territories) Order 2011 (SI 2011/1630).</w:t>
      </w:r>
    </w:p>
  </w:footnote>
  <w:footnote w:id="177">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Section 9(1) of the GRA provides that where a full gender recognition certificate is issued to a person, the person’s gender becomes for all purposes the acquired gender (</w:t>
      </w:r>
      <w:r w:rsidRPr="0028108F">
        <w:rPr>
          <w:rFonts w:ascii="Arial" w:hAnsi="Arial" w:cs="Arial"/>
          <w:i/>
          <w:lang w:val="en-GB"/>
        </w:rPr>
        <w:t>“so that, if the acquired gender is the male gender, the person’s sex becomes that of a man and, if it is the female gender, the person’s sex becomes that of a woman”</w:t>
      </w:r>
      <w:r w:rsidRPr="0028108F">
        <w:rPr>
          <w:rFonts w:ascii="Arial" w:hAnsi="Arial" w:cs="Arial"/>
          <w:lang w:val="en-GB"/>
        </w:rPr>
        <w:t xml:space="preserve">).  Section 9(3) further provides that subsection (1) </w:t>
      </w:r>
      <w:r w:rsidRPr="0028108F">
        <w:rPr>
          <w:rFonts w:ascii="Arial" w:hAnsi="Arial" w:cs="Arial"/>
          <w:i/>
          <w:lang w:val="en-GB"/>
        </w:rPr>
        <w:t>“is subject to provision made by this Act or any other enactment or any subordinate legislation.”</w:t>
      </w:r>
    </w:p>
  </w:footnote>
  <w:footnote w:id="178">
    <w:p w:rsidR="0022178B" w:rsidRPr="0028108F" w:rsidRDefault="0022178B" w:rsidP="00D41803">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example, prior marriage and prior obligations such as financial maintenance on a previous divorce will continue to be valid so that transsexual people cannot escape any responsibilities incurred prior to reassignment such as child maintenance.</w:t>
      </w:r>
    </w:p>
  </w:footnote>
  <w:footnote w:id="17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If applicants for a birth certificate provide details of the name recorded on the birth certificate, they will be issued with a certificate from the birth record.  If they supply the details recorded on the GRR, they will receive a certificate compiled from the entry in the GRR.  The mark linking the two entries will be chosen carefully to ensure that the fact that an entry is contained in the GRR is not apparent.  The mark will not be included in any certificate compiled from the entries on the register.  See Explanatory Notes on Gender Recognition Act 2004, at paragraph 32.</w:t>
      </w:r>
    </w:p>
  </w:footnote>
  <w:footnote w:id="180">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The Gender Recognition (Disclosure of Information) (England, Wales and Northern Ireland) (No. 2) Order, which came into force on 4 April 2005, prescribing circumstances where the disclosure of protected information does not constitute an offence under section 22 of the GRA.  These concern disclosure for the purpose of obtaining legal advice (Art 3), disclosure for religious purposes (Art 4) or medical purposes (Art 5), disclosure by or on behalf of a credit reference agency (Art 6) and disclosure for purposes in relation to insolvency or bankruptcy (Art 7).  This is a strict liability offence where there is no room for pleading ‘reasonableness’ as a defence. See Stephen Whittle, “Born Identity: New Confidentiality Responsibilities to Transsexual People</w:t>
      </w:r>
      <w:r w:rsidRPr="00181CF2">
        <w:rPr>
          <w:rFonts w:ascii="Arial" w:hAnsi="Arial" w:cs="Arial"/>
          <w:lang w:val="en-GB"/>
        </w:rPr>
        <w:t>”</w:t>
      </w:r>
      <w:r w:rsidRPr="00C57CE1">
        <w:rPr>
          <w:rFonts w:ascii="Arial" w:hAnsi="Arial" w:cs="Arial"/>
          <w:lang w:val="en-GB"/>
        </w:rPr>
        <w:t>, 3 June 2005.</w:t>
      </w:r>
    </w:p>
  </w:footnote>
  <w:footnote w:id="181">
    <w:p w:rsidR="0022178B" w:rsidRPr="0028108F" w:rsidRDefault="0022178B" w:rsidP="0085330B">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color w:val="0D0D0D" w:themeColor="text1" w:themeTint="F2"/>
          <w:lang w:val="en-GB"/>
        </w:rPr>
        <w:t xml:space="preserve">This </w:t>
      </w:r>
      <w:r w:rsidRPr="0028108F">
        <w:rPr>
          <w:rFonts w:ascii="Arial" w:hAnsi="Arial" w:cs="Arial"/>
          <w:lang w:val="en-GB"/>
        </w:rPr>
        <w:t>provision attracted legal challenge in</w:t>
      </w:r>
      <w:r w:rsidRPr="0028108F">
        <w:rPr>
          <w:rFonts w:ascii="Arial" w:hAnsi="Arial" w:cs="Arial"/>
          <w:i/>
          <w:lang w:val="en-GB"/>
        </w:rPr>
        <w:t xml:space="preserve"> R (on the application of JK) v Registrar General for England and Wales</w:t>
      </w:r>
      <w:r w:rsidRPr="0028108F">
        <w:rPr>
          <w:rFonts w:ascii="Arial" w:hAnsi="Arial" w:cs="Arial"/>
          <w:lang w:val="en-GB"/>
        </w:rPr>
        <w:t xml:space="preserve"> [2015] EWHC 990 (Admin) that will be discussed later in this </w:t>
      </w:r>
      <w:r>
        <w:rPr>
          <w:rFonts w:ascii="Arial" w:hAnsi="Arial" w:cs="Arial" w:hint="eastAsia"/>
          <w:lang w:val="en-GB" w:eastAsia="zh-TW"/>
        </w:rPr>
        <w:t>c</w:t>
      </w:r>
      <w:r w:rsidRPr="0028108F">
        <w:rPr>
          <w:rFonts w:ascii="Arial" w:hAnsi="Arial" w:cs="Arial"/>
          <w:lang w:val="en-GB"/>
        </w:rPr>
        <w:t xml:space="preserve">hapter from paragraphs </w:t>
      </w:r>
      <w:r w:rsidRPr="00451FFA">
        <w:rPr>
          <w:rFonts w:ascii="Arial" w:hAnsi="Arial" w:cs="Arial"/>
          <w:lang w:val="en-GB"/>
        </w:rPr>
        <w:t>3.105 to 3.107</w:t>
      </w:r>
      <w:r>
        <w:rPr>
          <w:rFonts w:ascii="Arial" w:hAnsi="Arial" w:cs="Arial"/>
          <w:lang w:val="en-GB"/>
        </w:rPr>
        <w:t>.</w:t>
      </w:r>
    </w:p>
  </w:footnote>
  <w:footnote w:id="182">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High Court is granted power to redistribute property under section 18 where the disposition or devolution of any property under a will or other instrument (made on or after the day tha</w:t>
      </w:r>
      <w:r w:rsidRPr="00C57CE1">
        <w:rPr>
          <w:rFonts w:ascii="Arial" w:hAnsi="Arial" w:cs="Arial"/>
          <w:lang w:val="en-GB"/>
        </w:rPr>
        <w:t xml:space="preserve">t the GRA </w:t>
      </w:r>
      <w:r w:rsidRPr="0028108F">
        <w:rPr>
          <w:rFonts w:ascii="Arial" w:hAnsi="Arial" w:cs="Arial"/>
          <w:lang w:val="en-GB"/>
        </w:rPr>
        <w:t xml:space="preserve">came into effect) is different from what it would be but for the fact that a person’s gender has become the acquired gender.  If, for example, an instrument governs succession by reference to the </w:t>
      </w:r>
      <w:r w:rsidRPr="0028108F">
        <w:rPr>
          <w:rFonts w:ascii="Arial" w:hAnsi="Arial" w:cs="Arial"/>
          <w:i/>
          <w:lang w:val="en-GB"/>
        </w:rPr>
        <w:t>“eldest daughter”</w:t>
      </w:r>
      <w:r w:rsidRPr="0028108F">
        <w:rPr>
          <w:rFonts w:ascii="Arial" w:hAnsi="Arial" w:cs="Arial"/>
          <w:lang w:val="en-GB"/>
        </w:rPr>
        <w:t xml:space="preserve"> of the settlor, and there is an older brother whose gender becomes female under the Act, then the person who was previously the </w:t>
      </w:r>
      <w:r w:rsidRPr="0028108F">
        <w:rPr>
          <w:rFonts w:ascii="Arial" w:hAnsi="Arial" w:cs="Arial"/>
          <w:i/>
          <w:lang w:val="en-GB"/>
        </w:rPr>
        <w:t>“eldest daughter”</w:t>
      </w:r>
      <w:r w:rsidRPr="0028108F">
        <w:rPr>
          <w:rFonts w:ascii="Arial" w:hAnsi="Arial" w:cs="Arial"/>
          <w:lang w:val="en-GB"/>
        </w:rPr>
        <w:t xml:space="preserve"> may cease to enjoy that position.  Then, the person who is adversely affected by the different disposition or devolution of the property may make an application to the High Court.  The court, if it is satisfied that it is just to do so, may make such order as it considers appropriate in relation to the person benefiting from the different disposition of the property.  See Explanatory Notes on Gender Recognition Act 2004, at paragraph 82.</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t>Further, a trustee or personal representative, when making distribution or conveyance, does not have any duty to inquire whether a GRC has been issued or revoked to any person even if that fact could affect entitlement to property which he is responsible for distributing (section 17).  Yet, the beneficiary will nevertheless retain his or her claim to the property and may enforce this claim, e</w:t>
      </w:r>
      <w:r w:rsidRPr="00181CF2">
        <w:rPr>
          <w:rFonts w:ascii="Arial" w:hAnsi="Arial" w:cs="Arial"/>
          <w:lang w:val="en-GB"/>
        </w:rPr>
        <w:t>g, by following the property into the hands of another perso</w:t>
      </w:r>
      <w:r w:rsidRPr="00C57CE1">
        <w:rPr>
          <w:rFonts w:ascii="Arial" w:hAnsi="Arial" w:cs="Arial"/>
          <w:lang w:val="en-GB"/>
        </w:rPr>
        <w:t xml:space="preserve">n who has received it instead. See Explanatory Notes on Gender Recognition Act 2004, at </w:t>
      </w:r>
      <w:r w:rsidRPr="0028108F">
        <w:rPr>
          <w:rFonts w:ascii="Arial" w:hAnsi="Arial" w:cs="Arial"/>
          <w:lang w:val="en-GB"/>
        </w:rPr>
        <w:t>paragraph 81.</w:t>
      </w:r>
    </w:p>
  </w:footnote>
  <w:footnote w:id="183">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Sexual Offences Act 2003 introduced gender-neutral terms for England and Wales, but, in any event, section 20 of the GRA extends to England and</w:t>
      </w:r>
      <w:r w:rsidRPr="00C57CE1">
        <w:rPr>
          <w:rFonts w:ascii="Arial" w:hAnsi="Arial" w:cs="Arial"/>
          <w:lang w:val="en-GB"/>
        </w:rPr>
        <w:t xml:space="preserve"> Wales, as well as Scotland and Northern Ireland, in order to ensure that there is no residual problem.</w:t>
      </w:r>
    </w:p>
  </w:footnote>
  <w:footnote w:id="184">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There are, for example, restrictions on marriage between a woman and her ex-husband</w:t>
      </w:r>
      <w:r>
        <w:rPr>
          <w:rFonts w:ascii="Arial" w:hAnsi="Arial" w:cs="Arial"/>
          <w:lang w:val="en-GB"/>
        </w:rPr>
        <w:t>’</w:t>
      </w:r>
      <w:r w:rsidRPr="00181CF2">
        <w:rPr>
          <w:rFonts w:ascii="Arial" w:hAnsi="Arial" w:cs="Arial"/>
          <w:lang w:val="en-GB"/>
        </w:rPr>
        <w:t>s father. The adjustments made here will mean that where one part</w:t>
      </w:r>
      <w:r w:rsidRPr="00C57CE1">
        <w:rPr>
          <w:rFonts w:ascii="Arial" w:hAnsi="Arial" w:cs="Arial"/>
          <w:lang w:val="en-GB"/>
        </w:rPr>
        <w:t>y to the marriage is regarded as being of the acquired gender, the restrictions cover relationships flowing from any previous marriage in the bi</w:t>
      </w:r>
      <w:r w:rsidRPr="0028108F">
        <w:rPr>
          <w:rFonts w:ascii="Arial" w:hAnsi="Arial" w:cs="Arial"/>
          <w:lang w:val="en-GB"/>
        </w:rPr>
        <w:t>rth gender, ie, a woman who is a male-to-female transsexual person may not marry her ex-wife</w:t>
      </w:r>
      <w:r>
        <w:rPr>
          <w:rFonts w:ascii="Arial" w:hAnsi="Arial" w:cs="Arial"/>
          <w:lang w:val="en-GB"/>
        </w:rPr>
        <w:t>’</w:t>
      </w:r>
      <w:r w:rsidRPr="0028108F">
        <w:rPr>
          <w:rFonts w:ascii="Arial" w:hAnsi="Arial" w:cs="Arial"/>
          <w:lang w:val="en-GB"/>
        </w:rPr>
        <w:t xml:space="preserve">s father.  This provision is mirrored for Scotland in </w:t>
      </w:r>
      <w:r w:rsidRPr="0028108F">
        <w:rPr>
          <w:rFonts w:ascii="Arial" w:hAnsi="Arial" w:cs="Arial"/>
          <w:iCs/>
          <w:lang w:val="en-GB"/>
        </w:rPr>
        <w:t xml:space="preserve">paragraph 7 </w:t>
      </w:r>
      <w:r w:rsidRPr="0028108F">
        <w:rPr>
          <w:rFonts w:ascii="Arial" w:hAnsi="Arial" w:cs="Arial"/>
          <w:lang w:val="en-GB"/>
        </w:rPr>
        <w:t xml:space="preserve">and for Northern Ireland in </w:t>
      </w:r>
      <w:r w:rsidRPr="0028108F">
        <w:rPr>
          <w:rFonts w:ascii="Arial" w:hAnsi="Arial" w:cs="Arial"/>
          <w:iCs/>
          <w:lang w:val="en-GB"/>
        </w:rPr>
        <w:t>paragraph 8 of Schedule 4 of the GRA</w:t>
      </w:r>
      <w:r w:rsidRPr="0028108F">
        <w:rPr>
          <w:rFonts w:ascii="Arial" w:hAnsi="Arial" w:cs="Arial"/>
          <w:lang w:val="en-GB"/>
        </w:rPr>
        <w:t xml:space="preserve">. </w:t>
      </w:r>
      <w:r>
        <w:rPr>
          <w:rFonts w:ascii="Arial" w:hAnsi="Arial" w:cs="Arial"/>
          <w:lang w:val="en-GB"/>
        </w:rPr>
        <w:t xml:space="preserve"> </w:t>
      </w:r>
      <w:r w:rsidRPr="0028108F">
        <w:rPr>
          <w:rFonts w:ascii="Arial" w:hAnsi="Arial" w:cs="Arial"/>
          <w:lang w:val="en-GB"/>
        </w:rPr>
        <w:t>See Explanatory Notes on Gender Recognition Act 2004, at paragraph 40.</w:t>
      </w:r>
    </w:p>
  </w:footnote>
  <w:footnote w:id="185">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No such provision is needed for Northern Ireland or Sco</w:t>
      </w:r>
      <w:r w:rsidRPr="00C57CE1">
        <w:rPr>
          <w:rFonts w:ascii="Arial" w:hAnsi="Arial" w:cs="Arial"/>
          <w:lang w:val="en-GB"/>
        </w:rPr>
        <w:t>tland as there is no obligation to solemnise marriages on the clergy of churches in those jurisdictions.  See Explanatory Notes on Gender Recogn</w:t>
      </w:r>
      <w:r w:rsidRPr="0028108F">
        <w:rPr>
          <w:rFonts w:ascii="Arial" w:hAnsi="Arial" w:cs="Arial"/>
          <w:lang w:val="en-GB"/>
        </w:rPr>
        <w:t>ition Act 2004, at paragraph 41.</w:t>
      </w:r>
    </w:p>
  </w:footnote>
  <w:footnote w:id="186">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Equivalent provision is made for Northern Ireland in </w:t>
      </w:r>
      <w:r w:rsidRPr="0028108F">
        <w:rPr>
          <w:rFonts w:ascii="Arial" w:hAnsi="Arial" w:cs="Arial"/>
          <w:iCs/>
          <w:lang w:val="en-GB"/>
        </w:rPr>
        <w:t xml:space="preserve">paragraphs 9 </w:t>
      </w:r>
      <w:r w:rsidRPr="0028108F">
        <w:rPr>
          <w:rFonts w:ascii="Arial" w:hAnsi="Arial" w:cs="Arial"/>
          <w:lang w:val="en-GB"/>
        </w:rPr>
        <w:t xml:space="preserve">to </w:t>
      </w:r>
      <w:r w:rsidRPr="0028108F">
        <w:rPr>
          <w:rFonts w:ascii="Arial" w:hAnsi="Arial" w:cs="Arial"/>
          <w:iCs/>
          <w:lang w:val="en-GB"/>
        </w:rPr>
        <w:t>11</w:t>
      </w:r>
      <w:r w:rsidRPr="0028108F">
        <w:rPr>
          <w:rFonts w:ascii="Arial" w:hAnsi="Arial" w:cs="Arial"/>
          <w:lang w:val="en-GB"/>
        </w:rPr>
        <w:t>.  Scotland does not have the same concept of voidable marriage.  See Explanatory Notes on Gender Recognition Act 2004, at paragraph 42.</w:t>
      </w:r>
    </w:p>
  </w:footnote>
  <w:footnote w:id="187">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Explanatory Notes on Gender Recognition Act 2004, at </w:t>
      </w:r>
      <w:r w:rsidRPr="0028108F">
        <w:rPr>
          <w:rFonts w:ascii="Arial" w:hAnsi="Arial" w:cs="Arial"/>
          <w:lang w:val="en-GB"/>
        </w:rPr>
        <w:t>paragraph 85.</w:t>
      </w:r>
    </w:p>
  </w:footnote>
  <w:footnote w:id="188">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It means that a national of an</w:t>
      </w:r>
      <w:r w:rsidRPr="00C57CE1">
        <w:rPr>
          <w:rFonts w:ascii="Arial" w:hAnsi="Arial" w:cs="Arial"/>
          <w:lang w:val="en-GB"/>
        </w:rPr>
        <w:t>other country within the European Union or European Economic Area who has been granted legal recognition of their gender change under the law of</w:t>
      </w:r>
      <w:r w:rsidRPr="0028108F">
        <w:rPr>
          <w:rFonts w:ascii="Arial" w:hAnsi="Arial" w:cs="Arial"/>
          <w:lang w:val="en-GB"/>
        </w:rPr>
        <w:t xml:space="preserve"> that country, and has an enforceable right under EC law to recognition of their acquired gender in the UK, will not need to make an application under section 1 of the GRA, and, similarly, a post-recognition opposite-sex marriage where one of the parties is a EU or EEA national and there is an enforceable right to recognition under European Law will be accepted as a valid marriage in the UK without the need for further application under section 1 of the GRA.</w:t>
      </w:r>
    </w:p>
  </w:footnote>
  <w:footnote w:id="189">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Examples illustrating how the amendments to the law work in relation to the benefits and pensions specific to the UK can be found in the Explanatory Notes on </w:t>
      </w:r>
      <w:r w:rsidRPr="00C57CE1">
        <w:rPr>
          <w:rFonts w:ascii="Arial" w:hAnsi="Arial" w:cs="Arial"/>
          <w:lang w:val="en-GB"/>
        </w:rPr>
        <w:t xml:space="preserve">Gender Recognition Act 2004, at </w:t>
      </w:r>
      <w:r w:rsidRPr="0028108F">
        <w:rPr>
          <w:rFonts w:ascii="Arial" w:hAnsi="Arial" w:cs="Arial"/>
          <w:lang w:val="en-GB"/>
        </w:rPr>
        <w:t>paragraphs 45 to 76.</w:t>
      </w:r>
    </w:p>
  </w:footnote>
  <w:footnote w:id="190">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S.I. 1976/1042 (N.I. 15).  This is now covered by the Equality Act 2010, which replaces the former discrimination law in England and Wales almost in its entirety. Most of its provisions came into</w:t>
      </w:r>
      <w:r w:rsidRPr="00C57CE1">
        <w:rPr>
          <w:rFonts w:ascii="Arial" w:hAnsi="Arial" w:cs="Arial"/>
          <w:lang w:val="en-GB"/>
        </w:rPr>
        <w:t xml:space="preserve"> force on 1 October 2010.  The Equality Act incorporates provisions protecting an individual against gender reassignment discrimination.</w:t>
      </w:r>
    </w:p>
  </w:footnote>
  <w:footnote w:id="191">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If, for example, the nature of the job requires a woman, it is open to the employer to show that it is reasonable to</w:t>
      </w:r>
      <w:r w:rsidRPr="00C57CE1">
        <w:rPr>
          <w:rFonts w:ascii="Arial" w:hAnsi="Arial" w:cs="Arial"/>
          <w:lang w:val="en-GB"/>
        </w:rPr>
        <w:t xml:space="preserve"> treat a male-to-female transsexual person as being unsuitable for that job.  This situation is no longer an exception to discrimination pursuan</w:t>
      </w:r>
      <w:r w:rsidRPr="0028108F">
        <w:rPr>
          <w:rFonts w:ascii="Arial" w:hAnsi="Arial" w:cs="Arial"/>
          <w:lang w:val="en-GB"/>
        </w:rPr>
        <w:t>t to the GRA.</w:t>
      </w:r>
    </w:p>
  </w:footnote>
  <w:footnote w:id="192">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exceptions in section 19 of the Sex Discrimination Act 1975 and Article 21 of the Sex Discr</w:t>
      </w:r>
      <w:r w:rsidRPr="00C57CE1">
        <w:rPr>
          <w:rFonts w:ascii="Arial" w:hAnsi="Arial" w:cs="Arial"/>
          <w:lang w:val="en-GB"/>
        </w:rPr>
        <w:t>imination (Northern Ireland) Order 1976, which exempted discrimination in relation to employment, authorisation or qualification for the purpose</w:t>
      </w:r>
      <w:r w:rsidRPr="0028108F">
        <w:rPr>
          <w:rFonts w:ascii="Arial" w:hAnsi="Arial" w:cs="Arial"/>
          <w:lang w:val="en-GB"/>
        </w:rPr>
        <w:t>s of an organised religion where that employment, authorisation or qualification is limited to persons who are not undergoing and have not undergone gender reassignment, continue to apply in relation to people who have been recognised in the acquired gender under the GRA.</w:t>
      </w:r>
    </w:p>
  </w:footnote>
  <w:footnote w:id="193">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Second Reading of the Bill was moved on 18 December 2003 by Lord Filkin, Parliamentary U</w:t>
      </w:r>
      <w:r w:rsidRPr="00C57CE1">
        <w:rPr>
          <w:rFonts w:ascii="Arial" w:hAnsi="Arial" w:cs="Arial"/>
          <w:lang w:val="en-GB"/>
        </w:rPr>
        <w:t>nder-Secretary of State, Department for Constitutional Affairs.  The Third Reading of the Bill was moved in the House of Lords on 10 February 20</w:t>
      </w:r>
      <w:r w:rsidRPr="0028108F">
        <w:rPr>
          <w:rFonts w:ascii="Arial" w:hAnsi="Arial" w:cs="Arial"/>
          <w:lang w:val="en-GB"/>
        </w:rPr>
        <w:t>04.</w:t>
      </w:r>
    </w:p>
  </w:footnote>
  <w:footnote w:id="194">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Catherine Fairbairn, </w:t>
      </w:r>
      <w:r w:rsidRPr="00C57CE1">
        <w:rPr>
          <w:rFonts w:ascii="Arial" w:hAnsi="Arial" w:cs="Arial"/>
          <w:lang w:val="en-GB"/>
        </w:rPr>
        <w:t>“</w:t>
      </w:r>
      <w:r w:rsidRPr="0028108F">
        <w:rPr>
          <w:rFonts w:ascii="Arial" w:hAnsi="Arial" w:cs="Arial"/>
          <w:lang w:val="en-GB"/>
        </w:rPr>
        <w:t>The Gender Recognition Bill [HL] - Bill 56 of 2003-04</w:t>
      </w:r>
      <w:r w:rsidRPr="00181CF2">
        <w:rPr>
          <w:rFonts w:ascii="Arial" w:hAnsi="Arial" w:cs="Arial"/>
          <w:lang w:val="en-GB"/>
        </w:rPr>
        <w:t>”</w:t>
      </w:r>
      <w:r w:rsidRPr="00C57CE1">
        <w:rPr>
          <w:rFonts w:ascii="Arial" w:hAnsi="Arial" w:cs="Arial"/>
          <w:lang w:val="en-GB"/>
        </w:rPr>
        <w:t xml:space="preserve"> (Research Paper 04/15, 17 February 2004), at 57 to 68.</w:t>
      </w:r>
    </w:p>
  </w:footnote>
  <w:footnote w:id="195">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Catherine Fairbairn,</w:t>
      </w:r>
      <w:r w:rsidRPr="00C57CE1" w:rsidDel="00B13B14">
        <w:rPr>
          <w:rFonts w:ascii="Arial" w:hAnsi="Arial" w:cs="Arial"/>
          <w:lang w:val="en-GB"/>
        </w:rPr>
        <w:t xml:space="preserve"> </w:t>
      </w:r>
      <w:r w:rsidRPr="0028108F">
        <w:rPr>
          <w:rFonts w:ascii="Arial" w:hAnsi="Arial" w:cs="Arial"/>
          <w:lang w:val="en-GB"/>
        </w:rPr>
        <w:t>above</w:t>
      </w:r>
      <w:r w:rsidRPr="00181CF2">
        <w:rPr>
          <w:rFonts w:ascii="Arial" w:hAnsi="Arial" w:cs="Arial"/>
          <w:i/>
          <w:lang w:val="en-GB"/>
        </w:rPr>
        <w:t xml:space="preserve">, </w:t>
      </w:r>
      <w:r w:rsidRPr="00C57CE1">
        <w:rPr>
          <w:rFonts w:ascii="Arial" w:hAnsi="Arial" w:cs="Arial"/>
          <w:lang w:val="en-GB"/>
        </w:rPr>
        <w:t>at 58 to 62.</w:t>
      </w:r>
    </w:p>
  </w:footnote>
  <w:footnote w:id="196">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For a detailed analysis of how the influence was exerted, see </w:t>
      </w:r>
      <w:r w:rsidRPr="00C57CE1">
        <w:rPr>
          <w:rFonts w:ascii="Arial" w:hAnsi="Arial" w:cs="Arial"/>
          <w:lang w:val="en-GB"/>
        </w:rPr>
        <w:t xml:space="preserve">Duncan Dormor, </w:t>
      </w:r>
      <w:r w:rsidRPr="0028108F">
        <w:rPr>
          <w:rFonts w:ascii="Arial" w:hAnsi="Arial" w:cs="Arial"/>
          <w:lang w:val="en-GB"/>
        </w:rPr>
        <w:t>“Transgenderism and the Christian Church: An Overview</w:t>
      </w:r>
      <w:r w:rsidRPr="00181CF2">
        <w:rPr>
          <w:rFonts w:ascii="Arial" w:hAnsi="Arial" w:cs="Arial"/>
          <w:lang w:val="en-GB"/>
        </w:rPr>
        <w:t>”</w:t>
      </w:r>
      <w:r w:rsidRPr="00C57CE1">
        <w:rPr>
          <w:rFonts w:ascii="Arial" w:hAnsi="Arial" w:cs="Arial"/>
          <w:lang w:val="en-GB"/>
        </w:rPr>
        <w:t xml:space="preserve">, in </w:t>
      </w:r>
      <w:r w:rsidRPr="0028108F">
        <w:rPr>
          <w:rFonts w:ascii="Arial" w:hAnsi="Arial" w:cs="Arial"/>
          <w:lang w:val="en-GB"/>
        </w:rPr>
        <w:t xml:space="preserve">Jens M Scherpe (ed), </w:t>
      </w:r>
      <w:r w:rsidRPr="0028108F">
        <w:rPr>
          <w:rFonts w:ascii="Arial" w:hAnsi="Arial" w:cs="Arial"/>
          <w:i/>
          <w:lang w:val="en-GB"/>
        </w:rPr>
        <w:t>The Legal Status of Transsexual and Transgender Persons</w:t>
      </w:r>
      <w:r w:rsidRPr="0028108F">
        <w:rPr>
          <w:rFonts w:ascii="Arial" w:hAnsi="Arial" w:cs="Arial"/>
          <w:lang w:val="en-GB"/>
        </w:rPr>
        <w:t xml:space="preserve"> (1st ed, December 2015), at 67 to 73.  </w:t>
      </w:r>
    </w:p>
  </w:footnote>
  <w:footnote w:id="197">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Catherine Fairbairn, </w:t>
      </w:r>
      <w:r w:rsidRPr="0028108F">
        <w:rPr>
          <w:rFonts w:ascii="Arial" w:hAnsi="Arial" w:cs="Arial"/>
          <w:lang w:val="en-GB"/>
        </w:rPr>
        <w:t>above</w:t>
      </w:r>
      <w:r w:rsidRPr="00181CF2">
        <w:rPr>
          <w:rFonts w:ascii="Arial" w:hAnsi="Arial" w:cs="Arial"/>
          <w:lang w:val="en-GB"/>
        </w:rPr>
        <w:t>, at 62 to 65.</w:t>
      </w:r>
    </w:p>
  </w:footnote>
  <w:footnote w:id="198">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Catherine Fairbairn, </w:t>
      </w:r>
      <w:r w:rsidRPr="0028108F">
        <w:rPr>
          <w:rFonts w:ascii="Arial" w:hAnsi="Arial" w:cs="Arial"/>
          <w:lang w:val="en-GB"/>
        </w:rPr>
        <w:t>above,</w:t>
      </w:r>
      <w:r w:rsidRPr="00181CF2">
        <w:rPr>
          <w:rFonts w:ascii="Arial" w:hAnsi="Arial" w:cs="Arial"/>
          <w:lang w:val="en-GB"/>
        </w:rPr>
        <w:t xml:space="preserve"> at 65 to 67.</w:t>
      </w:r>
    </w:p>
  </w:footnote>
  <w:footnote w:id="199">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earlier discussion in this </w:t>
      </w:r>
      <w:r w:rsidRPr="0028108F">
        <w:rPr>
          <w:rFonts w:ascii="Arial" w:hAnsi="Arial" w:cs="Arial"/>
          <w:lang w:val="en-GB"/>
        </w:rPr>
        <w:t>chapter.</w:t>
      </w:r>
    </w:p>
  </w:footnote>
  <w:footnote w:id="200">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Catherine Fairbairn, </w:t>
      </w:r>
      <w:r w:rsidRPr="0028108F">
        <w:rPr>
          <w:rFonts w:ascii="Arial" w:hAnsi="Arial" w:cs="Arial"/>
          <w:lang w:val="en-GB"/>
        </w:rPr>
        <w:t>above</w:t>
      </w:r>
      <w:r w:rsidRPr="00181CF2">
        <w:rPr>
          <w:rFonts w:ascii="Arial" w:hAnsi="Arial" w:cs="Arial"/>
          <w:lang w:val="en-GB"/>
        </w:rPr>
        <w:t>, at 67 and 68.</w:t>
      </w:r>
    </w:p>
  </w:footnote>
  <w:footnote w:id="201">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Catherine Fairbairn, </w:t>
      </w:r>
      <w:r w:rsidRPr="0028108F">
        <w:rPr>
          <w:rFonts w:ascii="Arial" w:hAnsi="Arial" w:cs="Arial"/>
          <w:lang w:val="en-GB"/>
        </w:rPr>
        <w:t>above</w:t>
      </w:r>
      <w:r w:rsidRPr="00181CF2">
        <w:rPr>
          <w:rFonts w:ascii="Arial" w:hAnsi="Arial" w:cs="Arial"/>
          <w:lang w:val="en-GB"/>
        </w:rPr>
        <w:t xml:space="preserve">, </w:t>
      </w:r>
      <w:r w:rsidRPr="0028108F">
        <w:rPr>
          <w:rFonts w:ascii="Arial" w:hAnsi="Arial" w:cs="Arial"/>
          <w:lang w:val="en-GB"/>
        </w:rPr>
        <w:t>at 68.</w:t>
      </w:r>
    </w:p>
  </w:footnote>
  <w:footnote w:id="202">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See Gender Recognition Advisory Group’s report to Joan Burton, T</w:t>
      </w:r>
      <w:r w:rsidRPr="0028108F">
        <w:rPr>
          <w:rFonts w:ascii="Arial" w:hAnsi="Arial" w:cs="Arial"/>
          <w:lang w:val="en-GB"/>
        </w:rPr>
        <w:t>D, Minister for Social Protection dated 15 June 2011, available at:</w:t>
      </w:r>
    </w:p>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1" w:history="1">
        <w:r w:rsidRPr="0028108F">
          <w:rPr>
            <w:rStyle w:val="Hyperlink"/>
            <w:rFonts w:ascii="Arial" w:hAnsi="Arial" w:cs="Arial"/>
            <w:lang w:val="en-GB"/>
          </w:rPr>
          <w:t>http://www.welfare.ie/en/downloads/Report-of-the-Gender-Recognition-Advisory-Group.pdf</w:t>
        </w:r>
      </w:hyperlink>
      <w:r w:rsidRPr="00181CF2">
        <w:rPr>
          <w:rFonts w:ascii="Arial" w:hAnsi="Arial" w:cs="Arial"/>
          <w:lang w:val="en-GB"/>
        </w:rPr>
        <w:t xml:space="preserve">. </w:t>
      </w:r>
    </w:p>
  </w:footnote>
  <w:footnote w:id="203">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Explanatory Notes on Gender Recognition Act 2004, at </w:t>
      </w:r>
      <w:r w:rsidRPr="0028108F">
        <w:rPr>
          <w:rFonts w:ascii="Arial" w:hAnsi="Arial" w:cs="Arial"/>
          <w:lang w:val="en-GB"/>
        </w:rPr>
        <w:t>paragraph 13.</w:t>
      </w:r>
    </w:p>
  </w:footnote>
  <w:footnote w:id="204">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See the guidance</w:t>
      </w:r>
      <w:r w:rsidRPr="00C57CE1">
        <w:rPr>
          <w:rFonts w:ascii="Arial" w:hAnsi="Arial" w:cs="Arial"/>
          <w:lang w:val="en-GB"/>
        </w:rPr>
        <w:t xml:space="preserve"> published by the UK </w:t>
      </w:r>
      <w:r w:rsidRPr="0028108F">
        <w:rPr>
          <w:rFonts w:ascii="Arial" w:hAnsi="Arial" w:cs="Arial"/>
          <w:lang w:val="en-GB"/>
        </w:rPr>
        <w:t>G</w:t>
      </w:r>
      <w:r w:rsidRPr="00181CF2">
        <w:rPr>
          <w:rFonts w:ascii="Arial" w:hAnsi="Arial" w:cs="Arial"/>
          <w:lang w:val="en-GB"/>
        </w:rPr>
        <w:t>overnment</w:t>
      </w:r>
      <w:r w:rsidRPr="00C57CE1">
        <w:rPr>
          <w:rFonts w:ascii="Arial" w:hAnsi="Arial" w:cs="Arial"/>
          <w:lang w:val="en-GB"/>
        </w:rPr>
        <w:t>, available at:</w:t>
      </w:r>
    </w:p>
    <w:p w:rsidR="0022178B" w:rsidRPr="00181CF2" w:rsidRDefault="0022178B">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2" w:history="1">
        <w:r w:rsidRPr="0028108F">
          <w:rPr>
            <w:rStyle w:val="Hyperlink"/>
            <w:rFonts w:ascii="Arial" w:hAnsi="Arial" w:cs="Arial"/>
            <w:lang w:val="en-GB"/>
          </w:rPr>
          <w:t>http://www.justice.gov.uk/tribunals/gender-recognition-panel/process</w:t>
        </w:r>
      </w:hyperlink>
      <w:r w:rsidRPr="00181CF2">
        <w:rPr>
          <w:rFonts w:ascii="Arial" w:hAnsi="Arial" w:cs="Arial"/>
          <w:lang w:val="en-GB"/>
        </w:rPr>
        <w:t xml:space="preserve">.  See also HM Courts &amp; Tribunals Service, </w:t>
      </w:r>
      <w:r w:rsidRPr="00C57CE1">
        <w:rPr>
          <w:rFonts w:ascii="Arial" w:hAnsi="Arial" w:cs="Arial"/>
          <w:i/>
          <w:lang w:val="en-GB"/>
        </w:rPr>
        <w:t>A general guide for all users – Gender Recognition Act 2004</w:t>
      </w:r>
      <w:r w:rsidRPr="0028108F">
        <w:rPr>
          <w:rFonts w:ascii="Arial" w:hAnsi="Arial" w:cs="Arial"/>
          <w:lang w:val="en-GB"/>
        </w:rPr>
        <w:t xml:space="preserve"> (Booklet T455)</w:t>
      </w:r>
      <w:r w:rsidRPr="00181CF2">
        <w:rPr>
          <w:rFonts w:ascii="Arial" w:hAnsi="Arial" w:cs="Arial"/>
          <w:lang w:val="en-GB"/>
        </w:rPr>
        <w:t>.</w:t>
      </w:r>
    </w:p>
  </w:footnote>
  <w:footnote w:id="205">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professed aim of the GR</w:t>
      </w:r>
      <w:r w:rsidRPr="00C57CE1">
        <w:rPr>
          <w:rFonts w:ascii="Arial" w:hAnsi="Arial" w:cs="Arial"/>
          <w:lang w:val="en-GB"/>
        </w:rPr>
        <w:t>P is to grant applications, wherever legally possible, which is why directions are given rather than making final decisions which might not be i</w:t>
      </w:r>
      <w:r w:rsidRPr="0028108F">
        <w:rPr>
          <w:rFonts w:ascii="Arial" w:hAnsi="Arial" w:cs="Arial"/>
          <w:lang w:val="en-GB"/>
        </w:rPr>
        <w:t>n favour of the applicant.  See Gender Identity Research and Education Society, “Obtaining your Gender Recognition Certificate</w:t>
      </w:r>
      <w:r w:rsidRPr="00181CF2">
        <w:rPr>
          <w:rFonts w:ascii="Arial" w:hAnsi="Arial" w:cs="Arial"/>
          <w:lang w:val="en-GB"/>
        </w:rPr>
        <w:t>”</w:t>
      </w:r>
      <w:r w:rsidRPr="00C57CE1">
        <w:rPr>
          <w:rFonts w:ascii="Arial" w:hAnsi="Arial" w:cs="Arial"/>
          <w:lang w:val="en-GB"/>
        </w:rPr>
        <w:t>, available at:</w:t>
      </w:r>
    </w:p>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3" w:history="1">
        <w:r w:rsidRPr="0028108F">
          <w:rPr>
            <w:rStyle w:val="Hyperlink"/>
            <w:rFonts w:ascii="Arial" w:hAnsi="Arial" w:cs="Arial"/>
          </w:rPr>
          <w:t>http://www.gires.org.uk/law-archive/obtaining-your-gender-recognition-certificate</w:t>
        </w:r>
      </w:hyperlink>
      <w:r w:rsidRPr="00181CF2">
        <w:rPr>
          <w:rFonts w:ascii="Arial" w:hAnsi="Arial" w:cs="Arial"/>
          <w:lang w:val="en-GB"/>
        </w:rPr>
        <w:t>.</w:t>
      </w:r>
    </w:p>
  </w:footnote>
  <w:footnote w:id="206">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earlier discussion in this </w:t>
      </w:r>
      <w:r>
        <w:rPr>
          <w:rFonts w:ascii="Arial" w:hAnsi="Arial" w:cs="Arial"/>
          <w:lang w:val="en-GB"/>
        </w:rPr>
        <w:t>c</w:t>
      </w:r>
      <w:r w:rsidRPr="00181CF2">
        <w:rPr>
          <w:rFonts w:ascii="Arial" w:hAnsi="Arial" w:cs="Arial"/>
          <w:lang w:val="en-GB"/>
        </w:rPr>
        <w:t>hapter.</w:t>
      </w:r>
    </w:p>
  </w:footnote>
  <w:footnote w:id="207">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t xml:space="preserve">See Judge Michael Harris, </w:t>
      </w:r>
      <w:r w:rsidRPr="0028108F">
        <w:rPr>
          <w:rFonts w:ascii="Arial" w:hAnsi="Arial" w:cs="Arial"/>
          <w:lang w:val="en-GB"/>
        </w:rPr>
        <w:t>“President’s Guidance No.1 – Evidential requirements for applications under section 1(1)(a) of the Gender Recognition Act 2004</w:t>
      </w:r>
      <w:r w:rsidRPr="00181CF2">
        <w:rPr>
          <w:rFonts w:ascii="Arial" w:hAnsi="Arial" w:cs="Arial"/>
          <w:lang w:val="en-GB"/>
        </w:rPr>
        <w:t>”</w:t>
      </w:r>
      <w:r w:rsidRPr="0028108F">
        <w:rPr>
          <w:rFonts w:ascii="Arial" w:hAnsi="Arial" w:cs="Arial"/>
          <w:lang w:val="en-GB"/>
        </w:rPr>
        <w:t>.  It is</w:t>
      </w:r>
      <w:r>
        <w:rPr>
          <w:rFonts w:ascii="Arial" w:hAnsi="Arial" w:cs="Arial" w:hint="eastAsia"/>
          <w:lang w:val="en-GB" w:eastAsia="zh-TW"/>
        </w:rPr>
        <w:t xml:space="preserve"> pertinent to note</w:t>
      </w:r>
      <w:r w:rsidRPr="0028108F">
        <w:rPr>
          <w:rFonts w:ascii="Arial" w:hAnsi="Arial" w:cs="Arial"/>
          <w:lang w:val="en-GB"/>
        </w:rPr>
        <w:t xml:space="preserve"> that</w:t>
      </w:r>
      <w:r w:rsidRPr="0028108F">
        <w:rPr>
          <w:rFonts w:ascii="Arial" w:hAnsi="Arial" w:cs="Arial"/>
          <w:color w:val="000000"/>
          <w:lang w:val="en-GB"/>
        </w:rPr>
        <w:t xml:space="preserve"> sections 3(2) and 3(3) attracted legal challenge in </w:t>
      </w:r>
      <w:r w:rsidRPr="0028108F">
        <w:rPr>
          <w:rFonts w:ascii="Arial" w:hAnsi="Arial" w:cs="Arial"/>
          <w:i/>
          <w:lang w:val="en-GB"/>
        </w:rPr>
        <w:t>Carpenter v Secretary of State for Justice</w:t>
      </w:r>
      <w:r w:rsidRPr="0028108F">
        <w:rPr>
          <w:rFonts w:ascii="Arial" w:hAnsi="Arial" w:cs="Arial"/>
          <w:color w:val="000000"/>
          <w:lang w:val="en-GB"/>
        </w:rPr>
        <w:t xml:space="preserve"> </w:t>
      </w:r>
      <w:r w:rsidRPr="0028108F">
        <w:rPr>
          <w:rFonts w:ascii="Arial" w:hAnsi="Arial" w:cs="Arial"/>
          <w:lang w:val="en-GB"/>
        </w:rPr>
        <w:t xml:space="preserve">[2015] </w:t>
      </w:r>
      <w:r w:rsidRPr="008813DE">
        <w:rPr>
          <w:rFonts w:ascii="Arial" w:hAnsi="Arial" w:cs="Arial"/>
          <w:lang w:val="en-GB"/>
        </w:rPr>
        <w:t>EWHC</w:t>
      </w:r>
      <w:r w:rsidRPr="00181CF2">
        <w:rPr>
          <w:rFonts w:ascii="Arial" w:hAnsi="Arial" w:cs="Arial"/>
          <w:lang w:val="en-GB"/>
        </w:rPr>
        <w:t xml:space="preserve"> 464 (Admin), which</w:t>
      </w:r>
      <w:r w:rsidRPr="00C57CE1">
        <w:rPr>
          <w:rFonts w:ascii="Arial" w:hAnsi="Arial" w:cs="Arial"/>
          <w:color w:val="000000"/>
          <w:lang w:val="en-GB"/>
        </w:rPr>
        <w:t xml:space="preserve"> will be discussed later in this </w:t>
      </w:r>
      <w:r>
        <w:rPr>
          <w:rFonts w:ascii="Arial" w:hAnsi="Arial" w:cs="Arial" w:hint="eastAsia"/>
          <w:color w:val="000000"/>
          <w:lang w:val="en-GB" w:eastAsia="zh-TW"/>
        </w:rPr>
        <w:t>c</w:t>
      </w:r>
      <w:r w:rsidRPr="00C57CE1">
        <w:rPr>
          <w:rFonts w:ascii="Arial" w:hAnsi="Arial" w:cs="Arial"/>
          <w:color w:val="000000"/>
          <w:lang w:val="en-GB"/>
        </w:rPr>
        <w:t xml:space="preserve">hapter at paragraphs </w:t>
      </w:r>
      <w:r w:rsidRPr="008813DE">
        <w:rPr>
          <w:rFonts w:ascii="Arial" w:hAnsi="Arial" w:cs="Arial"/>
          <w:color w:val="000000"/>
          <w:lang w:val="en-GB"/>
        </w:rPr>
        <w:t>3.108 and 3.110</w:t>
      </w:r>
      <w:r w:rsidRPr="0028108F">
        <w:rPr>
          <w:rFonts w:ascii="Arial" w:hAnsi="Arial" w:cs="Arial"/>
          <w:color w:val="000000"/>
          <w:lang w:val="en-GB"/>
        </w:rPr>
        <w:t>.</w:t>
      </w:r>
    </w:p>
  </w:footnote>
  <w:footnote w:id="208">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Michael Harris,</w:t>
      </w:r>
      <w:r w:rsidRPr="0028108F" w:rsidDel="00580E3B">
        <w:rPr>
          <w:rFonts w:ascii="Arial" w:hAnsi="Arial" w:cs="Arial"/>
          <w:lang w:val="en-GB"/>
        </w:rPr>
        <w:t xml:space="preserve"> </w:t>
      </w:r>
      <w:r w:rsidRPr="0028108F">
        <w:rPr>
          <w:rFonts w:ascii="Arial" w:hAnsi="Arial" w:cs="Arial"/>
          <w:lang w:val="en-GB"/>
        </w:rPr>
        <w:t>above</w:t>
      </w:r>
      <w:r w:rsidRPr="00181CF2">
        <w:rPr>
          <w:rFonts w:ascii="Arial" w:hAnsi="Arial" w:cs="Arial"/>
          <w:i/>
          <w:lang w:val="en-GB"/>
        </w:rPr>
        <w:t>.</w:t>
      </w:r>
    </w:p>
  </w:footnote>
  <w:footnote w:id="20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When the applicant has to demonstrate that he/she has lived permanently in the adopted gender for at least two years, the treating specialists will have insisted on a two-year </w:t>
      </w:r>
      <w:r w:rsidRPr="0028108F">
        <w:rPr>
          <w:rFonts w:ascii="Arial" w:hAnsi="Arial" w:cs="Arial"/>
          <w:i/>
          <w:lang w:val="en-GB"/>
        </w:rPr>
        <w:t>“real life experience”</w:t>
      </w:r>
      <w:r w:rsidRPr="0028108F">
        <w:rPr>
          <w:rFonts w:ascii="Arial" w:hAnsi="Arial" w:cs="Arial"/>
          <w:lang w:val="en-GB"/>
        </w:rPr>
        <w:t xml:space="preserve"> before agreeing to surgical intervention, but this does not necessarily lead to the accumulation of the document trail needed to satisfy the exacting requirements of the GRP, which will make a critical assessment based upon the precise evidence presented in different categories.  See Gender Identity Research and Education Society, “Evidence to support your application for a Gender Recognition Certificate</w:t>
      </w:r>
      <w:r w:rsidRPr="00181CF2">
        <w:rPr>
          <w:rFonts w:ascii="Arial" w:hAnsi="Arial" w:cs="Arial"/>
          <w:lang w:val="en-GB"/>
        </w:rPr>
        <w:t>”</w:t>
      </w:r>
      <w:r w:rsidRPr="00C57CE1">
        <w:rPr>
          <w:rFonts w:ascii="Arial" w:hAnsi="Arial" w:cs="Arial"/>
          <w:lang w:val="en-GB"/>
        </w:rPr>
        <w:t>, available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4" w:history="1">
        <w:r w:rsidRPr="0028108F">
          <w:rPr>
            <w:rStyle w:val="Hyperlink"/>
            <w:rFonts w:ascii="Arial" w:hAnsi="Arial" w:cs="Arial"/>
          </w:rPr>
          <w:t>http://www.gires.org.uk/law-archive/obtaining-your-gender-recognition-certificate</w:t>
        </w:r>
      </w:hyperlink>
      <w:r w:rsidRPr="0028108F">
        <w:rPr>
          <w:rFonts w:ascii="Arial" w:hAnsi="Arial" w:cs="Arial"/>
          <w:lang w:val="en-GB"/>
        </w:rPr>
        <w:t>.</w:t>
      </w:r>
    </w:p>
  </w:footnote>
  <w:footnote w:id="21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 quarterly national statistics </w:t>
      </w:r>
      <w:r w:rsidRPr="0028108F">
        <w:rPr>
          <w:rFonts w:ascii="Arial" w:hAnsi="Arial" w:cs="Arial"/>
          <w:bCs/>
          <w:lang w:val="en-GB"/>
        </w:rPr>
        <w:t xml:space="preserve">on Gender Recognition Certificates applied for and granted by Tribunals Service’s GRP and the </w:t>
      </w:r>
      <w:r>
        <w:rPr>
          <w:rFonts w:ascii="Arial" w:hAnsi="Arial" w:cs="Arial" w:hint="eastAsia"/>
          <w:bCs/>
          <w:lang w:val="en-GB" w:eastAsia="zh-TW"/>
        </w:rPr>
        <w:t>c</w:t>
      </w:r>
      <w:r w:rsidRPr="0028108F">
        <w:rPr>
          <w:rFonts w:ascii="Arial" w:hAnsi="Arial" w:cs="Arial"/>
          <w:bCs/>
          <w:lang w:val="en-GB"/>
        </w:rPr>
        <w:t>ourts were</w:t>
      </w:r>
      <w:r w:rsidRPr="0028108F">
        <w:rPr>
          <w:rFonts w:ascii="Arial" w:hAnsi="Arial" w:cs="Arial"/>
          <w:b/>
          <w:bCs/>
          <w:lang w:val="en-GB"/>
        </w:rPr>
        <w:t xml:space="preserve"> </w:t>
      </w:r>
      <w:r w:rsidRPr="0028108F">
        <w:rPr>
          <w:rFonts w:ascii="Arial" w:hAnsi="Arial" w:cs="Arial"/>
          <w:lang w:val="en-GB"/>
        </w:rPr>
        <w:t xml:space="preserve">released by the Ministry of Justice and produced in accordance with arrangements approved by the UK Statistics Authority.  Up to the issuance of this Consultation Paper, the latest update of the statistics was done in September 2014.  See: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5" w:history="1">
        <w:r w:rsidRPr="0028108F">
          <w:rPr>
            <w:rStyle w:val="Hyperlink"/>
            <w:rFonts w:ascii="Arial" w:hAnsi="Arial" w:cs="Arial"/>
            <w:lang w:val="en-GB"/>
          </w:rPr>
          <w:t>https://www.gov.uk/government/collections/gender-recognition-certificate-statistics</w:t>
        </w:r>
      </w:hyperlink>
      <w:r w:rsidRPr="0028108F">
        <w:rPr>
          <w:rFonts w:ascii="Arial" w:hAnsi="Arial" w:cs="Arial"/>
          <w:lang w:val="en-GB"/>
        </w:rPr>
        <w:t>.</w:t>
      </w:r>
    </w:p>
  </w:footnote>
  <w:footnote w:id="21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Minutes for the </w:t>
      </w:r>
      <w:r w:rsidRPr="0028108F">
        <w:rPr>
          <w:rFonts w:ascii="Arial" w:hAnsi="Arial" w:cs="Arial"/>
          <w:lang w:val="en-GB" w:eastAsia="zh-TW"/>
        </w:rPr>
        <w:t>GRP</w:t>
      </w:r>
      <w:r w:rsidRPr="0028108F">
        <w:rPr>
          <w:rFonts w:ascii="Arial" w:hAnsi="Arial" w:cs="Arial"/>
          <w:lang w:val="en-GB"/>
        </w:rPr>
        <w:t xml:space="preserve"> User Group Meeting (5 November 2008, London), at paragraph 3,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6" w:history="1">
        <w:r w:rsidRPr="0028108F">
          <w:rPr>
            <w:rStyle w:val="Hyperlink"/>
            <w:rFonts w:ascii="Arial" w:hAnsi="Arial" w:cs="Arial"/>
            <w:lang w:val="en-GB"/>
          </w:rPr>
          <w:t>https://www.justice.gov.uk/downloads/tribunals/gender-recognition-panel/grp_minutes_05Nov2008_final.pdf</w:t>
        </w:r>
      </w:hyperlink>
      <w:r w:rsidRPr="0028108F">
        <w:rPr>
          <w:rFonts w:ascii="Arial" w:hAnsi="Arial" w:cs="Arial"/>
          <w:lang w:val="en-GB"/>
        </w:rPr>
        <w:t>.</w:t>
      </w:r>
    </w:p>
  </w:footnote>
  <w:footnote w:id="21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Minutes for the </w:t>
      </w:r>
      <w:r w:rsidRPr="0028108F">
        <w:rPr>
          <w:rFonts w:ascii="Arial" w:hAnsi="Arial" w:cs="Arial"/>
          <w:lang w:val="en-GB" w:eastAsia="zh-TW"/>
        </w:rPr>
        <w:t>GRP</w:t>
      </w:r>
      <w:r w:rsidRPr="0028108F">
        <w:rPr>
          <w:rFonts w:ascii="Arial" w:hAnsi="Arial" w:cs="Arial"/>
          <w:lang w:val="en-GB"/>
        </w:rPr>
        <w:t xml:space="preserve"> User Group Meeting (March 2010, London), at paragraph 3, available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7" w:history="1">
        <w:r w:rsidRPr="0028108F">
          <w:rPr>
            <w:rStyle w:val="Hyperlink"/>
            <w:rFonts w:ascii="Arial" w:hAnsi="Arial" w:cs="Arial"/>
            <w:lang w:val="en-GB"/>
          </w:rPr>
          <w:t>http://www.justice.gov.uk/downloads/tribunals/gender-recognition-panel/grp_minutes_18Mar10.pdf.pdf</w:t>
        </w:r>
      </w:hyperlink>
      <w:r w:rsidRPr="0028108F">
        <w:rPr>
          <w:rFonts w:ascii="Arial" w:hAnsi="Arial" w:cs="Arial"/>
          <w:lang w:val="en-GB"/>
        </w:rPr>
        <w:t xml:space="preserve">.  </w:t>
      </w:r>
    </w:p>
  </w:footnote>
  <w:footnote w:id="21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related information disclosed by the GRP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8" w:history="1">
        <w:r w:rsidRPr="0028108F">
          <w:rPr>
            <w:rStyle w:val="Hyperlink"/>
            <w:rFonts w:ascii="Arial" w:hAnsi="Arial" w:cs="Arial"/>
            <w:lang w:val="en-GB"/>
          </w:rPr>
          <w:t>http://webarchive.nationalarchives.gov.uk/20110206182821/http://www.grp.gov.uk/aboutus.htm</w:t>
        </w:r>
      </w:hyperlink>
      <w:r w:rsidRPr="0028108F">
        <w:rPr>
          <w:rFonts w:ascii="Arial" w:hAnsi="Arial" w:cs="Arial"/>
          <w:lang w:val="en-GB"/>
        </w:rPr>
        <w:t xml:space="preserve">. </w:t>
      </w:r>
    </w:p>
  </w:footnote>
  <w:footnote w:id="21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w:t>
      </w:r>
      <w:r w:rsidRPr="0028108F">
        <w:rPr>
          <w:rFonts w:ascii="Arial" w:hAnsi="Arial" w:cs="Arial"/>
          <w:i/>
          <w:lang w:val="en-GB"/>
        </w:rPr>
        <w:t>.</w:t>
      </w:r>
    </w:p>
  </w:footnote>
  <w:footnote w:id="215">
    <w:p w:rsidR="0022178B" w:rsidRPr="0028108F" w:rsidRDefault="0022178B" w:rsidP="004633AF">
      <w:pPr>
        <w:pStyle w:val="FootnoteText"/>
        <w:tabs>
          <w:tab w:val="left" w:pos="851"/>
        </w:tabs>
        <w:ind w:left="709" w:hanging="709"/>
        <w:jc w:val="both"/>
        <w:rPr>
          <w:rFonts w:ascii="Arial" w:hAnsi="Arial" w:cs="Arial"/>
          <w:color w:val="000000"/>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Hines, S and Davy, Z, “</w:t>
      </w:r>
      <w:r w:rsidRPr="0028108F">
        <w:rPr>
          <w:rFonts w:ascii="Arial" w:hAnsi="Arial" w:cs="Arial"/>
          <w:color w:val="0D0D0D" w:themeColor="text1" w:themeTint="F2"/>
          <w:kern w:val="0"/>
          <w:lang w:val="en-GB"/>
        </w:rPr>
        <w:t>Gender Diversity, Recognition and Citizenship: Exploring the Significance and Experiences of the UK Gender Recognition Act</w:t>
      </w:r>
      <w:r w:rsidRPr="00181CF2">
        <w:rPr>
          <w:rFonts w:ascii="Arial" w:hAnsi="Arial" w:cs="Arial"/>
          <w:lang w:val="en-GB"/>
        </w:rPr>
        <w:t xml:space="preserve"> (GRA, 2004)</w:t>
      </w:r>
      <w:r w:rsidRPr="00C57CE1">
        <w:rPr>
          <w:rFonts w:ascii="Arial" w:hAnsi="Arial" w:cs="Arial"/>
          <w:lang w:val="en-GB"/>
        </w:rPr>
        <w:t>”</w:t>
      </w:r>
      <w:r w:rsidRPr="0028108F">
        <w:rPr>
          <w:rFonts w:ascii="Arial" w:hAnsi="Arial" w:cs="Arial"/>
          <w:lang w:val="en-GB"/>
        </w:rPr>
        <w:t xml:space="preserve"> (University of Leeds &amp; Economic &amp; Social Research Council, undated paper), at 13 and 14</w:t>
      </w:r>
      <w:r w:rsidRPr="0028108F">
        <w:rPr>
          <w:rFonts w:ascii="Arial" w:hAnsi="Arial" w:cs="Arial"/>
          <w:color w:val="000000"/>
          <w:lang w:val="en-GB"/>
        </w:rPr>
        <w:t xml:space="preserve">. </w:t>
      </w:r>
    </w:p>
  </w:footnote>
  <w:footnote w:id="21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(Ireland) Gender Recognition Advisory Group, </w:t>
      </w:r>
      <w:r w:rsidRPr="008813DE">
        <w:rPr>
          <w:rFonts w:ascii="Arial" w:hAnsi="Arial" w:cs="Arial"/>
          <w:i/>
          <w:lang w:val="en-GB"/>
        </w:rPr>
        <w:t>Report to Joan Burton TD, Minister for Social Protection</w:t>
      </w:r>
      <w:r w:rsidRPr="00C57CE1">
        <w:rPr>
          <w:rFonts w:ascii="Arial" w:hAnsi="Arial" w:cs="Arial"/>
          <w:lang w:val="en-GB"/>
        </w:rPr>
        <w:t xml:space="preserve"> (15 June 2011), at 11 an</w:t>
      </w:r>
      <w:r w:rsidRPr="0028108F">
        <w:rPr>
          <w:rFonts w:ascii="Arial" w:hAnsi="Arial" w:cs="Arial"/>
          <w:lang w:val="en-GB"/>
        </w:rPr>
        <w:t>d 12.</w:t>
      </w:r>
    </w:p>
  </w:footnote>
  <w:footnote w:id="21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 Commission is a non-departmental public body in Great Britain that was established by the Equality Act 2006 and came into being on 1 October 2007, taking the responsibility for the promotion and enforcement of equality and non-discrimination laws in England, Scotland and Wales (see its homepage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29" w:history="1">
        <w:r w:rsidRPr="0028108F">
          <w:rPr>
            <w:rStyle w:val="Hyperlink"/>
            <w:rFonts w:ascii="Arial" w:hAnsi="Arial" w:cs="Arial"/>
            <w:lang w:val="en-GB"/>
          </w:rPr>
          <w:t>http://equalityhumanrights.com</w:t>
        </w:r>
      </w:hyperlink>
      <w:r w:rsidRPr="0028108F">
        <w:rPr>
          <w:rFonts w:ascii="Arial" w:hAnsi="Arial" w:cs="Arial"/>
          <w:lang w:val="en-GB"/>
        </w:rPr>
        <w:t xml:space="preserve">). </w:t>
      </w:r>
    </w:p>
  </w:footnote>
  <w:footnote w:id="21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Style w:val="normalchar"/>
          <w:rFonts w:ascii="Arial" w:hAnsi="Arial" w:cs="Arial"/>
          <w:lang w:val="en-GB"/>
        </w:rPr>
        <w:t>Equality and Human Rights Commission, “Submission on the UK's sixth periodic report under the International Covenant on Civil and Political Rights</w:t>
      </w:r>
      <w:r w:rsidRPr="00181CF2">
        <w:rPr>
          <w:rStyle w:val="normalchar"/>
          <w:rFonts w:ascii="Arial" w:hAnsi="Arial" w:cs="Arial"/>
          <w:lang w:val="en-GB"/>
        </w:rPr>
        <w:t>”</w:t>
      </w:r>
      <w:r w:rsidRPr="00C57CE1">
        <w:rPr>
          <w:rStyle w:val="normalchar"/>
          <w:rFonts w:ascii="Arial" w:hAnsi="Arial" w:cs="Arial"/>
          <w:lang w:val="en-GB"/>
        </w:rPr>
        <w:t xml:space="preserve"> (June 2008), at 23.</w:t>
      </w:r>
    </w:p>
  </w:footnote>
  <w:footnote w:id="219">
    <w:p w:rsidR="0022178B" w:rsidRDefault="0022178B" w:rsidP="004633AF">
      <w:pPr>
        <w:pStyle w:val="FootnoteText"/>
        <w:tabs>
          <w:tab w:val="left" w:pos="851"/>
        </w:tabs>
        <w:ind w:left="709" w:hanging="709"/>
        <w:jc w:val="both"/>
        <w:rPr>
          <w:rFonts w:ascii="Arial" w:hAnsi="Arial" w:cs="Arial"/>
          <w:lang w:val="en-GB" w:eastAsia="zh-TW"/>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Style w:val="normalchar"/>
          <w:rFonts w:ascii="Arial" w:hAnsi="Arial" w:cs="Arial"/>
          <w:lang w:val="en-GB"/>
        </w:rPr>
        <w:t xml:space="preserve">Equality and Human Rights Commission, </w:t>
      </w:r>
      <w:r w:rsidRPr="0028108F">
        <w:rPr>
          <w:rStyle w:val="normalchar"/>
          <w:rFonts w:ascii="Arial" w:hAnsi="Arial" w:cs="Arial"/>
          <w:i/>
          <w:lang w:val="en-GB"/>
        </w:rPr>
        <w:t>above</w:t>
      </w:r>
      <w:r w:rsidRPr="0028108F">
        <w:rPr>
          <w:rFonts w:ascii="Arial" w:hAnsi="Arial" w:cs="Arial"/>
          <w:i/>
          <w:lang w:val="en-GB"/>
        </w:rPr>
        <w:t>.</w:t>
      </w:r>
      <w:r w:rsidRPr="0028108F">
        <w:rPr>
          <w:rFonts w:ascii="Arial" w:hAnsi="Arial" w:cs="Arial"/>
          <w:lang w:val="en-GB"/>
        </w:rPr>
        <w:t xml:space="preserve">  See also Stephen Whittle, Lewis Turner and Maryam Al-Alami, “Engendered Penalties: Transgender and Transsexual People’s Experiences of Inequality and Discrimination</w:t>
      </w:r>
      <w:r w:rsidRPr="00181CF2">
        <w:rPr>
          <w:rFonts w:ascii="Arial" w:hAnsi="Arial" w:cs="Arial"/>
          <w:lang w:val="en-GB"/>
        </w:rPr>
        <w:t>”</w:t>
      </w:r>
      <w:r w:rsidRPr="00C57CE1">
        <w:rPr>
          <w:rFonts w:ascii="Arial" w:hAnsi="Arial" w:cs="Arial"/>
          <w:lang w:val="en-GB"/>
        </w:rPr>
        <w:t xml:space="preserve"> (Press For Change, February 2007), at </w:t>
      </w:r>
      <w:r>
        <w:rPr>
          <w:rFonts w:ascii="Arial" w:hAnsi="Arial" w:cs="Arial"/>
          <w:lang w:val="en-GB"/>
        </w:rPr>
        <w:t>paragraph 7.3, available at</w:t>
      </w:r>
      <w:r>
        <w:rPr>
          <w:rFonts w:ascii="Arial" w:hAnsi="Arial" w:cs="Arial" w:hint="eastAsia"/>
          <w:lang w:val="en-GB" w:eastAsia="zh-TW"/>
        </w:rPr>
        <w:t>:</w:t>
      </w:r>
    </w:p>
    <w:p w:rsidR="0022178B" w:rsidRPr="0028108F" w:rsidRDefault="0022178B" w:rsidP="004633AF">
      <w:pPr>
        <w:pStyle w:val="FootnoteText"/>
        <w:tabs>
          <w:tab w:val="left" w:pos="851"/>
        </w:tabs>
        <w:ind w:left="709" w:hanging="709"/>
        <w:jc w:val="both"/>
        <w:rPr>
          <w:rFonts w:ascii="Arial" w:hAnsi="Arial" w:cs="Arial"/>
          <w:lang w:val="en-GB"/>
        </w:rPr>
      </w:pPr>
      <w:r>
        <w:rPr>
          <w:rFonts w:ascii="Arial" w:hAnsi="Arial" w:cs="Arial" w:hint="eastAsia"/>
          <w:lang w:val="en-GB" w:eastAsia="zh-TW"/>
        </w:rPr>
        <w:tab/>
      </w:r>
      <w:hyperlink r:id="rId30" w:history="1">
        <w:r w:rsidRPr="001A34B0">
          <w:rPr>
            <w:rStyle w:val="Hyperlink"/>
            <w:rFonts w:ascii="Arial" w:hAnsi="Arial" w:cs="Arial"/>
            <w:lang w:val="en-GB"/>
          </w:rPr>
          <w:t>http://www.pfc.org.uk/pdf/EngenderedPenalties.pdf</w:t>
        </w:r>
      </w:hyperlink>
      <w:r w:rsidRPr="0028108F">
        <w:rPr>
          <w:rFonts w:ascii="Arial" w:hAnsi="Arial" w:cs="Arial"/>
          <w:lang w:val="en-GB"/>
        </w:rPr>
        <w:t>.</w:t>
      </w:r>
    </w:p>
  </w:footnote>
  <w:footnote w:id="22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Stephen Whittle, Lewis Turner and Maryam Al-Alami, “Engendered Penalties: Transgender and Transsexual People’s Experiences of Inequality and Discrimination</w:t>
      </w:r>
      <w:r w:rsidRPr="00181CF2">
        <w:rPr>
          <w:rFonts w:ascii="Arial" w:hAnsi="Arial" w:cs="Arial"/>
          <w:lang w:val="en-GB"/>
        </w:rPr>
        <w:t>”</w:t>
      </w:r>
      <w:r w:rsidRPr="00C57CE1">
        <w:rPr>
          <w:rFonts w:ascii="Arial" w:hAnsi="Arial" w:cs="Arial"/>
          <w:lang w:val="en-GB"/>
        </w:rPr>
        <w:t xml:space="preserve"> (</w:t>
      </w:r>
      <w:r w:rsidRPr="00564539">
        <w:rPr>
          <w:rFonts w:ascii="Arial" w:hAnsi="Arial" w:cs="Arial"/>
          <w:i/>
          <w:lang w:val="en-GB"/>
        </w:rPr>
        <w:t>Press For Change</w:t>
      </w:r>
      <w:r w:rsidRPr="00C57CE1">
        <w:rPr>
          <w:rFonts w:ascii="Arial" w:hAnsi="Arial" w:cs="Arial"/>
          <w:lang w:val="en-GB"/>
        </w:rPr>
        <w:t xml:space="preserve">, February 2007), at </w:t>
      </w:r>
      <w:r w:rsidRPr="0028108F">
        <w:rPr>
          <w:rFonts w:ascii="Arial" w:hAnsi="Arial" w:cs="Arial"/>
          <w:lang w:val="en-GB"/>
        </w:rPr>
        <w:t>paragraph 5.3.1.</w:t>
      </w:r>
    </w:p>
  </w:footnote>
  <w:footnote w:id="22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 deed poll is an alternative but it would be more expensive to get a deed poll and it is not a sworn document and thus does not carry the same weight in law.</w:t>
      </w:r>
    </w:p>
  </w:footnote>
  <w:footnote w:id="22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 summary of the combining effect of the Equality Act 2010 and the GRA in protecting the trans people from being discriminated at work can be seen in Press For Change’s article (written by Stephen Whittle in May 2011), “Changing Names and Gender; A Guide For Employers And Other Organisations</w:t>
      </w:r>
      <w:r w:rsidRPr="00181CF2">
        <w:rPr>
          <w:rFonts w:ascii="Arial" w:hAnsi="Arial" w:cs="Arial"/>
          <w:lang w:val="en-GB"/>
        </w:rPr>
        <w:t>”</w:t>
      </w:r>
      <w:r w:rsidRPr="00C57CE1">
        <w:rPr>
          <w:rFonts w:ascii="Arial" w:hAnsi="Arial" w:cs="Arial"/>
          <w:lang w:val="en-GB"/>
        </w:rPr>
        <w:t>, available at:</w:t>
      </w:r>
      <w:r w:rsidRPr="0028108F">
        <w:rPr>
          <w:rFonts w:ascii="Arial" w:hAnsi="Arial" w:cs="Arial"/>
          <w:lang w:val="en-GB"/>
        </w:rPr>
        <w:tab/>
      </w:r>
      <w:r w:rsidRPr="00B02C1D">
        <w:t xml:space="preserve"> </w:t>
      </w:r>
      <w:hyperlink r:id="rId31" w:history="1">
        <w:r w:rsidRPr="000C65F0">
          <w:rPr>
            <w:rStyle w:val="Hyperlink"/>
            <w:rFonts w:ascii="Arial" w:hAnsi="Arial" w:cs="Arial"/>
            <w:lang w:val="en-GB"/>
          </w:rPr>
          <w:t>http://www.lgbtwolverhampton.org.uk/uploads/3/0/2/4/30245599/2013_pfc-faqsht_02_name_changes_4_orgs.pdf</w:t>
        </w:r>
      </w:hyperlink>
      <w:r>
        <w:rPr>
          <w:rFonts w:ascii="Arial" w:hAnsi="Arial" w:cs="Arial"/>
          <w:lang w:val="en-GB"/>
        </w:rPr>
        <w:t xml:space="preserve">. </w:t>
      </w:r>
      <w:r w:rsidRPr="0028108F">
        <w:rPr>
          <w:rFonts w:ascii="Arial" w:hAnsi="Arial" w:cs="Arial"/>
          <w:lang w:val="en-GB"/>
        </w:rPr>
        <w:t xml:space="preserve"> </w:t>
      </w:r>
    </w:p>
  </w:footnote>
  <w:footnote w:id="22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Hines, S and Davy, Z, “</w:t>
      </w:r>
      <w:r w:rsidRPr="0028108F">
        <w:rPr>
          <w:rFonts w:ascii="Arial" w:hAnsi="Arial" w:cs="Arial"/>
          <w:color w:val="0D0D0D" w:themeColor="text1" w:themeTint="F2"/>
          <w:kern w:val="0"/>
          <w:lang w:val="en-GB"/>
        </w:rPr>
        <w:t>Gender Diversity, Recognition and Citizenship: Exploring the Significance and Experiences of the UK Gender Recognition Act</w:t>
      </w:r>
      <w:r w:rsidRPr="00181CF2">
        <w:rPr>
          <w:rFonts w:ascii="Arial" w:hAnsi="Arial" w:cs="Arial"/>
          <w:i/>
          <w:color w:val="0D0D0D" w:themeColor="text1" w:themeTint="F2"/>
          <w:kern w:val="0"/>
          <w:lang w:val="en-GB"/>
        </w:rPr>
        <w:t xml:space="preserve"> </w:t>
      </w:r>
      <w:r w:rsidRPr="00C57CE1">
        <w:rPr>
          <w:rFonts w:ascii="Arial" w:hAnsi="Arial" w:cs="Arial"/>
          <w:lang w:val="en-GB"/>
        </w:rPr>
        <w:t>(GRA, 2004)</w:t>
      </w:r>
      <w:r w:rsidRPr="0028108F">
        <w:rPr>
          <w:rFonts w:ascii="Arial" w:hAnsi="Arial" w:cs="Arial"/>
          <w:lang w:val="en-GB"/>
        </w:rPr>
        <w:t>” (University of Leeds and Economic &amp; Social Research Council, undated paper), at 8 and 16</w:t>
      </w:r>
      <w:r w:rsidRPr="0028108F">
        <w:rPr>
          <w:rFonts w:ascii="Arial" w:hAnsi="Arial" w:cs="Arial"/>
          <w:color w:val="000000"/>
          <w:lang w:val="en-GB"/>
        </w:rPr>
        <w:t xml:space="preserve">.  </w:t>
      </w:r>
    </w:p>
  </w:footnote>
  <w:footnote w:id="22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Stephen Whittle and Dr Lewis Turner, “Leading Trans Equality: A Toolkit for Colleges – The need for a Trans Positive environment at colleges, and what this toolkit can do for you” (CEL Research Programme 2007-08, March 2008), at 83, available at: </w:t>
      </w:r>
      <w:hyperlink r:id="rId32" w:history="1">
        <w:r w:rsidRPr="0028108F">
          <w:rPr>
            <w:rStyle w:val="Hyperlink"/>
            <w:rFonts w:ascii="Arial" w:eastAsia="細明體" w:hAnsi="Arial" w:cs="Arial"/>
            <w:lang w:val="en-GB"/>
          </w:rPr>
          <w:t>http://issuu.com/lgbtexcellencecentre/docs/transgender_school_toolkit/1</w:t>
        </w:r>
      </w:hyperlink>
      <w:r w:rsidRPr="0028108F">
        <w:rPr>
          <w:rFonts w:ascii="Arial" w:hAnsi="Arial" w:cs="Arial"/>
          <w:lang w:val="en-GB"/>
        </w:rPr>
        <w:t>.</w:t>
      </w:r>
    </w:p>
  </w:footnote>
  <w:footnote w:id="225">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Jens T. Theilen, “Depathologisation of Transgenderism and International Human Rights Law</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Human Rights Law Review</w:t>
      </w:r>
      <w:r w:rsidRPr="00181CF2">
        <w:rPr>
          <w:rFonts w:ascii="Arial" w:hAnsi="Arial" w:cs="Arial"/>
          <w:lang w:val="en-GB"/>
        </w:rPr>
        <w:t xml:space="preserve"> (2014) 14(2): 327 to 342.</w:t>
      </w:r>
    </w:p>
  </w:footnote>
  <w:footnote w:id="226">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DSM is a standard published by the American Psychiatric Association (</w:t>
      </w:r>
      <w:hyperlink r:id="rId33" w:history="1">
        <w:r w:rsidRPr="0028108F">
          <w:rPr>
            <w:rStyle w:val="Hyperlink"/>
            <w:rFonts w:ascii="Arial" w:hAnsi="Arial" w:cs="Arial"/>
            <w:lang w:val="en-GB"/>
          </w:rPr>
          <w:t>http://www.dsm5.org/Pages/Default.aspx</w:t>
        </w:r>
      </w:hyperlink>
      <w:r w:rsidRPr="0028108F">
        <w:rPr>
          <w:rFonts w:ascii="Arial" w:hAnsi="Arial" w:cs="Arial"/>
          <w:lang w:val="en-GB"/>
        </w:rPr>
        <w:t xml:space="preserve">) and provides a common language and standard criteria for the classification of mental disorders.  </w:t>
      </w:r>
    </w:p>
  </w:footnote>
  <w:footnote w:id="227">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Hines, S and Davy, Z, “</w:t>
      </w:r>
      <w:r w:rsidRPr="0028108F">
        <w:rPr>
          <w:rFonts w:ascii="Arial" w:hAnsi="Arial" w:cs="Arial"/>
          <w:color w:val="0D0D0D" w:themeColor="text1" w:themeTint="F2"/>
          <w:kern w:val="0"/>
          <w:lang w:val="en-GB"/>
        </w:rPr>
        <w:t>Gender Diversity, Recognition and Citizenship: Exploring the Significance and Experiences of the UK Gender Recognition Act</w:t>
      </w:r>
      <w:r w:rsidRPr="00181CF2">
        <w:rPr>
          <w:rFonts w:ascii="Arial" w:hAnsi="Arial" w:cs="Arial"/>
          <w:i/>
          <w:color w:val="0D0D0D" w:themeColor="text1" w:themeTint="F2"/>
          <w:kern w:val="0"/>
          <w:lang w:val="en-GB"/>
        </w:rPr>
        <w:t xml:space="preserve"> </w:t>
      </w:r>
      <w:r w:rsidRPr="00C57CE1">
        <w:rPr>
          <w:rFonts w:ascii="Arial" w:hAnsi="Arial" w:cs="Arial"/>
          <w:lang w:val="en-GB"/>
        </w:rPr>
        <w:t>(GRA, 2004)</w:t>
      </w:r>
      <w:r w:rsidRPr="0028108F">
        <w:rPr>
          <w:rFonts w:ascii="Arial" w:hAnsi="Arial" w:cs="Arial"/>
          <w:lang w:val="en-GB"/>
        </w:rPr>
        <w:t>” (University of Leeds and Economic &amp; Social Research Council, undated paper), at 18</w:t>
      </w:r>
      <w:r w:rsidRPr="0028108F">
        <w:rPr>
          <w:rFonts w:ascii="Arial" w:hAnsi="Arial" w:cs="Arial"/>
          <w:color w:val="000000"/>
          <w:lang w:val="en-GB"/>
        </w:rPr>
        <w:t xml:space="preserve">. </w:t>
      </w:r>
    </w:p>
  </w:footnote>
  <w:footnote w:id="22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Hines, above</w:t>
      </w:r>
      <w:r w:rsidRPr="00181CF2">
        <w:rPr>
          <w:rFonts w:ascii="Arial" w:hAnsi="Arial" w:cs="Arial"/>
          <w:lang w:val="en-GB"/>
        </w:rPr>
        <w:t>,</w:t>
      </w:r>
      <w:r w:rsidRPr="00C57CE1">
        <w:rPr>
          <w:rFonts w:ascii="Arial" w:hAnsi="Arial" w:cs="Arial"/>
          <w:lang w:val="en-GB" w:eastAsia="zh-TW"/>
        </w:rPr>
        <w:t xml:space="preserve"> </w:t>
      </w:r>
      <w:r w:rsidRPr="0028108F">
        <w:rPr>
          <w:rFonts w:ascii="Arial" w:hAnsi="Arial" w:cs="Arial"/>
          <w:lang w:val="en-GB"/>
        </w:rPr>
        <w:t xml:space="preserve">at 19. </w:t>
      </w:r>
    </w:p>
  </w:footnote>
  <w:footnote w:id="22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Catherine Fairbairn, Home Affairs Section, House of Commons Library, “The Gender Recognition Bill [HL], Bill 56 of 2003-04</w:t>
      </w:r>
      <w:r w:rsidRPr="00181CF2">
        <w:rPr>
          <w:rFonts w:ascii="Arial" w:hAnsi="Arial" w:cs="Arial"/>
          <w:lang w:val="en-GB"/>
        </w:rPr>
        <w:t>”</w:t>
      </w:r>
      <w:r w:rsidRPr="00C57CE1">
        <w:rPr>
          <w:rFonts w:ascii="Arial" w:hAnsi="Arial" w:cs="Arial"/>
          <w:lang w:val="en-GB"/>
        </w:rPr>
        <w:t xml:space="preserve">, (17 February 2004), </w:t>
      </w:r>
      <w:r w:rsidRPr="0028108F">
        <w:rPr>
          <w:rFonts w:ascii="Arial" w:hAnsi="Arial" w:cs="Arial"/>
          <w:lang w:val="en-GB"/>
        </w:rPr>
        <w:t>at 78.</w:t>
      </w:r>
    </w:p>
  </w:footnote>
  <w:footnote w:id="230">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European Union Agency for Fundamental Rights</w:t>
      </w:r>
      <w:r>
        <w:rPr>
          <w:rFonts w:ascii="Arial" w:hAnsi="Arial" w:cs="Arial"/>
          <w:lang w:val="en-GB"/>
        </w:rPr>
        <w:t>, “</w:t>
      </w:r>
      <w:r w:rsidRPr="0028108F">
        <w:rPr>
          <w:rFonts w:ascii="Arial" w:hAnsi="Arial" w:cs="Arial"/>
          <w:lang w:val="en-GB"/>
        </w:rPr>
        <w:t>Being Trans in the E</w:t>
      </w:r>
      <w:r>
        <w:rPr>
          <w:rFonts w:ascii="Arial" w:hAnsi="Arial" w:cs="Arial"/>
          <w:lang w:val="en-GB"/>
        </w:rPr>
        <w:t xml:space="preserve">uropean </w:t>
      </w:r>
      <w:r w:rsidRPr="0028108F">
        <w:rPr>
          <w:rFonts w:ascii="Arial" w:hAnsi="Arial" w:cs="Arial"/>
          <w:lang w:val="en-GB"/>
        </w:rPr>
        <w:t>U</w:t>
      </w:r>
      <w:r>
        <w:rPr>
          <w:rFonts w:ascii="Arial" w:hAnsi="Arial" w:cs="Arial"/>
          <w:lang w:val="en-GB"/>
        </w:rPr>
        <w:t>nion</w:t>
      </w:r>
      <w:r w:rsidRPr="0028108F">
        <w:rPr>
          <w:rFonts w:ascii="Arial" w:hAnsi="Arial" w:cs="Arial"/>
          <w:lang w:val="en-GB"/>
        </w:rPr>
        <w:t xml:space="preserve"> – Comparative Analysis of the EU LGBT Survey Data</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Luxembourg: European Union Agency for Fundamental Rights</w:t>
      </w:r>
      <w:r w:rsidRPr="00181CF2">
        <w:rPr>
          <w:rFonts w:ascii="Arial" w:hAnsi="Arial" w:cs="Arial"/>
          <w:lang w:val="en-GB"/>
        </w:rPr>
        <w:t>, 2014.</w:t>
      </w:r>
    </w:p>
  </w:footnote>
  <w:footnote w:id="231">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For more information about the Women and Equalities Committee, please see: </w:t>
      </w:r>
      <w:hyperlink r:id="rId34" w:history="1">
        <w:r w:rsidRPr="0028108F">
          <w:rPr>
            <w:rStyle w:val="Hyperlink"/>
            <w:rFonts w:ascii="Arial" w:hAnsi="Arial" w:cs="Arial"/>
            <w:lang w:val="en-GB"/>
          </w:rPr>
          <w:t>http://www.parliament.uk/business/committees/committees-a-z/commons-select/women-and-equalities-committee/role/</w:t>
        </w:r>
      </w:hyperlink>
    </w:p>
  </w:footnote>
  <w:footnote w:id="232">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Women and Equalities Committee, </w:t>
      </w:r>
      <w:r w:rsidRPr="0028108F">
        <w:rPr>
          <w:rFonts w:ascii="Arial" w:hAnsi="Arial" w:cs="Arial"/>
          <w:i/>
          <w:lang w:val="en-GB"/>
        </w:rPr>
        <w:t>Transgender Equality</w:t>
      </w:r>
      <w:r w:rsidRPr="0028108F">
        <w:rPr>
          <w:rFonts w:ascii="Arial" w:hAnsi="Arial" w:cs="Arial"/>
          <w:lang w:val="en-GB"/>
        </w:rPr>
        <w:t xml:space="preserve"> (First Report of Session 2015-16), published on 14 January 2016 by </w:t>
      </w:r>
      <w:r w:rsidRPr="0028108F">
        <w:rPr>
          <w:rFonts w:ascii="Arial" w:hAnsi="Arial" w:cs="Arial"/>
          <w:i/>
          <w:lang w:val="en-GB"/>
        </w:rPr>
        <w:t>authority of the House of Commons</w:t>
      </w:r>
      <w:r w:rsidRPr="00181CF2">
        <w:rPr>
          <w:rFonts w:ascii="Arial" w:hAnsi="Arial" w:cs="Arial"/>
          <w:lang w:val="en-GB"/>
        </w:rPr>
        <w:t xml:space="preserve">, at </w:t>
      </w:r>
      <w:r w:rsidRPr="0028108F">
        <w:rPr>
          <w:rFonts w:ascii="Arial" w:hAnsi="Arial" w:cs="Arial"/>
          <w:lang w:val="en-GB"/>
        </w:rPr>
        <w:t>paragraph 45.</w:t>
      </w:r>
    </w:p>
  </w:footnote>
  <w:footnote w:id="23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 at paragraph 70.</w:t>
      </w:r>
    </w:p>
  </w:footnote>
  <w:footnote w:id="23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 at paragraph 298.</w:t>
      </w:r>
    </w:p>
  </w:footnote>
  <w:footnote w:id="235">
    <w:p w:rsidR="0022178B" w:rsidRPr="00181CF2" w:rsidRDefault="0022178B" w:rsidP="00604960">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 xml:space="preserve">[2015] </w:t>
      </w:r>
      <w:r w:rsidRPr="008813DE">
        <w:rPr>
          <w:rFonts w:ascii="Arial" w:hAnsi="Arial" w:cs="Arial"/>
          <w:sz w:val="20"/>
          <w:szCs w:val="20"/>
          <w:lang w:val="en-GB"/>
        </w:rPr>
        <w:t>EWHC</w:t>
      </w:r>
      <w:r w:rsidRPr="00181CF2">
        <w:rPr>
          <w:rFonts w:ascii="Arial" w:hAnsi="Arial" w:cs="Arial"/>
          <w:sz w:val="20"/>
          <w:szCs w:val="20"/>
          <w:lang w:val="en-GB"/>
        </w:rPr>
        <w:t xml:space="preserve"> 990 (Admin), [2015] </w:t>
      </w:r>
      <w:r w:rsidRPr="00B25672">
        <w:rPr>
          <w:rFonts w:ascii="Arial" w:hAnsi="Arial" w:cs="Arial"/>
          <w:sz w:val="20"/>
          <w:szCs w:val="20"/>
          <w:lang w:val="en-GB"/>
        </w:rPr>
        <w:t>All ER (D)</w:t>
      </w:r>
      <w:r w:rsidRPr="00DC48C6">
        <w:rPr>
          <w:rFonts w:ascii="Arial" w:hAnsi="Arial" w:cs="Arial"/>
          <w:sz w:val="20"/>
          <w:szCs w:val="20"/>
          <w:lang w:val="en-GB"/>
        </w:rPr>
        <w:t xml:space="preserve"> </w:t>
      </w:r>
      <w:r w:rsidRPr="00181CF2">
        <w:rPr>
          <w:rFonts w:ascii="Arial" w:hAnsi="Arial" w:cs="Arial"/>
          <w:sz w:val="20"/>
          <w:szCs w:val="20"/>
          <w:lang w:val="en-GB"/>
        </w:rPr>
        <w:t xml:space="preserve">128 (Apr). </w:t>
      </w:r>
    </w:p>
  </w:footnote>
  <w:footnote w:id="236">
    <w:p w:rsidR="0022178B" w:rsidRPr="00C57CE1" w:rsidRDefault="0022178B" w:rsidP="00604960">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 xml:space="preserve">[2015] </w:t>
      </w:r>
      <w:r w:rsidRPr="008813DE">
        <w:rPr>
          <w:rFonts w:ascii="Arial" w:hAnsi="Arial" w:cs="Arial"/>
          <w:sz w:val="20"/>
          <w:szCs w:val="20"/>
          <w:lang w:val="en-GB"/>
        </w:rPr>
        <w:t>EWHC</w:t>
      </w:r>
      <w:r w:rsidRPr="00181CF2">
        <w:rPr>
          <w:rFonts w:ascii="Arial" w:hAnsi="Arial" w:cs="Arial"/>
          <w:sz w:val="20"/>
          <w:szCs w:val="20"/>
          <w:lang w:val="en-GB"/>
        </w:rPr>
        <w:t xml:space="preserve"> 464 (Admin), [2015] </w:t>
      </w:r>
      <w:r w:rsidRPr="00B25672">
        <w:rPr>
          <w:rFonts w:ascii="Arial" w:hAnsi="Arial" w:cs="Arial"/>
          <w:sz w:val="20"/>
          <w:szCs w:val="20"/>
          <w:lang w:val="en-GB"/>
        </w:rPr>
        <w:t>All ER (D)</w:t>
      </w:r>
      <w:r w:rsidRPr="00DC48C6">
        <w:rPr>
          <w:rFonts w:ascii="Arial" w:hAnsi="Arial" w:cs="Arial"/>
          <w:sz w:val="20"/>
          <w:szCs w:val="20"/>
          <w:lang w:val="en-GB"/>
        </w:rPr>
        <w:t xml:space="preserve"> </w:t>
      </w:r>
      <w:r w:rsidRPr="00181CF2">
        <w:rPr>
          <w:rFonts w:ascii="Arial" w:hAnsi="Arial" w:cs="Arial"/>
          <w:sz w:val="20"/>
          <w:szCs w:val="20"/>
          <w:lang w:val="en-GB"/>
        </w:rPr>
        <w:t>0</w:t>
      </w:r>
      <w:r w:rsidRPr="00C57CE1">
        <w:rPr>
          <w:rFonts w:ascii="Arial" w:hAnsi="Arial" w:cs="Arial"/>
          <w:sz w:val="20"/>
          <w:szCs w:val="20"/>
          <w:lang w:val="en-GB"/>
        </w:rPr>
        <w:t xml:space="preserve">8 (Mar). </w:t>
      </w:r>
    </w:p>
  </w:footnote>
  <w:footnote w:id="237">
    <w:p w:rsidR="0022178B" w:rsidRPr="00181CF2" w:rsidRDefault="0022178B" w:rsidP="00604960">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r>
      <w:r w:rsidRPr="00C57CE1">
        <w:rPr>
          <w:rFonts w:ascii="Arial" w:hAnsi="Arial" w:cs="Arial"/>
          <w:i/>
          <w:sz w:val="20"/>
          <w:szCs w:val="20"/>
          <w:lang w:val="en-GB"/>
        </w:rPr>
        <w:t xml:space="preserve">R (on the application of JK) v Registrar General for England and Wales </w:t>
      </w:r>
      <w:r w:rsidRPr="0028108F">
        <w:rPr>
          <w:rFonts w:ascii="Arial" w:hAnsi="Arial" w:cs="Arial"/>
          <w:sz w:val="20"/>
          <w:szCs w:val="20"/>
          <w:lang w:val="en-GB"/>
        </w:rPr>
        <w:t xml:space="preserve">[2015] </w:t>
      </w:r>
      <w:r w:rsidRPr="008813DE">
        <w:rPr>
          <w:rFonts w:ascii="Arial" w:hAnsi="Arial" w:cs="Arial"/>
          <w:sz w:val="20"/>
          <w:szCs w:val="20"/>
          <w:lang w:val="en-GB"/>
        </w:rPr>
        <w:t>EWHC</w:t>
      </w:r>
      <w:r w:rsidRPr="00181CF2">
        <w:rPr>
          <w:rFonts w:ascii="Arial" w:hAnsi="Arial" w:cs="Arial"/>
          <w:sz w:val="20"/>
          <w:szCs w:val="20"/>
          <w:lang w:val="en-GB"/>
        </w:rPr>
        <w:t xml:space="preserve"> 990 (Admin), at paragraphs 61, 63 and 100.</w:t>
      </w:r>
    </w:p>
  </w:footnote>
  <w:footnote w:id="238">
    <w:p w:rsidR="0022178B" w:rsidRPr="0028108F" w:rsidRDefault="0022178B" w:rsidP="00604960">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 xml:space="preserve">Same as above, at </w:t>
      </w:r>
      <w:r w:rsidRPr="0028108F">
        <w:rPr>
          <w:rFonts w:ascii="Arial" w:hAnsi="Arial" w:cs="Arial"/>
          <w:sz w:val="20"/>
          <w:szCs w:val="20"/>
          <w:lang w:val="en-GB"/>
        </w:rPr>
        <w:t>paragraph 123(ii).</w:t>
      </w:r>
    </w:p>
  </w:footnote>
  <w:footnote w:id="239">
    <w:p w:rsidR="0022178B" w:rsidRPr="0028108F" w:rsidRDefault="0022178B" w:rsidP="00604960">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 xml:space="preserve">Same as above, at </w:t>
      </w:r>
      <w:r w:rsidRPr="0028108F">
        <w:rPr>
          <w:rFonts w:ascii="Arial" w:hAnsi="Arial" w:cs="Arial"/>
          <w:sz w:val="20"/>
          <w:szCs w:val="20"/>
          <w:lang w:val="en-GB"/>
        </w:rPr>
        <w:t>paragraph 123(iii).</w:t>
      </w:r>
    </w:p>
  </w:footnote>
  <w:footnote w:id="240">
    <w:p w:rsidR="0022178B" w:rsidRPr="0028108F" w:rsidRDefault="0022178B" w:rsidP="00F47842">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 xml:space="preserve">Article 8(2) of the ECHR </w:t>
      </w:r>
      <w:r w:rsidRPr="00C57CE1">
        <w:rPr>
          <w:rFonts w:ascii="Arial" w:hAnsi="Arial" w:cs="Arial"/>
          <w:sz w:val="20"/>
          <w:szCs w:val="20"/>
          <w:lang w:val="en-GB"/>
        </w:rPr>
        <w:t>provides that: “</w:t>
      </w:r>
      <w:r w:rsidRPr="0028108F">
        <w:rPr>
          <w:rFonts w:ascii="Arial" w:hAnsi="Arial" w:cs="Arial"/>
          <w:i/>
          <w:sz w:val="20"/>
          <w:szCs w:val="20"/>
          <w:lang w:val="en-GB"/>
        </w:rPr>
        <w:t>There shall be no interference by a public authority with the exercise of [the right to respect for a person’s private and family life, his home and his correspondence]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28108F">
        <w:rPr>
          <w:rFonts w:ascii="Arial" w:hAnsi="Arial" w:cs="Arial"/>
          <w:sz w:val="20"/>
          <w:szCs w:val="20"/>
          <w:lang w:val="en-GB"/>
        </w:rPr>
        <w:t>”</w:t>
      </w:r>
    </w:p>
  </w:footnote>
  <w:footnote w:id="241">
    <w:p w:rsidR="0022178B" w:rsidRPr="0028108F" w:rsidRDefault="0022178B" w:rsidP="00C652F7">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r>
      <w:r w:rsidRPr="00C57CE1">
        <w:rPr>
          <w:rFonts w:ascii="Arial" w:hAnsi="Arial" w:cs="Arial"/>
          <w:i/>
          <w:sz w:val="20"/>
          <w:szCs w:val="20"/>
          <w:lang w:val="en-GB"/>
        </w:rPr>
        <w:t>Carpenter v Secretary of State for Justice</w:t>
      </w:r>
      <w:r w:rsidRPr="0028108F">
        <w:rPr>
          <w:rFonts w:ascii="Arial" w:hAnsi="Arial" w:cs="Arial"/>
          <w:sz w:val="20"/>
          <w:szCs w:val="20"/>
          <w:lang w:val="en-GB"/>
        </w:rPr>
        <w:t xml:space="preserve"> [2015] </w:t>
      </w:r>
      <w:r w:rsidRPr="008813DE">
        <w:rPr>
          <w:rFonts w:ascii="Arial" w:hAnsi="Arial" w:cs="Arial"/>
          <w:sz w:val="20"/>
          <w:szCs w:val="20"/>
          <w:lang w:val="en-GB"/>
        </w:rPr>
        <w:t>EWHC</w:t>
      </w:r>
      <w:r w:rsidRPr="00181CF2">
        <w:rPr>
          <w:rFonts w:ascii="Arial" w:hAnsi="Arial" w:cs="Arial"/>
          <w:sz w:val="20"/>
          <w:szCs w:val="20"/>
          <w:lang w:val="en-GB"/>
        </w:rPr>
        <w:t xml:space="preserve"> 464 (Admin), at </w:t>
      </w:r>
      <w:r w:rsidRPr="0028108F">
        <w:rPr>
          <w:rFonts w:ascii="Arial" w:hAnsi="Arial" w:cs="Arial"/>
          <w:sz w:val="20"/>
          <w:szCs w:val="20"/>
          <w:lang w:val="en-GB"/>
        </w:rPr>
        <w:t>paragraph 25.</w:t>
      </w:r>
    </w:p>
  </w:footnote>
  <w:footnote w:id="242">
    <w:p w:rsidR="0022178B" w:rsidRPr="0028108F" w:rsidRDefault="0022178B" w:rsidP="00C652F7">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r>
      <w:r w:rsidRPr="00C57CE1">
        <w:rPr>
          <w:rFonts w:ascii="Arial" w:hAnsi="Arial" w:cs="Arial"/>
          <w:i/>
          <w:sz w:val="20"/>
          <w:szCs w:val="20"/>
          <w:lang w:val="en-GB"/>
        </w:rPr>
        <w:t>Carpenter v Secretary of State for Justice</w:t>
      </w:r>
      <w:r w:rsidRPr="0028108F">
        <w:rPr>
          <w:rFonts w:ascii="Arial" w:hAnsi="Arial" w:cs="Arial"/>
          <w:sz w:val="20"/>
          <w:szCs w:val="20"/>
          <w:lang w:val="en-GB"/>
        </w:rPr>
        <w:t xml:space="preserve"> [2015] </w:t>
      </w:r>
      <w:r w:rsidRPr="008813DE">
        <w:rPr>
          <w:rFonts w:ascii="Arial" w:hAnsi="Arial" w:cs="Arial"/>
          <w:sz w:val="20"/>
          <w:szCs w:val="20"/>
          <w:lang w:val="en-GB"/>
        </w:rPr>
        <w:t>EWHC</w:t>
      </w:r>
      <w:r w:rsidRPr="00181CF2">
        <w:rPr>
          <w:rFonts w:ascii="Arial" w:hAnsi="Arial" w:cs="Arial"/>
          <w:sz w:val="20"/>
          <w:szCs w:val="20"/>
          <w:lang w:val="en-GB"/>
        </w:rPr>
        <w:t xml:space="preserve"> 464 (Admin), at </w:t>
      </w:r>
      <w:r w:rsidRPr="0028108F">
        <w:rPr>
          <w:rFonts w:ascii="Arial" w:hAnsi="Arial" w:cs="Arial"/>
          <w:sz w:val="20"/>
          <w:szCs w:val="20"/>
          <w:lang w:val="en-GB"/>
        </w:rPr>
        <w:t>paragraph 35.</w:t>
      </w:r>
    </w:p>
  </w:footnote>
  <w:footnote w:id="243">
    <w:p w:rsidR="0022178B" w:rsidRPr="00C57CE1" w:rsidRDefault="0022178B" w:rsidP="00C652F7">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 xml:space="preserve">See Rory Brown (representing the applicant in the Carpenter case), </w:t>
      </w:r>
      <w:r w:rsidRPr="00C57CE1">
        <w:rPr>
          <w:rFonts w:ascii="Arial" w:hAnsi="Arial" w:cs="Arial"/>
          <w:sz w:val="20"/>
          <w:szCs w:val="20"/>
          <w:lang w:val="en-GB"/>
        </w:rPr>
        <w:t>“</w:t>
      </w:r>
      <w:r w:rsidRPr="0028108F">
        <w:rPr>
          <w:rFonts w:ascii="Arial" w:hAnsi="Arial" w:cs="Arial"/>
          <w:sz w:val="20"/>
          <w:szCs w:val="20"/>
          <w:lang w:val="en-GB"/>
        </w:rPr>
        <w:t>Gender recognition: what legal recognition and rights can post-operative transsexuals expect in the UK?</w:t>
      </w:r>
      <w:r w:rsidRPr="00181CF2">
        <w:rPr>
          <w:rFonts w:ascii="Arial" w:hAnsi="Arial" w:cs="Arial"/>
          <w:sz w:val="20"/>
          <w:szCs w:val="20"/>
          <w:lang w:val="en-GB"/>
        </w:rPr>
        <w:t>”</w:t>
      </w:r>
      <w:r w:rsidRPr="00C57CE1">
        <w:rPr>
          <w:rFonts w:ascii="Arial" w:hAnsi="Arial" w:cs="Arial"/>
          <w:sz w:val="20"/>
          <w:szCs w:val="20"/>
          <w:lang w:val="en-GB"/>
        </w:rPr>
        <w:t>, 26 May 2015 (</w:t>
      </w:r>
      <w:r w:rsidRPr="00D130C9">
        <w:rPr>
          <w:rFonts w:ascii="Arial" w:hAnsi="Arial" w:cs="Arial"/>
          <w:i/>
          <w:sz w:val="20"/>
          <w:szCs w:val="20"/>
          <w:lang w:val="en-GB"/>
        </w:rPr>
        <w:t>Halsbury’s Law Exchange</w:t>
      </w:r>
      <w:r w:rsidRPr="00C57CE1">
        <w:rPr>
          <w:rFonts w:ascii="Arial" w:hAnsi="Arial" w:cs="Arial"/>
          <w:sz w:val="20"/>
          <w:szCs w:val="20"/>
          <w:lang w:val="en-GB"/>
        </w:rPr>
        <w:t xml:space="preserve">). </w:t>
      </w:r>
    </w:p>
  </w:footnote>
  <w:footnote w:id="244">
    <w:p w:rsidR="0022178B" w:rsidRPr="0028108F" w:rsidRDefault="0022178B" w:rsidP="00C652F7">
      <w:pPr>
        <w:tabs>
          <w:tab w:val="left" w:pos="851"/>
        </w:tabs>
        <w:adjustRightInd w:val="0"/>
        <w:snapToGrid w:val="0"/>
        <w:ind w:left="708" w:hangingChars="354" w:hanging="708"/>
        <w:jc w:val="both"/>
        <w:rPr>
          <w:rFonts w:ascii="Arial" w:hAnsi="Arial" w:cs="Arial"/>
          <w:sz w:val="20"/>
          <w:szCs w:val="20"/>
          <w:lang w:val="en-GB"/>
        </w:rPr>
      </w:pPr>
      <w:r w:rsidRPr="00181CF2">
        <w:rPr>
          <w:rFonts w:ascii="Arial" w:hAnsi="Arial" w:cs="Arial"/>
          <w:sz w:val="20"/>
          <w:szCs w:val="20"/>
          <w:lang w:val="en-GB"/>
        </w:rPr>
        <w:footnoteRef/>
      </w:r>
      <w:r w:rsidRPr="00181CF2">
        <w:rPr>
          <w:rFonts w:ascii="Arial" w:hAnsi="Arial" w:cs="Arial"/>
          <w:sz w:val="20"/>
          <w:szCs w:val="20"/>
          <w:lang w:val="en-GB"/>
        </w:rPr>
        <w:t xml:space="preserve"> </w:t>
      </w:r>
      <w:r w:rsidRPr="00181CF2">
        <w:rPr>
          <w:rFonts w:ascii="Arial" w:hAnsi="Arial" w:cs="Arial"/>
          <w:sz w:val="20"/>
          <w:szCs w:val="20"/>
          <w:lang w:val="en-GB"/>
        </w:rPr>
        <w:tab/>
        <w:t>Thinking Legally</w:t>
      </w:r>
      <w:r>
        <w:rPr>
          <w:rFonts w:ascii="Arial" w:hAnsi="Arial" w:cs="Arial"/>
          <w:sz w:val="20"/>
          <w:szCs w:val="20"/>
          <w:lang w:val="en-GB"/>
        </w:rPr>
        <w:t xml:space="preserve"> Blog</w:t>
      </w:r>
      <w:r w:rsidRPr="00181CF2">
        <w:rPr>
          <w:rFonts w:ascii="Arial" w:hAnsi="Arial" w:cs="Arial"/>
          <w:sz w:val="20"/>
          <w:szCs w:val="20"/>
          <w:lang w:val="en-GB"/>
        </w:rPr>
        <w:t xml:space="preserve">, </w:t>
      </w:r>
      <w:r>
        <w:rPr>
          <w:rFonts w:ascii="Arial" w:hAnsi="Arial" w:cs="Arial"/>
          <w:sz w:val="20"/>
          <w:szCs w:val="20"/>
          <w:lang w:val="en-GB"/>
        </w:rPr>
        <w:t>“</w:t>
      </w:r>
      <w:r w:rsidRPr="008813DE">
        <w:rPr>
          <w:rFonts w:ascii="Arial" w:hAnsi="Arial" w:cs="Arial"/>
          <w:sz w:val="20"/>
          <w:szCs w:val="20"/>
          <w:lang w:val="en-GB"/>
        </w:rPr>
        <w:t>Gender Recognition Act and an issue of privacy</w:t>
      </w:r>
      <w:r>
        <w:rPr>
          <w:rFonts w:ascii="Arial" w:hAnsi="Arial" w:cs="Arial"/>
          <w:sz w:val="20"/>
          <w:szCs w:val="20"/>
          <w:lang w:val="en-GB"/>
        </w:rPr>
        <w:t>”</w:t>
      </w:r>
      <w:r w:rsidRPr="0028108F">
        <w:rPr>
          <w:rFonts w:ascii="Arial" w:hAnsi="Arial" w:cs="Arial"/>
          <w:sz w:val="20"/>
          <w:szCs w:val="20"/>
          <w:lang w:val="en-GB"/>
        </w:rPr>
        <w:t>, 3 March 2015.</w:t>
      </w:r>
    </w:p>
  </w:footnote>
  <w:footnote w:id="24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For further information on these jurisdictions, see Annex </w:t>
      </w:r>
      <w:r w:rsidRPr="008813DE">
        <w:rPr>
          <w:rFonts w:ascii="Arial" w:hAnsi="Arial" w:cs="Arial"/>
          <w:lang w:val="en-GB"/>
        </w:rPr>
        <w:t>A</w:t>
      </w:r>
      <w:r w:rsidRPr="0028108F">
        <w:rPr>
          <w:rFonts w:ascii="Arial" w:hAnsi="Arial" w:cs="Arial"/>
          <w:lang w:val="en-GB"/>
        </w:rPr>
        <w:t xml:space="preserve"> and Annex </w:t>
      </w:r>
      <w:r w:rsidRPr="008813DE">
        <w:rPr>
          <w:rFonts w:ascii="Arial" w:hAnsi="Arial" w:cs="Arial"/>
          <w:lang w:val="en-GB"/>
        </w:rPr>
        <w:t>B</w:t>
      </w:r>
      <w:r w:rsidRPr="0028108F">
        <w:rPr>
          <w:rFonts w:ascii="Arial" w:hAnsi="Arial" w:cs="Arial"/>
          <w:lang w:val="en-GB"/>
        </w:rPr>
        <w:t xml:space="preserve"> to this paper.</w:t>
      </w:r>
    </w:p>
  </w:footnote>
  <w:footnote w:id="246">
    <w:p w:rsidR="0022178B" w:rsidRPr="0028108F" w:rsidRDefault="0022178B" w:rsidP="006675C3">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In terms of human rights mechanisms, in 2013, for example, the Human Rights Committee made detailed recommendations critiquing the current legal gender recognition process in Ukraine, which requires “</w:t>
      </w:r>
      <w:r w:rsidRPr="0028108F">
        <w:rPr>
          <w:rFonts w:ascii="Arial" w:hAnsi="Arial" w:cs="Arial"/>
          <w:i/>
          <w:lang w:val="en-GB"/>
        </w:rPr>
        <w:t>compulsory confinement</w:t>
      </w:r>
      <w:r w:rsidRPr="0028108F">
        <w:rPr>
          <w:rFonts w:ascii="Arial" w:hAnsi="Arial" w:cs="Arial"/>
          <w:lang w:val="en-GB"/>
        </w:rPr>
        <w:t>” in a psychiatric institution and “</w:t>
      </w:r>
      <w:r w:rsidRPr="0028108F">
        <w:rPr>
          <w:rFonts w:ascii="Arial" w:hAnsi="Arial" w:cs="Arial"/>
          <w:i/>
          <w:lang w:val="en-GB"/>
        </w:rPr>
        <w:t>mandatory corrective surgery</w:t>
      </w:r>
      <w:r w:rsidRPr="0028108F">
        <w:rPr>
          <w:rFonts w:ascii="Arial" w:hAnsi="Arial" w:cs="Arial"/>
          <w:lang w:val="en-GB"/>
        </w:rPr>
        <w:t>”: see Human Rights Committee, “Concluding Observations on the seventh periodic report of Ukraine”</w:t>
      </w:r>
      <w:r w:rsidRPr="00181CF2">
        <w:rPr>
          <w:rFonts w:ascii="Arial" w:hAnsi="Arial" w:cs="Arial"/>
          <w:lang w:val="en-GB"/>
        </w:rPr>
        <w:t xml:space="preserve"> </w:t>
      </w:r>
      <w:r w:rsidRPr="00C57CE1">
        <w:rPr>
          <w:rFonts w:ascii="Arial" w:hAnsi="Arial" w:cs="Arial"/>
          <w:lang w:val="en-GB"/>
        </w:rPr>
        <w:t xml:space="preserve">(8-26 July 2013, CCPR/C/UKR/CO/7), </w:t>
      </w:r>
      <w:r w:rsidRPr="0028108F">
        <w:rPr>
          <w:rFonts w:ascii="Arial" w:hAnsi="Arial" w:cs="Arial"/>
          <w:lang w:val="en-GB"/>
        </w:rPr>
        <w:t>at 10.  The said requirement was then abolished in late 2016.</w:t>
      </w:r>
    </w:p>
    <w:p w:rsidR="0022178B" w:rsidRPr="0028108F" w:rsidRDefault="0022178B" w:rsidP="006675C3">
      <w:pPr>
        <w:pStyle w:val="FootnoteText"/>
        <w:tabs>
          <w:tab w:val="left" w:pos="755"/>
          <w:tab w:val="left" w:pos="851"/>
        </w:tabs>
        <w:ind w:left="709" w:hanging="709"/>
        <w:jc w:val="both"/>
        <w:rPr>
          <w:rFonts w:ascii="Arial" w:hAnsi="Arial" w:cs="Arial"/>
          <w:lang w:val="en-GB"/>
        </w:rPr>
      </w:pPr>
      <w:r w:rsidRPr="0028108F">
        <w:rPr>
          <w:rFonts w:ascii="Arial" w:hAnsi="Arial" w:cs="Arial"/>
          <w:lang w:val="en-GB"/>
        </w:rPr>
        <w:tab/>
        <w:t xml:space="preserve">Also in 2013, the United Nations Special Rapporteur on Torture called on States to outlaw the forced or coerced sterilisation as a prerequisite for recognising the legal gender of transgender people: see Juan E Méndez, United Nations Human Rights Council, </w:t>
      </w:r>
      <w:r w:rsidRPr="008813DE">
        <w:rPr>
          <w:rFonts w:ascii="Arial" w:hAnsi="Arial" w:cs="Arial"/>
          <w:i/>
          <w:lang w:val="en-GB"/>
        </w:rPr>
        <w:t>Report of the Special Rapporteur on torture and other cruel, inhuman or degrading treatment or punishment</w:t>
      </w:r>
      <w:r w:rsidRPr="00C57CE1">
        <w:rPr>
          <w:rFonts w:ascii="Arial" w:hAnsi="Arial" w:cs="Arial"/>
          <w:lang w:val="en-GB"/>
        </w:rPr>
        <w:t xml:space="preserve"> (1 February 2013, A/HRC/22/53), </w:t>
      </w:r>
      <w:r w:rsidRPr="0028108F">
        <w:rPr>
          <w:rFonts w:ascii="Arial" w:hAnsi="Arial" w:cs="Arial"/>
          <w:lang w:val="en-GB"/>
        </w:rPr>
        <w:t>at 38 and 78.</w:t>
      </w:r>
    </w:p>
  </w:footnote>
  <w:footnote w:id="24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There are still certain restrictions other than the medical and personal status restrictions in those jurisdictions.  For example, Argentina, Denmark and Ireland impose an age restriction of 18 years old.  Denmark also requires a six months’ lag time for confirmation of an application for legal change of gender.</w:t>
      </w:r>
    </w:p>
  </w:footnote>
  <w:footnote w:id="248">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181CF2">
        <w:rPr>
          <w:rFonts w:ascii="Arial" w:hAnsi="Arial" w:cs="Arial"/>
          <w:lang w:val="en-GB"/>
        </w:rPr>
        <w:tab/>
        <w:t>It is noted</w:t>
      </w:r>
      <w:r w:rsidRPr="0028108F">
        <w:rPr>
          <w:rFonts w:ascii="Arial" w:hAnsi="Arial" w:cs="Arial"/>
          <w:lang w:val="en-GB"/>
        </w:rPr>
        <w:t xml:space="preserve"> that there </w:t>
      </w:r>
      <w:r w:rsidRPr="00181CF2">
        <w:rPr>
          <w:rFonts w:ascii="Arial" w:hAnsi="Arial" w:cs="Arial"/>
          <w:lang w:val="en-GB"/>
        </w:rPr>
        <w:t xml:space="preserve">have been </w:t>
      </w:r>
      <w:r w:rsidRPr="0028108F">
        <w:rPr>
          <w:rFonts w:ascii="Arial" w:hAnsi="Arial" w:cs="Arial"/>
          <w:lang w:val="en-GB"/>
        </w:rPr>
        <w:t>legislative attempt</w:t>
      </w:r>
      <w:r w:rsidRPr="00181CF2">
        <w:rPr>
          <w:rFonts w:ascii="Arial" w:hAnsi="Arial" w:cs="Arial"/>
          <w:lang w:val="en-GB"/>
        </w:rPr>
        <w:t>s</w:t>
      </w:r>
      <w:r w:rsidRPr="0028108F">
        <w:rPr>
          <w:rFonts w:ascii="Arial" w:hAnsi="Arial" w:cs="Arial"/>
          <w:lang w:val="en-GB"/>
        </w:rPr>
        <w:t xml:space="preserve"> </w:t>
      </w:r>
      <w:r w:rsidRPr="00181CF2">
        <w:rPr>
          <w:rFonts w:ascii="Arial" w:hAnsi="Arial" w:cs="Arial"/>
          <w:lang w:val="en-GB"/>
        </w:rPr>
        <w:t xml:space="preserve">for law reform in the area of gender recognition </w:t>
      </w:r>
      <w:r w:rsidRPr="0028108F">
        <w:rPr>
          <w:rFonts w:ascii="Arial" w:hAnsi="Arial" w:cs="Arial"/>
          <w:lang w:val="en-GB"/>
        </w:rPr>
        <w:t xml:space="preserve">in both India and Luxembourg. </w:t>
      </w:r>
      <w:r w:rsidRPr="00181CF2">
        <w:rPr>
          <w:rFonts w:ascii="Arial" w:hAnsi="Arial" w:cs="Arial"/>
          <w:lang w:val="en-GB"/>
        </w:rPr>
        <w:t xml:space="preserve"> </w:t>
      </w:r>
      <w:r w:rsidRPr="0028108F">
        <w:rPr>
          <w:rFonts w:ascii="Arial" w:hAnsi="Arial" w:cs="Arial"/>
          <w:lang w:val="en-GB"/>
        </w:rPr>
        <w:t xml:space="preserve">See </w:t>
      </w:r>
      <w:r w:rsidRPr="008813DE">
        <w:rPr>
          <w:rFonts w:ascii="Arial" w:hAnsi="Arial" w:cs="Arial"/>
          <w:lang w:val="en-GB"/>
        </w:rPr>
        <w:t>Annex B</w:t>
      </w:r>
      <w:r w:rsidRPr="00181CF2">
        <w:rPr>
          <w:rFonts w:ascii="Arial" w:hAnsi="Arial" w:cs="Arial"/>
          <w:lang w:val="en-GB"/>
        </w:rPr>
        <w:t xml:space="preserve"> of this </w:t>
      </w:r>
      <w:r w:rsidRPr="00C57CE1">
        <w:rPr>
          <w:rFonts w:ascii="Arial" w:hAnsi="Arial" w:cs="Arial"/>
          <w:lang w:val="en-GB"/>
        </w:rPr>
        <w:t>p</w:t>
      </w:r>
      <w:r w:rsidRPr="0028108F">
        <w:rPr>
          <w:rFonts w:ascii="Arial" w:hAnsi="Arial" w:cs="Arial"/>
          <w:lang w:val="en-GB"/>
        </w:rPr>
        <w:t xml:space="preserve">aper. </w:t>
      </w:r>
    </w:p>
  </w:footnote>
  <w:footnote w:id="249">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Under Australia’s identification system</w:t>
      </w:r>
      <w:r w:rsidRPr="00C57CE1">
        <w:rPr>
          <w:rFonts w:ascii="Arial" w:hAnsi="Arial" w:cs="Arial"/>
          <w:lang w:val="en-GB"/>
        </w:rPr>
        <w:t>s the most important identity documents are known as cardinal documents.  For people born in Australia, cardinal documents are birth certificate</w:t>
      </w:r>
      <w:r w:rsidRPr="0028108F">
        <w:rPr>
          <w:rFonts w:ascii="Arial" w:hAnsi="Arial" w:cs="Arial"/>
          <w:lang w:val="en-GB"/>
        </w:rPr>
        <w:t xml:space="preserve">s or change of name certificates.  For people not born in Australia, cardinal documents are citizenship certificates or the information contained in the database held by the federal Department of Immigration and Citizenship. </w:t>
      </w:r>
    </w:p>
  </w:footnote>
  <w:footnote w:id="250">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On the variety of approaches to gender recognition taken in Australia, Grenfell and Hewitt have observed: </w:t>
      </w:r>
      <w:r w:rsidRPr="0028108F">
        <w:rPr>
          <w:rFonts w:ascii="Arial" w:hAnsi="Arial" w:cs="Arial"/>
          <w:i/>
          <w:lang w:val="en-GB"/>
        </w:rPr>
        <w:t>“The Australian legislative approach to the problems faced by transgender people is piecemeal, owing largely to Australia’s federal system and the absence of a Bill of Rights at the federal level.  Under the Constitution, the federal government does not have the power to pass legislation that would confer full recognition on transgender people for all purposes, thus transgender people must navigate the legislation enacted by state and territory governments as well as the federal government.  While marriage, social security and passports are predominantly federal matters, registration of births is left to the States and Territories.  In this complicated legal landscape, no single judicial approach has been taken consistently.”</w:t>
      </w:r>
      <w:r w:rsidRPr="00181CF2">
        <w:rPr>
          <w:rFonts w:ascii="Arial" w:hAnsi="Arial" w:cs="Arial"/>
          <w:lang w:val="en-GB"/>
        </w:rPr>
        <w:t xml:space="preserve">  See L</w:t>
      </w:r>
      <w:r w:rsidRPr="00C57CE1">
        <w:rPr>
          <w:rFonts w:ascii="Arial" w:hAnsi="Arial" w:cs="Arial"/>
          <w:lang w:val="en-GB"/>
        </w:rPr>
        <w:t xml:space="preserve">aura Grenfell and Anne Hewitt, </w:t>
      </w:r>
      <w:r w:rsidRPr="0028108F">
        <w:rPr>
          <w:rFonts w:ascii="Arial" w:hAnsi="Arial" w:cs="Arial"/>
          <w:lang w:val="en-GB"/>
        </w:rPr>
        <w:t>“Gender Regulation: Restrictive, Facilitative or Transformative Laws?</w:t>
      </w:r>
      <w:r w:rsidRPr="00181CF2">
        <w:rPr>
          <w:rFonts w:ascii="Arial" w:hAnsi="Arial" w:cs="Arial"/>
          <w:lang w:val="en-GB"/>
        </w:rPr>
        <w:t>”</w:t>
      </w:r>
      <w:r w:rsidRPr="00C57CE1">
        <w:rPr>
          <w:rFonts w:ascii="Arial" w:hAnsi="Arial" w:cs="Arial"/>
          <w:lang w:val="en-GB"/>
        </w:rPr>
        <w:t xml:space="preserve"> (2012) 34/4 </w:t>
      </w:r>
      <w:r w:rsidRPr="008813DE">
        <w:rPr>
          <w:rFonts w:ascii="Arial" w:hAnsi="Arial" w:cs="Arial"/>
          <w:lang w:val="en-GB"/>
        </w:rPr>
        <w:t>Sydney Law Review</w:t>
      </w:r>
      <w:r w:rsidRPr="00181CF2">
        <w:rPr>
          <w:rFonts w:ascii="Arial" w:hAnsi="Arial" w:cs="Arial"/>
          <w:lang w:val="en-GB"/>
        </w:rPr>
        <w:t xml:space="preserve"> 761 to 783, at 771. </w:t>
      </w:r>
    </w:p>
  </w:footnote>
  <w:footnote w:id="251">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These are India, Japan, New Zealand</w:t>
      </w:r>
      <w:r w:rsidRPr="0028108F">
        <w:rPr>
          <w:rFonts w:ascii="Arial" w:hAnsi="Arial" w:cs="Arial"/>
          <w:lang w:val="en-GB"/>
        </w:rPr>
        <w:t xml:space="preserve"> and South Korea.  See </w:t>
      </w:r>
      <w:r w:rsidRPr="008813DE">
        <w:rPr>
          <w:rFonts w:ascii="Arial" w:hAnsi="Arial" w:cs="Arial"/>
          <w:lang w:val="en-GB"/>
        </w:rPr>
        <w:t>Annex A and Annex B</w:t>
      </w:r>
      <w:r w:rsidRPr="009E5964">
        <w:rPr>
          <w:rFonts w:ascii="Arial" w:hAnsi="Arial" w:cs="Arial"/>
          <w:lang w:val="en-GB"/>
        </w:rPr>
        <w:t xml:space="preserve"> of this paper.</w:t>
      </w:r>
    </w:p>
  </w:footnote>
  <w:footnote w:id="252">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These are Australian Capital Territory, A</w:t>
      </w:r>
      <w:r w:rsidRPr="00C57CE1">
        <w:rPr>
          <w:rFonts w:ascii="Arial" w:hAnsi="Arial" w:cs="Arial"/>
          <w:lang w:val="en-GB"/>
        </w:rPr>
        <w:t xml:space="preserve">ustralian Northern Territory, Mainland China, New South Wales, Queensland, Singapore, </w:t>
      </w:r>
      <w:r w:rsidRPr="0028108F">
        <w:rPr>
          <w:rFonts w:ascii="Arial" w:hAnsi="Arial" w:cs="Arial"/>
          <w:lang w:val="en-GB"/>
        </w:rPr>
        <w:t xml:space="preserve">South Australia, Taiwan, Tasmania, Victoria, Vietnam and Western Australia.  See </w:t>
      </w:r>
      <w:r w:rsidRPr="008813DE">
        <w:rPr>
          <w:rFonts w:ascii="Arial" w:hAnsi="Arial" w:cs="Arial"/>
          <w:lang w:val="en-GB"/>
        </w:rPr>
        <w:t>Annex A and Annex B</w:t>
      </w:r>
      <w:r w:rsidRPr="0028108F">
        <w:rPr>
          <w:rFonts w:ascii="Arial" w:hAnsi="Arial" w:cs="Arial"/>
          <w:lang w:val="en-GB"/>
        </w:rPr>
        <w:t xml:space="preserve"> of this paper.</w:t>
      </w:r>
    </w:p>
  </w:footnote>
  <w:footnote w:id="25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In the case of Australia, same-sex marriage is banned, although there have been successive endeavours made by the state legislature in the Australian Capital Territory to adopt legislation for civil union, civil partnership and marriage.  These attempts have failed over the past decade.</w:t>
      </w:r>
      <w:r w:rsidRPr="0028108F">
        <w:rPr>
          <w:rFonts w:ascii="Arial" w:hAnsi="Arial" w:cs="Arial"/>
          <w:lang w:val="en-GB"/>
        </w:rPr>
        <w:tab/>
      </w:r>
      <w:r w:rsidRPr="0028108F">
        <w:rPr>
          <w:rFonts w:ascii="Arial" w:hAnsi="Arial" w:cs="Arial"/>
          <w:lang w:val="en-GB"/>
        </w:rPr>
        <w:tab/>
        <w:t xml:space="preserve"> </w:t>
      </w:r>
    </w:p>
  </w:footnote>
  <w:footnote w:id="254">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In India, the situation remains to be seen regarding enforcement of the recent Supreme Court judgment there (See </w:t>
      </w:r>
      <w:r w:rsidRPr="0028108F">
        <w:rPr>
          <w:rFonts w:ascii="Arial" w:hAnsi="Arial" w:cs="Arial"/>
          <w:i/>
          <w:lang w:val="en-GB"/>
        </w:rPr>
        <w:t>National Legal Services Authority v.s. Union of India and Others</w:t>
      </w:r>
      <w:r w:rsidRPr="0028108F">
        <w:rPr>
          <w:rFonts w:ascii="Arial" w:hAnsi="Arial" w:cs="Arial"/>
          <w:lang w:val="en-GB"/>
        </w:rPr>
        <w:t xml:space="preserve"> (Writ Petition (Civil) No. 400 of 2012, Supreme Court of India, 15 April 2014), which recognised third gender persons.  See also Kunal Kanodia, “The Third Gender: Be Yourself, But Don’t Have Sex</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Columbia Undergraduate Law Review</w:t>
      </w:r>
      <w:r w:rsidRPr="00181CF2">
        <w:rPr>
          <w:rFonts w:ascii="Arial" w:hAnsi="Arial" w:cs="Arial"/>
          <w:lang w:val="en-GB"/>
        </w:rPr>
        <w:t xml:space="preserve">, 31 July 2014. </w:t>
      </w:r>
    </w:p>
  </w:footnote>
  <w:footnote w:id="255">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The Japanese government provides no official translation of the Act which is, in Japanese, called</w:t>
      </w:r>
      <w:r w:rsidRPr="0028108F">
        <w:rPr>
          <w:rFonts w:ascii="Arial" w:hAnsi="Arial" w:cs="Arial"/>
          <w:i/>
          <w:lang w:val="en-GB"/>
        </w:rPr>
        <w:t>性同一性障害者の性別の取扱いの特例に関する法律</w:t>
      </w:r>
      <w:r w:rsidRPr="0028108F">
        <w:rPr>
          <w:rFonts w:ascii="Arial" w:hAnsi="Arial" w:cs="Arial"/>
          <w:lang w:val="en-GB"/>
        </w:rPr>
        <w:t xml:space="preserve">.  The English translation referred to in this </w:t>
      </w:r>
      <w:r w:rsidRPr="0028108F">
        <w:rPr>
          <w:rFonts w:ascii="Arial" w:hAnsi="Arial" w:cs="Arial"/>
          <w:lang w:val="en-GB" w:eastAsia="zh-TW"/>
        </w:rPr>
        <w:t xml:space="preserve">Consultation </w:t>
      </w:r>
      <w:r w:rsidRPr="0028108F">
        <w:rPr>
          <w:rFonts w:ascii="Arial" w:hAnsi="Arial" w:cs="Arial"/>
          <w:lang w:val="en-GB"/>
        </w:rPr>
        <w:t>Paper originates from Chiaki Ota</w:t>
      </w:r>
      <w:r w:rsidRPr="0028108F">
        <w:rPr>
          <w:rFonts w:ascii="Arial" w:hAnsi="Arial" w:cs="Arial"/>
          <w:lang w:val="en-GB" w:eastAsia="zh-TW"/>
        </w:rPr>
        <w:t>, commissioned by</w:t>
      </w:r>
      <w:r>
        <w:rPr>
          <w:rFonts w:ascii="Arial" w:hAnsi="Arial" w:cs="Arial" w:hint="eastAsia"/>
          <w:lang w:val="en-GB" w:eastAsia="zh-TW"/>
        </w:rPr>
        <w:t xml:space="preserve"> </w:t>
      </w:r>
      <w:r w:rsidRPr="0028108F">
        <w:rPr>
          <w:rFonts w:ascii="Arial" w:hAnsi="Arial" w:cs="Arial"/>
          <w:lang w:val="en-GB" w:eastAsia="zh-TW"/>
        </w:rPr>
        <w:t>t</w:t>
      </w:r>
      <w:r w:rsidRPr="0028108F">
        <w:rPr>
          <w:rFonts w:ascii="Arial" w:hAnsi="Arial" w:cs="Arial"/>
          <w:lang w:val="en-GB"/>
        </w:rPr>
        <w:t xml:space="preserve">he Asian-Pacific Law and Policy Journal </w:t>
      </w:r>
      <w:r w:rsidRPr="00181CF2">
        <w:rPr>
          <w:rFonts w:ascii="Arial" w:hAnsi="Arial" w:cs="Arial"/>
          <w:lang w:val="en-GB"/>
        </w:rPr>
        <w:t>editors</w:t>
      </w:r>
      <w:r w:rsidRPr="0028108F">
        <w:rPr>
          <w:rFonts w:ascii="Arial" w:hAnsi="Arial" w:cs="Arial"/>
          <w:lang w:val="en-GB"/>
        </w:rPr>
        <w:t xml:space="preserve">. </w:t>
      </w:r>
    </w:p>
  </w:footnote>
  <w:footnote w:id="256">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Robyn Emerton, “Time for Change: A Call for the Legal Recognition of Transsexual and Other Transgender Persons in Hong Kong”, (2004) </w:t>
      </w:r>
      <w:r>
        <w:rPr>
          <w:rFonts w:ascii="Arial" w:hAnsi="Arial" w:cs="Arial"/>
          <w:lang w:val="en-GB"/>
        </w:rPr>
        <w:t xml:space="preserve">34 </w:t>
      </w:r>
      <w:r w:rsidRPr="00F86CD8">
        <w:rPr>
          <w:rFonts w:ascii="Arial" w:hAnsi="Arial" w:cs="Arial"/>
          <w:lang w:val="en-GB"/>
        </w:rPr>
        <w:t>HKLJ</w:t>
      </w:r>
      <w:r w:rsidRPr="00181CF2">
        <w:rPr>
          <w:rFonts w:ascii="Arial" w:hAnsi="Arial" w:cs="Arial"/>
          <w:lang w:val="en-GB"/>
        </w:rPr>
        <w:t xml:space="preserve"> 515, at 547.</w:t>
      </w:r>
    </w:p>
  </w:footnote>
  <w:footnote w:id="257">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Anamura, Masayuki and Kitada, Mari, “Family Law</w:t>
      </w:r>
      <w:r w:rsidRPr="00181CF2">
        <w:rPr>
          <w:rFonts w:ascii="Arial" w:hAnsi="Arial" w:cs="Arial"/>
          <w:lang w:val="en-GB"/>
        </w:rPr>
        <w:t xml:space="preserve"> (2010)</w:t>
      </w:r>
      <w:r w:rsidRPr="00C57CE1">
        <w:rPr>
          <w:rFonts w:ascii="Arial" w:hAnsi="Arial" w:cs="Arial"/>
          <w:lang w:val="en-GB"/>
        </w:rPr>
        <w:t xml:space="preserve"> Waseda Bulletin of Comparative Law</w:t>
      </w:r>
      <w:r w:rsidRPr="0028108F">
        <w:rPr>
          <w:rFonts w:ascii="Arial" w:hAnsi="Arial" w:cs="Arial"/>
          <w:lang w:val="en-GB"/>
        </w:rPr>
        <w:t>”, Vol 28, 64 to 67, at 66.  See also Koichi Taniguchi, “Sei Dōitsusei Shōgaisha no Seibetsu no Toriatsukai no Tokurei ni Kansuru Houritsu no Rippō Katei ni Kansuru Ichi Kōsatsu</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eastAsia="zh-TW"/>
        </w:rPr>
        <w:t xml:space="preserve">in Japanese, </w:t>
      </w:r>
      <w:r w:rsidRPr="0028108F">
        <w:rPr>
          <w:rFonts w:ascii="Arial" w:hAnsi="Arial" w:cs="Arial"/>
          <w:lang w:val="en-GB"/>
        </w:rPr>
        <w:t>transliterated as “A Study on Legislative Process of the Exceptional Treatment Act for People with GID”), 2003 HOUTESTUGAKU NENPŌ (</w:t>
      </w:r>
      <w:r w:rsidRPr="0028108F">
        <w:rPr>
          <w:rFonts w:ascii="Arial" w:hAnsi="Arial" w:cs="Arial"/>
          <w:lang w:val="en-GB" w:eastAsia="zh-TW"/>
        </w:rPr>
        <w:t xml:space="preserve">in Japanese, </w:t>
      </w:r>
      <w:r w:rsidRPr="0028108F">
        <w:rPr>
          <w:rFonts w:ascii="Arial" w:hAnsi="Arial" w:cs="Arial"/>
          <w:lang w:val="en-GB"/>
        </w:rPr>
        <w:t>transliterated as “Annual Of Legal Philosophy”) 214 (2003).</w:t>
      </w:r>
    </w:p>
  </w:footnote>
  <w:footnote w:id="25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The Law No. 111 (2004) required the applicant to be childless, which was criticised as draconian, as no other country’s legislation appeared to make childlessness a pre-condition for a legal change of gender.  The revision of the Law No. 111 in this regard was deemed appropriate “</w:t>
      </w:r>
      <w:r w:rsidRPr="0028108F">
        <w:rPr>
          <w:rFonts w:ascii="Arial" w:hAnsi="Arial" w:cs="Arial"/>
          <w:i/>
          <w:lang w:val="en-GB"/>
        </w:rPr>
        <w:t>from the standpoint of balancing the child welfare and the self-determination of people with [gender identity disorder]</w:t>
      </w:r>
      <w:r w:rsidRPr="0028108F">
        <w:rPr>
          <w:rFonts w:ascii="Arial" w:hAnsi="Arial" w:cs="Arial"/>
          <w:lang w:val="en-GB"/>
        </w:rPr>
        <w:t>”.  See Tanamura, Masayuki and Kitada, Mari, “Family Law</w:t>
      </w:r>
      <w:r w:rsidRPr="00181CF2">
        <w:rPr>
          <w:rFonts w:ascii="Arial" w:hAnsi="Arial" w:cs="Arial"/>
          <w:lang w:val="en-GB"/>
        </w:rPr>
        <w:t>”</w:t>
      </w:r>
      <w:r w:rsidRPr="00C57CE1">
        <w:rPr>
          <w:rFonts w:ascii="Arial" w:hAnsi="Arial" w:cs="Arial"/>
          <w:lang w:val="en-GB"/>
        </w:rPr>
        <w:t xml:space="preserve"> (2010) </w:t>
      </w:r>
      <w:r w:rsidRPr="0028108F">
        <w:rPr>
          <w:rFonts w:ascii="Arial" w:hAnsi="Arial" w:cs="Arial"/>
          <w:i/>
          <w:lang w:val="en-GB"/>
        </w:rPr>
        <w:t>Waseda Bulletin of Comparative Law</w:t>
      </w:r>
      <w:r w:rsidRPr="0028108F">
        <w:rPr>
          <w:rFonts w:ascii="Arial" w:hAnsi="Arial" w:cs="Arial"/>
          <w:lang w:val="en-GB"/>
        </w:rPr>
        <w:t xml:space="preserve">, Vol 28, 64 to 67, at 67. </w:t>
      </w:r>
    </w:p>
  </w:footnote>
  <w:footnote w:id="25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The age of majority “</w:t>
      </w:r>
      <w:r w:rsidRPr="0028108F">
        <w:rPr>
          <w:rFonts w:ascii="Arial" w:hAnsi="Arial" w:cs="Arial"/>
          <w:i/>
          <w:lang w:val="en-GB"/>
        </w:rPr>
        <w:t>is reached when a person has attained the age of 20 years</w:t>
      </w:r>
      <w:r w:rsidRPr="0028108F">
        <w:rPr>
          <w:rFonts w:ascii="Arial" w:hAnsi="Arial" w:cs="Arial"/>
          <w:lang w:val="en-GB"/>
        </w:rPr>
        <w:t xml:space="preserve">” (pursuant to Article 4 of the Minpō transliterated as </w:t>
      </w:r>
      <w:r w:rsidRPr="0028108F">
        <w:rPr>
          <w:rFonts w:ascii="Arial" w:hAnsi="Arial" w:cs="Arial"/>
          <w:i/>
          <w:lang w:val="en-GB"/>
        </w:rPr>
        <w:t>“Civil Code”</w:t>
      </w:r>
      <w:r w:rsidRPr="0028108F">
        <w:rPr>
          <w:rFonts w:ascii="Arial" w:hAnsi="Arial" w:cs="Arial"/>
          <w:lang w:val="en-GB"/>
        </w:rPr>
        <w:t>, Act No. 89 of 27 April 1896).</w:t>
      </w:r>
    </w:p>
  </w:footnote>
  <w:footnote w:id="26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Hiroyuki Taniguchi, Ph.D., “Japan’s 2003 Gender Identity Disorder Act: The Sex Reassignment Surgery, No Marriage, and No Child Requirements as Perpetuations of Gender Norms in Japan”, </w:t>
      </w:r>
      <w:r w:rsidRPr="0028108F">
        <w:rPr>
          <w:rFonts w:ascii="Arial" w:hAnsi="Arial" w:cs="Arial"/>
          <w:i/>
          <w:lang w:val="en-GB"/>
        </w:rPr>
        <w:t>Asian-Pacific Law &amp; Policy Journal</w:t>
      </w:r>
      <w:r w:rsidRPr="00181CF2">
        <w:rPr>
          <w:rFonts w:ascii="Arial" w:hAnsi="Arial" w:cs="Arial"/>
          <w:lang w:val="en-GB"/>
        </w:rPr>
        <w:t>,</w:t>
      </w:r>
      <w:r w:rsidRPr="00C57CE1">
        <w:rPr>
          <w:rFonts w:ascii="Arial" w:hAnsi="Arial" w:cs="Arial"/>
          <w:lang w:val="en-GB"/>
        </w:rPr>
        <w:t xml:space="preserve"> Volume 14, Issue 2</w:t>
      </w:r>
      <w:r w:rsidRPr="0028108F">
        <w:rPr>
          <w:rFonts w:ascii="Arial" w:hAnsi="Arial" w:cs="Arial"/>
          <w:lang w:val="en-GB"/>
        </w:rPr>
        <w:t xml:space="preserve">, at 113 and 114.  However, this requirement has been criticised: see Tanamura Masayuki and Kim Yangwhan, “Waseda Bulletin of Comparative Law”, </w:t>
      </w:r>
      <w:r w:rsidRPr="0028108F">
        <w:rPr>
          <w:rFonts w:ascii="Arial" w:hAnsi="Arial" w:cs="Arial"/>
          <w:i/>
          <w:lang w:val="en-GB"/>
        </w:rPr>
        <w:t>Family Law</w:t>
      </w:r>
      <w:r w:rsidRPr="00181CF2">
        <w:rPr>
          <w:rFonts w:ascii="Arial" w:hAnsi="Arial" w:cs="Arial"/>
          <w:lang w:val="en-GB"/>
        </w:rPr>
        <w:t xml:space="preserve"> (2006), Vol. 24, 42 to 47, at </w:t>
      </w:r>
      <w:r w:rsidRPr="0028108F">
        <w:rPr>
          <w:rFonts w:ascii="Arial" w:hAnsi="Arial" w:cs="Arial"/>
          <w:lang w:val="en-GB"/>
        </w:rPr>
        <w:t>46; and Yuko Nishitani,</w:t>
      </w:r>
      <w:r w:rsidRPr="0028108F">
        <w:rPr>
          <w:rFonts w:ascii="Arial" w:hAnsi="Arial" w:cs="Arial"/>
          <w:i/>
          <w:lang w:val="en-GB"/>
        </w:rPr>
        <w:t xml:space="preserve"> </w:t>
      </w:r>
      <w:r w:rsidRPr="0028108F">
        <w:rPr>
          <w:rFonts w:ascii="Arial" w:hAnsi="Arial" w:cs="Arial"/>
          <w:lang w:val="en-GB"/>
        </w:rPr>
        <w:t>“The Legal Status of Transsexual and Transgender Persons in Japan</w:t>
      </w:r>
      <w:r w:rsidRPr="00181CF2">
        <w:rPr>
          <w:rFonts w:ascii="Arial" w:hAnsi="Arial" w:cs="Arial"/>
          <w:lang w:val="en-GB"/>
        </w:rPr>
        <w:t>”</w:t>
      </w:r>
      <w:r w:rsidRPr="00C57CE1">
        <w:rPr>
          <w:rFonts w:ascii="Arial" w:hAnsi="Arial" w:cs="Arial"/>
          <w:lang w:val="en-GB"/>
        </w:rPr>
        <w:t>, in</w:t>
      </w:r>
      <w:r w:rsidRPr="0028108F">
        <w:rPr>
          <w:rFonts w:ascii="Arial" w:hAnsi="Arial" w:cs="Arial"/>
          <w:lang w:val="en-GB"/>
        </w:rPr>
        <w:t xml:space="preserve"> Jens M Scherpe (ed), </w:t>
      </w:r>
      <w:r w:rsidRPr="0028108F">
        <w:rPr>
          <w:rFonts w:ascii="Arial" w:hAnsi="Arial" w:cs="Arial"/>
          <w:i/>
          <w:lang w:val="en-GB"/>
        </w:rPr>
        <w:t>The Legal Status of Transsexual and Transgender Persons</w:t>
      </w:r>
      <w:r w:rsidRPr="0028108F">
        <w:rPr>
          <w:rFonts w:ascii="Arial" w:hAnsi="Arial" w:cs="Arial"/>
          <w:lang w:val="en-GB"/>
        </w:rPr>
        <w:t xml:space="preserve"> (1st ed, December 2015), at 376 to 378.</w:t>
      </w:r>
    </w:p>
  </w:footnote>
  <w:footnote w:id="261">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color w:val="000000" w:themeColor="text1"/>
          <w:lang w:val="en-GB"/>
        </w:rPr>
        <w:footnoteRef/>
      </w:r>
      <w:r w:rsidRPr="0028108F">
        <w:rPr>
          <w:rFonts w:ascii="Arial" w:hAnsi="Arial" w:cs="Arial"/>
          <w:color w:val="000000" w:themeColor="text1"/>
          <w:lang w:val="en-GB"/>
        </w:rPr>
        <w:t xml:space="preserve"> </w:t>
      </w:r>
      <w:r w:rsidRPr="0028108F">
        <w:rPr>
          <w:rFonts w:ascii="Arial" w:hAnsi="Arial" w:cs="Arial"/>
          <w:color w:val="000000" w:themeColor="text1"/>
          <w:lang w:val="en-GB"/>
        </w:rPr>
        <w:tab/>
        <w:t>Ne</w:t>
      </w:r>
      <w:r w:rsidRPr="0028108F">
        <w:rPr>
          <w:rFonts w:ascii="Arial" w:hAnsi="Arial" w:cs="Arial"/>
          <w:lang w:val="en-GB"/>
        </w:rPr>
        <w:t xml:space="preserve">vertheless, in May 2014 the Japanese Society of Psychiatry and Neurology (JSPN) proposed that the terminology of gender identity disorder should be replaced by </w:t>
      </w:r>
      <w:r w:rsidRPr="0028108F">
        <w:rPr>
          <w:rFonts w:ascii="Arial" w:hAnsi="Arial" w:cs="Arial"/>
          <w:i/>
          <w:lang w:val="en-GB"/>
        </w:rPr>
        <w:t>“gender dysphoria”</w:t>
      </w:r>
      <w:r w:rsidRPr="00181CF2">
        <w:rPr>
          <w:rFonts w:ascii="Arial" w:hAnsi="Arial" w:cs="Arial"/>
          <w:lang w:val="en-GB"/>
        </w:rPr>
        <w:t xml:space="preserve"> (</w:t>
      </w:r>
      <w:r w:rsidRPr="00C57CE1">
        <w:rPr>
          <w:rFonts w:ascii="Arial" w:hAnsi="Arial" w:cs="Arial"/>
          <w:i/>
          <w:lang w:val="en-GB"/>
        </w:rPr>
        <w:t>seibetsu iwa</w:t>
      </w:r>
      <w:r w:rsidRPr="0028108F">
        <w:rPr>
          <w:rFonts w:ascii="Arial" w:hAnsi="Arial" w:cs="Arial"/>
          <w:lang w:val="en-GB"/>
        </w:rPr>
        <w:t xml:space="preserve">) pursuant to DSM-5.  Pending the confirmation of this proposal by the legislative body in Japan, the legal definition of gender identity disorder provided by Article 2 of the </w:t>
      </w:r>
      <w:r>
        <w:rPr>
          <w:rFonts w:ascii="Arial" w:hAnsi="Arial" w:cs="Arial" w:hint="eastAsia"/>
          <w:lang w:val="en-GB" w:eastAsia="zh-TW"/>
        </w:rPr>
        <w:t xml:space="preserve">Japanese </w:t>
      </w:r>
      <w:r w:rsidRPr="0028108F">
        <w:rPr>
          <w:rFonts w:ascii="Arial" w:hAnsi="Arial" w:cs="Arial"/>
          <w:lang w:val="en-GB"/>
        </w:rPr>
        <w:t>GID Act will be utilised.</w:t>
      </w:r>
    </w:p>
  </w:footnote>
  <w:footnote w:id="262">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A female-to-male transsexual person, for instance, has to undergo a phalloplasty to create the penis.  See Robyn Emerton, “Time for Change: A Call For the Legal Recognition of Transsexual and other Transgender Persons in Hong Kong</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rPr>
        <w:t>2004)</w:t>
      </w:r>
      <w:r>
        <w:rPr>
          <w:rFonts w:ascii="Arial" w:hAnsi="Arial" w:cs="Arial"/>
          <w:lang w:val="en-GB"/>
        </w:rPr>
        <w:t xml:space="preserve"> 34</w:t>
      </w:r>
      <w:r w:rsidRPr="0028108F">
        <w:rPr>
          <w:rFonts w:ascii="Arial" w:hAnsi="Arial" w:cs="Arial"/>
          <w:lang w:val="en-GB"/>
        </w:rPr>
        <w:t xml:space="preserve"> </w:t>
      </w:r>
      <w:r w:rsidRPr="00F86CD8">
        <w:rPr>
          <w:rFonts w:ascii="Arial" w:hAnsi="Arial" w:cs="Arial"/>
          <w:color w:val="0D0D0D" w:themeColor="text1" w:themeTint="F2"/>
          <w:lang w:val="en-GB"/>
        </w:rPr>
        <w:t>HKLJ</w:t>
      </w:r>
      <w:r w:rsidRPr="00181CF2">
        <w:rPr>
          <w:rFonts w:ascii="Arial" w:hAnsi="Arial" w:cs="Arial"/>
          <w:lang w:val="en-GB"/>
        </w:rPr>
        <w:t xml:space="preserve"> 515, at 549.</w:t>
      </w:r>
    </w:p>
  </w:footnote>
  <w:footnote w:id="263">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Family Register Act (Act No. 224 of 22 December 1947). </w:t>
      </w:r>
    </w:p>
  </w:footnote>
  <w:footnote w:id="26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Gay Japan News, “Striving For Dignity And Respect – Experiences of Violence and Discrimination as Told by LBT Persons in Japan” (2014), at 10.</w:t>
      </w:r>
    </w:p>
  </w:footnote>
  <w:footnote w:id="26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26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Act No. 89 of 27 April 1896. </w:t>
      </w:r>
    </w:p>
  </w:footnote>
  <w:footnote w:id="267">
    <w:p w:rsidR="0022178B" w:rsidRPr="0028108F" w:rsidRDefault="0022178B" w:rsidP="004633AF">
      <w:pPr>
        <w:pStyle w:val="FootnoteText"/>
        <w:tabs>
          <w:tab w:val="left" w:pos="851"/>
        </w:tabs>
        <w:ind w:left="709" w:hanging="709"/>
        <w:jc w:val="both"/>
        <w:rPr>
          <w:rFonts w:ascii="Arial" w:hAnsi="Arial" w:cs="Arial"/>
          <w:lang w:val="en-GB" w:eastAsia="ja-JP"/>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the related news report of </w:t>
      </w:r>
      <w:r w:rsidRPr="008813DE">
        <w:rPr>
          <w:rFonts w:ascii="Arial" w:hAnsi="Arial" w:cs="Arial"/>
          <w:i/>
          <w:lang w:val="en-GB"/>
        </w:rPr>
        <w:t>Japan Daily Press</w:t>
      </w:r>
      <w:r w:rsidRPr="0028108F">
        <w:rPr>
          <w:rFonts w:ascii="Arial" w:hAnsi="Arial" w:cs="Arial"/>
          <w:lang w:val="en-GB"/>
        </w:rPr>
        <w:t xml:space="preserve"> (13 December 2013), “Transgender man recognized as legal father of IVF child in Supreme Court ruling”</w:t>
      </w:r>
      <w:r w:rsidRPr="0028108F">
        <w:rPr>
          <w:rFonts w:ascii="Arial" w:hAnsi="Arial" w:cs="Arial"/>
          <w:lang w:val="en-GB" w:eastAsia="ja-JP"/>
        </w:rPr>
        <w:t xml:space="preserve">. </w:t>
      </w:r>
    </w:p>
  </w:footnote>
  <w:footnote w:id="268">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“NIHON SEI DŌITSUSEI SHŌGAI TO TOMO NI IKIRU HITOBITO NO KAI”</w:t>
      </w:r>
      <w:r w:rsidRPr="00181CF2">
        <w:rPr>
          <w:rFonts w:ascii="Arial" w:hAnsi="Arial" w:cs="Arial"/>
          <w:lang w:val="en-GB"/>
        </w:rPr>
        <w:t xml:space="preserve"> (</w:t>
      </w:r>
      <w:r w:rsidRPr="00C57CE1">
        <w:rPr>
          <w:rFonts w:ascii="Arial" w:hAnsi="Arial" w:cs="Arial"/>
          <w:lang w:val="en-GB" w:eastAsia="zh-TW"/>
        </w:rPr>
        <w:t>in</w:t>
      </w:r>
      <w:r w:rsidRPr="0028108F">
        <w:rPr>
          <w:rFonts w:ascii="Arial" w:hAnsi="Arial" w:cs="Arial"/>
          <w:lang w:val="en-GB" w:eastAsia="zh-TW"/>
        </w:rPr>
        <w:t xml:space="preserve"> Japanese, </w:t>
      </w:r>
      <w:r w:rsidRPr="0028108F">
        <w:rPr>
          <w:rFonts w:ascii="Arial" w:hAnsi="Arial" w:cs="Arial"/>
          <w:lang w:val="en-GB"/>
        </w:rPr>
        <w:t>transliterated as “JAPAN ASS’N OF PEOPLE LIVING WITH GENDER IDENTITY DISORDER”</w:t>
      </w:r>
      <w:r w:rsidRPr="00181CF2">
        <w:rPr>
          <w:rFonts w:ascii="Arial" w:hAnsi="Arial" w:cs="Arial"/>
          <w:lang w:val="en-GB"/>
        </w:rPr>
        <w:t xml:space="preserve">), </w:t>
      </w:r>
      <w:r w:rsidRPr="0028108F">
        <w:rPr>
          <w:rFonts w:ascii="Arial" w:hAnsi="Arial" w:cs="Arial"/>
          <w:i/>
          <w:lang w:val="en-GB"/>
        </w:rPr>
        <w:t>Sei Dōitsusei Shōgai Tokurei Hou ni Yoru Seibetsu Kōsei Sū no Sui’i</w:t>
      </w:r>
      <w:r w:rsidRPr="00181CF2">
        <w:rPr>
          <w:rFonts w:ascii="Arial" w:hAnsi="Arial" w:cs="Arial"/>
          <w:lang w:val="en-GB"/>
        </w:rPr>
        <w:t xml:space="preserve"> (</w:t>
      </w:r>
      <w:r w:rsidRPr="00C57CE1">
        <w:rPr>
          <w:rFonts w:ascii="Arial" w:hAnsi="Arial" w:cs="Arial"/>
          <w:lang w:val="en-GB" w:eastAsia="zh-TW"/>
        </w:rPr>
        <w:t xml:space="preserve">in Japanese, </w:t>
      </w:r>
      <w:r w:rsidRPr="0028108F">
        <w:rPr>
          <w:rFonts w:ascii="Arial" w:hAnsi="Arial" w:cs="Arial"/>
          <w:lang w:val="en-GB"/>
        </w:rPr>
        <w:t>transliterated as “</w:t>
      </w:r>
      <w:r w:rsidRPr="0028108F">
        <w:rPr>
          <w:rFonts w:ascii="Arial" w:hAnsi="Arial" w:cs="Arial"/>
          <w:i/>
          <w:lang w:val="en-GB"/>
        </w:rPr>
        <w:t xml:space="preserve">Statistical Developments Regarding the Number of People Who Correct Their Gender in Accordance with the </w:t>
      </w:r>
      <w:r>
        <w:rPr>
          <w:rFonts w:ascii="Arial" w:hAnsi="Arial" w:cs="Arial" w:hint="eastAsia"/>
          <w:i/>
          <w:lang w:val="en-GB" w:eastAsia="zh-TW"/>
        </w:rPr>
        <w:t xml:space="preserve">Japanese </w:t>
      </w:r>
      <w:r w:rsidRPr="0028108F">
        <w:rPr>
          <w:rFonts w:ascii="Arial" w:hAnsi="Arial" w:cs="Arial"/>
          <w:i/>
          <w:lang w:val="en-GB"/>
        </w:rPr>
        <w:t>GID Act</w:t>
      </w:r>
      <w:r w:rsidRPr="0028108F">
        <w:rPr>
          <w:rFonts w:ascii="Arial" w:hAnsi="Arial" w:cs="Arial"/>
          <w:lang w:val="en-GB"/>
        </w:rPr>
        <w:t>”</w:t>
      </w:r>
      <w:r w:rsidRPr="0028108F">
        <w:rPr>
          <w:rFonts w:ascii="Arial" w:hAnsi="Arial" w:cs="Arial"/>
          <w:lang w:val="en-GB" w:eastAsia="zh-TW"/>
        </w:rPr>
        <w:t>)</w:t>
      </w:r>
      <w:r w:rsidRPr="0028108F">
        <w:rPr>
          <w:rFonts w:ascii="Arial" w:hAnsi="Arial" w:cs="Arial"/>
          <w:lang w:val="en-GB"/>
        </w:rPr>
        <w:t xml:space="preserve">. </w:t>
      </w:r>
    </w:p>
  </w:footnote>
  <w:footnote w:id="26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SEI DŌITSUSEI SHŌGAI TO KOSEKI (</w:t>
      </w:r>
      <w:r w:rsidRPr="0028108F">
        <w:rPr>
          <w:rFonts w:ascii="Arial" w:hAnsi="Arial" w:cs="Arial"/>
          <w:lang w:val="en-GB" w:eastAsia="zh-TW"/>
        </w:rPr>
        <w:t xml:space="preserve">in Japanese, </w:t>
      </w:r>
      <w:r w:rsidRPr="0028108F">
        <w:rPr>
          <w:rFonts w:ascii="Arial" w:hAnsi="Arial" w:cs="Arial"/>
          <w:lang w:val="en-GB"/>
        </w:rPr>
        <w:t>transliterated as “</w:t>
      </w:r>
      <w:r w:rsidRPr="0028108F">
        <w:rPr>
          <w:rFonts w:ascii="Arial" w:hAnsi="Arial" w:cs="Arial"/>
          <w:i/>
          <w:lang w:val="en-GB"/>
        </w:rPr>
        <w:t>GENDER IDENTITY DISORDER AND THE FAMILY REGISTRY</w:t>
      </w:r>
      <w:r w:rsidRPr="0028108F">
        <w:rPr>
          <w:rFonts w:ascii="Arial" w:hAnsi="Arial" w:cs="Arial"/>
          <w:lang w:val="en-GB"/>
        </w:rPr>
        <w:t>”) 70-73, 97 (Katsuki Harima et. al eds, 2007), quoted in Hiroyuki Taniguchi, Ph.D., “Japan’s 2003 Gender Identity Disorder Act: The Sex Reassignment Surgery, No Marriage, and No Child Requirements as Perpetuations of Gender Norms in Japan</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Asian-Pacific Law &amp; Policy Journal</w:t>
      </w:r>
      <w:r w:rsidRPr="00181CF2">
        <w:rPr>
          <w:rFonts w:ascii="Arial" w:hAnsi="Arial" w:cs="Arial"/>
          <w:lang w:val="en-GB"/>
        </w:rPr>
        <w:t xml:space="preserve">, </w:t>
      </w:r>
      <w:r w:rsidRPr="00C57CE1">
        <w:rPr>
          <w:rFonts w:ascii="Arial" w:hAnsi="Arial" w:cs="Arial"/>
          <w:lang w:val="en-GB"/>
        </w:rPr>
        <w:t>Volume 14, Issue 2</w:t>
      </w:r>
      <w:r w:rsidRPr="0028108F">
        <w:rPr>
          <w:rFonts w:ascii="Arial" w:hAnsi="Arial" w:cs="Arial"/>
          <w:lang w:val="en-GB"/>
        </w:rPr>
        <w:t>, at 110.  It was revealed that around 5,000 people with gender identity disorder have visited medical offices in Japan.</w:t>
      </w:r>
      <w:r w:rsidRPr="0028108F">
        <w:rPr>
          <w:rFonts w:ascii="Arial" w:hAnsi="Arial" w:cs="Arial"/>
          <w:i/>
          <w:lang w:val="en-GB"/>
        </w:rPr>
        <w:t xml:space="preserve"> Id.</w:t>
      </w:r>
      <w:r w:rsidRPr="0028108F">
        <w:rPr>
          <w:rFonts w:ascii="Arial" w:hAnsi="Arial" w:cs="Arial"/>
          <w:lang w:val="en-GB"/>
        </w:rPr>
        <w:t xml:space="preserve"> at 97.  However, the author of this essay takes into account the people with gender identity disorder who do not or cannot visit a medical clinic and estimates the total number of individuals with gender identity disorder to be between 7,000 to 10,000 people.</w:t>
      </w:r>
    </w:p>
  </w:footnote>
  <w:footnote w:id="27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Aki Nomiya et. al. eds.,</w:t>
      </w:r>
      <w:r w:rsidRPr="0028108F">
        <w:rPr>
          <w:rFonts w:ascii="Arial" w:hAnsi="Arial" w:cs="Arial"/>
          <w:i/>
          <w:lang w:val="en-GB"/>
        </w:rPr>
        <w:t xml:space="preserve"> SEI DŌITSUSEI SHŌGAI TTE NANI</w:t>
      </w:r>
      <w:r w:rsidRPr="00181CF2">
        <w:rPr>
          <w:rFonts w:ascii="Arial" w:hAnsi="Arial" w:cs="Arial"/>
          <w:lang w:val="en-GB"/>
        </w:rPr>
        <w:t xml:space="preserve"> (</w:t>
      </w:r>
      <w:r w:rsidRPr="00C57CE1">
        <w:rPr>
          <w:rFonts w:ascii="Arial" w:hAnsi="Arial" w:cs="Arial"/>
          <w:lang w:val="en-GB" w:eastAsia="zh-TW"/>
        </w:rPr>
        <w:t xml:space="preserve">in Japanese, </w:t>
      </w:r>
      <w:r w:rsidRPr="0028108F">
        <w:rPr>
          <w:rFonts w:ascii="Arial" w:hAnsi="Arial" w:cs="Arial"/>
          <w:lang w:val="en-GB"/>
        </w:rPr>
        <w:t>transliterated as “</w:t>
      </w:r>
      <w:r w:rsidRPr="0028108F">
        <w:rPr>
          <w:rFonts w:ascii="Arial" w:hAnsi="Arial" w:cs="Arial"/>
          <w:i/>
          <w:lang w:val="en-GB"/>
        </w:rPr>
        <w:t>WHAT IS GENDER IDENTITY DISORDER</w:t>
      </w:r>
      <w:r w:rsidRPr="0028108F">
        <w:rPr>
          <w:rFonts w:ascii="Arial" w:hAnsi="Arial" w:cs="Arial"/>
          <w:lang w:val="en-GB"/>
        </w:rPr>
        <w:t>”) 79 (2011), quoted in Hiroyuki Taniguchi, Ph.D., “Japan’s 2003 Gender Identity Disorder Act: The Sex Reassignment Surgery, No Marriage, and No Child Requirements as Perpetuations of Gender Norms in Japan</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Asian-Pacific Law &amp; Policy Journal</w:t>
      </w:r>
      <w:r w:rsidRPr="00181CF2">
        <w:rPr>
          <w:rFonts w:ascii="Arial" w:hAnsi="Arial" w:cs="Arial"/>
          <w:lang w:val="en-GB"/>
        </w:rPr>
        <w:t xml:space="preserve">, </w:t>
      </w:r>
      <w:r w:rsidRPr="00C57CE1">
        <w:rPr>
          <w:rFonts w:ascii="Arial" w:hAnsi="Arial" w:cs="Arial"/>
          <w:lang w:val="en-GB"/>
        </w:rPr>
        <w:t>Volume 14, Issue 2</w:t>
      </w:r>
      <w:r w:rsidRPr="0028108F">
        <w:rPr>
          <w:rFonts w:ascii="Arial" w:hAnsi="Arial" w:cs="Arial"/>
          <w:lang w:val="en-GB"/>
        </w:rPr>
        <w:t>, at 111.</w:t>
      </w:r>
    </w:p>
  </w:footnote>
  <w:footnote w:id="27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Registration of Births and Deaths Act (Cap 267), s 24.</w:t>
      </w:r>
    </w:p>
  </w:footnote>
  <w:footnote w:id="272">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Lenore T Lyons, University of Wollongong, 2004, “Sexing the nation: normative heterosexuality and the ‘good’ Singaporean citizen”, in A Branach-Kallas &amp; K Wieckowska (eds)</w:t>
      </w:r>
      <w:r w:rsidRPr="0028108F">
        <w:rPr>
          <w:rFonts w:ascii="Arial" w:hAnsi="Arial" w:cs="Arial"/>
          <w:lang w:val="en-GB" w:eastAsia="zh-TW"/>
        </w:rPr>
        <w:t>,</w:t>
      </w:r>
      <w:r w:rsidRPr="0028108F">
        <w:rPr>
          <w:rFonts w:ascii="Arial" w:hAnsi="Arial" w:cs="Arial"/>
          <w:lang w:val="en-GB"/>
        </w:rPr>
        <w:t xml:space="preserve"> </w:t>
      </w:r>
      <w:r>
        <w:rPr>
          <w:rFonts w:ascii="Arial" w:hAnsi="Arial" w:cs="Arial"/>
          <w:lang w:val="en-GB" w:eastAsia="zh-TW"/>
        </w:rPr>
        <w:t>“</w:t>
      </w:r>
      <w:r w:rsidRPr="0028108F">
        <w:rPr>
          <w:rFonts w:ascii="Arial" w:hAnsi="Arial" w:cs="Arial"/>
          <w:lang w:val="en-GB"/>
        </w:rPr>
        <w:t xml:space="preserve">The Nation of the Other: Constructions of Nation in Contemporary Cultural and Literary Discourses”, </w:t>
      </w:r>
      <w:r w:rsidRPr="008E28B3">
        <w:rPr>
          <w:rFonts w:ascii="Arial" w:hAnsi="Arial" w:cs="Arial"/>
          <w:i/>
          <w:lang w:val="en-GB"/>
        </w:rPr>
        <w:t>Uniwersytet Mikolaja Kopernika (Nicolas Copernicus University), T</w:t>
      </w:r>
      <w:r w:rsidRPr="0028108F">
        <w:rPr>
          <w:rFonts w:ascii="Arial" w:hAnsi="Arial" w:cs="Arial"/>
          <w:i/>
          <w:lang w:val="en-GB"/>
        </w:rPr>
        <w:t>orun, Poland</w:t>
      </w:r>
      <w:r w:rsidRPr="00181CF2">
        <w:rPr>
          <w:rFonts w:ascii="Arial" w:hAnsi="Arial" w:cs="Arial"/>
          <w:lang w:val="en-GB"/>
        </w:rPr>
        <w:t xml:space="preserve">, 2004, 79 to 96, at 90 and 91.   </w:t>
      </w:r>
    </w:p>
  </w:footnote>
  <w:footnote w:id="273">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Same as above</w:t>
      </w:r>
      <w:r w:rsidRPr="00C57CE1">
        <w:rPr>
          <w:rFonts w:ascii="Arial" w:hAnsi="Arial" w:cs="Arial"/>
          <w:lang w:val="en-GB"/>
        </w:rPr>
        <w:t xml:space="preserve">.  </w:t>
      </w:r>
    </w:p>
  </w:footnote>
  <w:footnote w:id="274">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color w:val="000000" w:themeColor="text1"/>
          <w:lang w:val="en-GB"/>
        </w:rPr>
        <w:t xml:space="preserve"> </w:t>
      </w:r>
      <w:r w:rsidRPr="0028108F">
        <w:rPr>
          <w:rFonts w:ascii="Arial" w:hAnsi="Arial" w:cs="Arial"/>
          <w:color w:val="000000" w:themeColor="text1"/>
          <w:lang w:val="en-GB"/>
        </w:rPr>
        <w:tab/>
        <w:t>For a historical development leading to the Women’s Charter, see Terry Sheung-Hung Kaan, “The Legal Status of Transsexual and Transgender Persons in Singapore</w:t>
      </w:r>
      <w:r w:rsidRPr="00181CF2">
        <w:rPr>
          <w:rFonts w:ascii="Arial" w:hAnsi="Arial" w:cs="Arial"/>
          <w:color w:val="000000" w:themeColor="text1"/>
          <w:lang w:val="en-GB"/>
        </w:rPr>
        <w:t>”</w:t>
      </w:r>
      <w:r w:rsidRPr="00C57CE1">
        <w:rPr>
          <w:rFonts w:ascii="Arial" w:hAnsi="Arial" w:cs="Arial"/>
          <w:color w:val="000000" w:themeColor="text1"/>
          <w:lang w:val="en-GB"/>
        </w:rPr>
        <w:t>, in</w:t>
      </w:r>
      <w:r w:rsidRPr="0028108F">
        <w:rPr>
          <w:rFonts w:ascii="Arial" w:hAnsi="Arial" w:cs="Arial"/>
          <w:color w:val="000000" w:themeColor="text1"/>
          <w:lang w:val="en-GB"/>
        </w:rPr>
        <w:t xml:space="preserve"> 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413 to 416</w:t>
      </w:r>
      <w:r w:rsidRPr="0028108F">
        <w:rPr>
          <w:rFonts w:ascii="Arial" w:hAnsi="Arial" w:cs="Arial"/>
          <w:color w:val="000000" w:themeColor="text1"/>
          <w:lang w:val="en-GB"/>
        </w:rPr>
        <w:t>.</w:t>
      </w:r>
    </w:p>
  </w:footnote>
  <w:footnote w:id="27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[1991] SGHC 135.</w:t>
      </w:r>
    </w:p>
  </w:footnote>
  <w:footnote w:id="27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eastAsia="zh-TW"/>
        </w:rPr>
        <w:t>See</w:t>
      </w:r>
      <w:r w:rsidRPr="008813DE">
        <w:rPr>
          <w:rFonts w:ascii="Arial" w:hAnsi="Arial" w:cs="Arial"/>
          <w:i/>
          <w:lang w:val="en-GB" w:eastAsia="zh-TW"/>
        </w:rPr>
        <w:t xml:space="preserve"> </w:t>
      </w:r>
      <w:r w:rsidRPr="008813DE">
        <w:rPr>
          <w:rFonts w:ascii="Arial" w:hAnsi="Arial" w:cs="Arial"/>
          <w:i/>
          <w:lang w:val="en-GB"/>
        </w:rPr>
        <w:t xml:space="preserve">Lim Ying </w:t>
      </w:r>
      <w:r>
        <w:rPr>
          <w:rFonts w:ascii="Arial" w:hAnsi="Arial" w:cs="Arial"/>
          <w:i/>
          <w:lang w:val="en-GB"/>
        </w:rPr>
        <w:t xml:space="preserve">v </w:t>
      </w:r>
      <w:r w:rsidRPr="008813DE">
        <w:rPr>
          <w:rFonts w:ascii="Arial" w:hAnsi="Arial" w:cs="Arial"/>
          <w:i/>
          <w:lang w:val="en-GB"/>
        </w:rPr>
        <w:t>Hiok Kian Ming Eric</w:t>
      </w:r>
      <w:r w:rsidRPr="00181CF2">
        <w:rPr>
          <w:rFonts w:ascii="Arial" w:hAnsi="Arial" w:cs="Arial"/>
          <w:i/>
          <w:lang w:val="en-GB" w:eastAsia="zh-TW"/>
        </w:rPr>
        <w:t xml:space="preserve"> </w:t>
      </w:r>
      <w:r w:rsidRPr="00C57CE1">
        <w:rPr>
          <w:rFonts w:ascii="Arial" w:hAnsi="Arial" w:cs="Arial"/>
          <w:lang w:val="en-GB"/>
        </w:rPr>
        <w:t>[1991] SGHC 135</w:t>
      </w:r>
      <w:r w:rsidRPr="0028108F">
        <w:rPr>
          <w:rFonts w:ascii="Arial" w:hAnsi="Arial" w:cs="Arial"/>
          <w:lang w:val="en-GB"/>
        </w:rPr>
        <w:t xml:space="preserve">, from 194 to 196.  In contrast, as early as 1971, transsexual persons in Singapore having undergone gender reassignment surgery could get married by presenting their identity cards as proof of identity and sex.  However, following the decision in the </w:t>
      </w:r>
      <w:r w:rsidRPr="0028108F">
        <w:rPr>
          <w:rFonts w:ascii="Arial" w:hAnsi="Arial" w:cs="Arial"/>
          <w:i/>
          <w:lang w:val="en-GB"/>
        </w:rPr>
        <w:t xml:space="preserve">Lim Ying </w:t>
      </w:r>
      <w:r w:rsidRPr="0028108F">
        <w:rPr>
          <w:rFonts w:ascii="Arial" w:hAnsi="Arial" w:cs="Arial"/>
          <w:lang w:val="en-GB"/>
        </w:rPr>
        <w:t>case, the Registry of Marriages stopped allowing the use of identity cards as proof of sex and required the applicants to bring their birth certificates as evidence of their sex instead.  Now subs</w:t>
      </w:r>
      <w:r w:rsidRPr="0028108F">
        <w:rPr>
          <w:rFonts w:ascii="Arial" w:hAnsi="Arial" w:cs="Arial"/>
          <w:lang w:val="en-GB" w:eastAsia="zh-TW"/>
        </w:rPr>
        <w:t>ection</w:t>
      </w:r>
      <w:r w:rsidRPr="0028108F">
        <w:rPr>
          <w:rFonts w:ascii="Arial" w:hAnsi="Arial" w:cs="Arial"/>
          <w:lang w:val="en-GB"/>
        </w:rPr>
        <w:t xml:space="preserve">s 12(2) and 12(3) of the Women’s Charter effectively override </w:t>
      </w:r>
      <w:r w:rsidRPr="0028108F">
        <w:rPr>
          <w:rFonts w:ascii="Arial" w:hAnsi="Arial" w:cs="Arial"/>
          <w:i/>
          <w:lang w:val="en-GB"/>
        </w:rPr>
        <w:t xml:space="preserve">Lim Ying </w:t>
      </w:r>
      <w:r w:rsidRPr="0028108F">
        <w:rPr>
          <w:rFonts w:ascii="Arial" w:hAnsi="Arial" w:cs="Arial"/>
          <w:lang w:val="en-GB"/>
        </w:rPr>
        <w:t xml:space="preserve">by deeming the sex in the NRIC as the </w:t>
      </w:r>
      <w:r w:rsidRPr="0028108F">
        <w:rPr>
          <w:rFonts w:ascii="Arial" w:hAnsi="Arial" w:cs="Arial"/>
          <w:i/>
          <w:lang w:val="en-GB"/>
        </w:rPr>
        <w:t>prima facie</w:t>
      </w:r>
      <w:r w:rsidRPr="0028108F">
        <w:rPr>
          <w:rFonts w:ascii="Arial" w:hAnsi="Arial" w:cs="Arial"/>
          <w:lang w:val="en-GB"/>
        </w:rPr>
        <w:t xml:space="preserve"> evidence of the sex of the holder, and that the sex of a transsexual would be the post-operative sex.</w:t>
      </w:r>
    </w:p>
  </w:footnote>
  <w:footnote w:id="27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It seems that it was not the intention of the legislature to allow for easy rebuttal of the evidence, as the relevant section in the Women’s Charter (Amendment) Bill previously read </w:t>
      </w:r>
      <w:r w:rsidRPr="0028108F">
        <w:rPr>
          <w:rFonts w:ascii="Arial" w:hAnsi="Arial" w:cs="Arial"/>
          <w:i/>
          <w:lang w:val="en-GB"/>
        </w:rPr>
        <w:t>“conclusive evidence”</w:t>
      </w:r>
      <w:r w:rsidRPr="0028108F">
        <w:rPr>
          <w:rFonts w:ascii="Arial" w:hAnsi="Arial" w:cs="Arial"/>
          <w:lang w:val="en-GB"/>
        </w:rPr>
        <w:t xml:space="preserve"> instead of </w:t>
      </w:r>
      <w:r w:rsidRPr="0028108F">
        <w:rPr>
          <w:rFonts w:ascii="Arial" w:hAnsi="Arial" w:cs="Arial"/>
          <w:i/>
          <w:lang w:val="en-GB"/>
        </w:rPr>
        <w:t>“prima facie evidence”</w:t>
      </w:r>
      <w:r w:rsidRPr="0028108F">
        <w:rPr>
          <w:rFonts w:ascii="Arial" w:hAnsi="Arial" w:cs="Arial"/>
          <w:lang w:val="en-GB"/>
        </w:rPr>
        <w:t xml:space="preserve"> of the sex of the party concerned.  The change in wording was to avoid rigidity of the legislature in case of, for example, fraud or mistake in recording the sex in the identity card.  See Select Committee on Women’s Charter (Amendment) Bill, “Report of the Select Committee on the Women’s Charter</w:t>
      </w:r>
      <w:r w:rsidRPr="00181CF2">
        <w:rPr>
          <w:rFonts w:ascii="Arial" w:hAnsi="Arial" w:cs="Arial"/>
          <w:lang w:val="en-GB"/>
        </w:rPr>
        <w:t>”</w:t>
      </w:r>
      <w:r w:rsidRPr="0028108F">
        <w:rPr>
          <w:rFonts w:ascii="Arial" w:hAnsi="Arial" w:cs="Arial"/>
          <w:lang w:val="en-GB"/>
        </w:rPr>
        <w:t xml:space="preserve"> (Amendment) Bill [Bill No. 5/96] (Second Session, Eighth Parliament of Singapore 1996)</w:t>
      </w:r>
      <w:r w:rsidRPr="00181CF2">
        <w:rPr>
          <w:rFonts w:ascii="Arial" w:hAnsi="Arial" w:cs="Arial"/>
          <w:lang w:val="en-GB"/>
        </w:rPr>
        <w:t xml:space="preserve">, </w:t>
      </w:r>
      <w:r w:rsidRPr="0028108F">
        <w:rPr>
          <w:rFonts w:ascii="Arial" w:hAnsi="Arial" w:cs="Arial"/>
          <w:lang w:val="en-GB"/>
        </w:rPr>
        <w:t>paragraph 5.2.2, B23-24, B77.  See also Patrick Jiang, “Legislating for Transgender People: a Comparative Study of the Change of Legal Gender in Hong Kong, Singapore, Japan and the United Kingdom”</w:t>
      </w:r>
      <w:r w:rsidRPr="00181CF2">
        <w:rPr>
          <w:rFonts w:ascii="Arial" w:hAnsi="Arial" w:cs="Arial"/>
          <w:lang w:val="en-GB"/>
        </w:rPr>
        <w:t xml:space="preserve"> </w:t>
      </w:r>
      <w:r w:rsidRPr="00C57CE1">
        <w:rPr>
          <w:rFonts w:ascii="Arial" w:hAnsi="Arial" w:cs="Arial"/>
          <w:lang w:val="en-GB"/>
        </w:rPr>
        <w:t xml:space="preserve">(2013) 7 </w:t>
      </w:r>
      <w:r w:rsidRPr="008813DE">
        <w:rPr>
          <w:rFonts w:ascii="Arial" w:hAnsi="Arial" w:cs="Arial"/>
          <w:lang w:val="en-GB"/>
        </w:rPr>
        <w:t>HKJL</w:t>
      </w:r>
      <w:r>
        <w:rPr>
          <w:rFonts w:ascii="Arial" w:hAnsi="Arial" w:cs="Arial"/>
          <w:lang w:val="en-GB"/>
        </w:rPr>
        <w:t>S</w:t>
      </w:r>
      <w:r w:rsidRPr="0028108F">
        <w:rPr>
          <w:rFonts w:ascii="Arial" w:hAnsi="Arial" w:cs="Arial"/>
          <w:lang w:val="en-GB"/>
        </w:rPr>
        <w:t xml:space="preserve"> 31, at 50.</w:t>
      </w:r>
    </w:p>
  </w:footnote>
  <w:footnote w:id="278">
    <w:p w:rsidR="0022178B" w:rsidRPr="0028108F" w:rsidRDefault="0022178B" w:rsidP="004633AF">
      <w:pPr>
        <w:pStyle w:val="FootnoteText"/>
        <w:tabs>
          <w:tab w:val="left" w:pos="851"/>
        </w:tabs>
        <w:ind w:left="709" w:hanging="709"/>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w:t>
      </w:r>
      <w:r w:rsidRPr="0028108F">
        <w:rPr>
          <w:rFonts w:ascii="Arial" w:hAnsi="Arial" w:cs="Arial"/>
          <w:lang w:val="en-GB" w:eastAsia="zh-TW"/>
        </w:rPr>
        <w:t>ection</w:t>
      </w:r>
      <w:r w:rsidRPr="0028108F">
        <w:rPr>
          <w:rFonts w:ascii="Arial" w:hAnsi="Arial" w:cs="Arial"/>
          <w:lang w:val="en-GB"/>
        </w:rPr>
        <w:t xml:space="preserve"> 12(1) of the Women’s Charter (Cap 353) reads: “A marriage solemnized in Singapore or elsewhere between persons who, at the date of the marriage, are not respectively male and female shall be void.”  S 12(3) reads </w:t>
      </w:r>
    </w:p>
    <w:p w:rsidR="0022178B" w:rsidRPr="0028108F" w:rsidRDefault="0022178B" w:rsidP="004A38A8">
      <w:pPr>
        <w:pStyle w:val="FootnoteText"/>
        <w:tabs>
          <w:tab w:val="left" w:pos="1276"/>
        </w:tabs>
        <w:ind w:left="709" w:hanging="709"/>
        <w:jc w:val="both"/>
        <w:rPr>
          <w:rFonts w:ascii="Arial" w:hAnsi="Arial" w:cs="Arial"/>
          <w:lang w:val="en-GB"/>
        </w:rPr>
      </w:pPr>
      <w:r w:rsidRPr="0028108F">
        <w:rPr>
          <w:rFonts w:ascii="Arial" w:hAnsi="Arial" w:cs="Arial"/>
          <w:lang w:val="en-GB" w:eastAsia="zh-TW"/>
        </w:rPr>
        <w:tab/>
      </w:r>
      <w:r w:rsidRPr="0028108F">
        <w:rPr>
          <w:rFonts w:ascii="Arial" w:hAnsi="Arial" w:cs="Arial"/>
          <w:lang w:val="en-GB" w:eastAsia="zh-TW"/>
        </w:rPr>
        <w:tab/>
      </w:r>
      <w:r w:rsidRPr="0028108F">
        <w:rPr>
          <w:rFonts w:ascii="Arial" w:hAnsi="Arial" w:cs="Arial"/>
          <w:lang w:val="en-GB"/>
        </w:rPr>
        <w:t>“For the purpose of this section —</w:t>
      </w:r>
    </w:p>
    <w:p w:rsidR="0022178B" w:rsidRPr="0028108F" w:rsidRDefault="0022178B" w:rsidP="0028108F">
      <w:pPr>
        <w:pStyle w:val="FootnoteText"/>
        <w:widowControl/>
        <w:numPr>
          <w:ilvl w:val="0"/>
          <w:numId w:val="16"/>
        </w:numPr>
        <w:tabs>
          <w:tab w:val="left" w:pos="851"/>
        </w:tabs>
        <w:overflowPunct w:val="0"/>
        <w:topLinePunct/>
        <w:autoSpaceDE w:val="0"/>
        <w:autoSpaceDN w:val="0"/>
        <w:adjustRightInd w:val="0"/>
        <w:ind w:left="1843" w:hanging="567"/>
        <w:jc w:val="both"/>
        <w:textAlignment w:val="baseline"/>
        <w:rPr>
          <w:rFonts w:ascii="Arial" w:hAnsi="Arial" w:cs="Arial"/>
          <w:i/>
          <w:lang w:val="en-GB"/>
        </w:rPr>
      </w:pPr>
      <w:r w:rsidRPr="0028108F">
        <w:rPr>
          <w:rFonts w:ascii="Arial" w:hAnsi="Arial" w:cs="Arial"/>
          <w:i/>
          <w:lang w:val="en-GB"/>
        </w:rPr>
        <w:t>the sex of any party to a marriage as stated at the time of the marriage in his or her identity card issued under the National Registration Act (Cap 201) shall be prima facie evidence of the sex of the party; and</w:t>
      </w:r>
    </w:p>
    <w:p w:rsidR="0022178B" w:rsidRPr="00181CF2" w:rsidRDefault="0022178B" w:rsidP="0028108F">
      <w:pPr>
        <w:pStyle w:val="FootnoteText"/>
        <w:widowControl/>
        <w:numPr>
          <w:ilvl w:val="0"/>
          <w:numId w:val="16"/>
        </w:numPr>
        <w:tabs>
          <w:tab w:val="left" w:pos="851"/>
        </w:tabs>
        <w:overflowPunct w:val="0"/>
        <w:topLinePunct/>
        <w:autoSpaceDE w:val="0"/>
        <w:autoSpaceDN w:val="0"/>
        <w:adjustRightInd w:val="0"/>
        <w:ind w:left="1843" w:hanging="567"/>
        <w:jc w:val="both"/>
        <w:textAlignment w:val="baseline"/>
        <w:rPr>
          <w:rFonts w:ascii="Arial" w:hAnsi="Arial" w:cs="Arial"/>
          <w:lang w:val="en-GB"/>
        </w:rPr>
      </w:pPr>
      <w:r w:rsidRPr="0028108F">
        <w:rPr>
          <w:rFonts w:ascii="Arial" w:hAnsi="Arial" w:cs="Arial"/>
          <w:i/>
          <w:lang w:val="en-GB"/>
        </w:rPr>
        <w:t>a person who has undergone a sex re-assignment procedure shall be identified as being of the sex to which the person has been re-assigned.”</w:t>
      </w:r>
    </w:p>
  </w:footnote>
  <w:footnote w:id="279">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Patrick Jiang, </w:t>
      </w:r>
      <w:r w:rsidRPr="00C57CE1">
        <w:rPr>
          <w:rFonts w:ascii="Arial" w:hAnsi="Arial" w:cs="Arial"/>
          <w:lang w:val="en-GB"/>
        </w:rPr>
        <w:t>“</w:t>
      </w:r>
      <w:r w:rsidRPr="0028108F">
        <w:rPr>
          <w:rFonts w:ascii="Arial" w:hAnsi="Arial" w:cs="Arial"/>
          <w:lang w:val="en-GB"/>
        </w:rPr>
        <w:t>Legislating for Transgender People: a Comparative Study of the Change of Legal Gender in Hong Kong, Singapore, Japan and the United Kingdom”</w:t>
      </w:r>
      <w:r w:rsidRPr="00181CF2">
        <w:rPr>
          <w:rFonts w:ascii="Arial" w:hAnsi="Arial" w:cs="Arial"/>
          <w:lang w:val="en-GB"/>
        </w:rPr>
        <w:t xml:space="preserve"> </w:t>
      </w:r>
      <w:r w:rsidRPr="00C57CE1">
        <w:rPr>
          <w:rFonts w:ascii="Arial" w:hAnsi="Arial" w:cs="Arial"/>
          <w:lang w:val="en-GB"/>
        </w:rPr>
        <w:t xml:space="preserve">(2013) 7 </w:t>
      </w:r>
      <w:r w:rsidRPr="008813DE">
        <w:rPr>
          <w:rFonts w:ascii="Arial" w:hAnsi="Arial" w:cs="Arial"/>
          <w:lang w:val="en-GB"/>
        </w:rPr>
        <w:t>HKJL</w:t>
      </w:r>
      <w:r w:rsidRPr="00F86CD8">
        <w:rPr>
          <w:rFonts w:ascii="Arial" w:hAnsi="Arial" w:cs="Arial"/>
          <w:lang w:val="en-GB"/>
        </w:rPr>
        <w:t>S</w:t>
      </w:r>
      <w:r w:rsidRPr="00181CF2">
        <w:rPr>
          <w:rFonts w:ascii="Arial" w:hAnsi="Arial" w:cs="Arial"/>
          <w:lang w:val="en-GB"/>
        </w:rPr>
        <w:t xml:space="preserve"> 31, at 50.</w:t>
      </w:r>
    </w:p>
  </w:footnote>
  <w:footnote w:id="280">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Same as above.</w:t>
      </w:r>
    </w:p>
  </w:footnote>
  <w:footnote w:id="281">
    <w:p w:rsidR="0022178B" w:rsidRPr="0028108F" w:rsidRDefault="0022178B" w:rsidP="008813DE">
      <w:pPr>
        <w:pStyle w:val="FootnoteText"/>
        <w:tabs>
          <w:tab w:val="left" w:pos="709"/>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Pr>
          <w:rFonts w:ascii="Arial" w:hAnsi="Arial" w:cs="Arial"/>
          <w:lang w:val="en-GB"/>
        </w:rPr>
        <w:tab/>
      </w:r>
      <w:r w:rsidRPr="00181CF2">
        <w:rPr>
          <w:rFonts w:ascii="Arial" w:hAnsi="Arial" w:cs="Arial"/>
          <w:lang w:val="en-GB"/>
        </w:rPr>
        <w:t xml:space="preserve">For example, an offence of sexual assault by penetration under s 376 means, </w:t>
      </w:r>
      <w:r w:rsidRPr="00C57CE1">
        <w:rPr>
          <w:rFonts w:ascii="Arial" w:hAnsi="Arial" w:cs="Arial"/>
          <w:i/>
          <w:lang w:val="en-GB"/>
        </w:rPr>
        <w:t>inter alia</w:t>
      </w:r>
      <w:r w:rsidRPr="0028108F">
        <w:rPr>
          <w:rFonts w:ascii="Arial" w:hAnsi="Arial" w:cs="Arial"/>
          <w:lang w:val="en-GB"/>
        </w:rPr>
        <w:t>, a man who penetrates, with his penis, the anus or mouth of another person without that person’s consent (s 376(1)(a)).</w:t>
      </w:r>
    </w:p>
  </w:footnote>
  <w:footnote w:id="282">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Including rape (s 375), sexual assault by penetration (s 376), sexual penetration of minor under 16 (s 376A), commercial sex with minor under 18 (ss 376B, 376C and 376D</w:t>
      </w:r>
      <w:r w:rsidRPr="00C57CE1">
        <w:rPr>
          <w:rFonts w:ascii="Arial" w:hAnsi="Arial" w:cs="Arial"/>
          <w:lang w:val="en-GB"/>
        </w:rPr>
        <w:t>), sexual grooming of minor under 16 (s 376E), procurement of sexual activity with person with mental disability (s 376F), incest (s 376G), sexual penetration of a corpse (s 377), outrages on decency (s 377A), sexual penetration with living animal (s 377B)</w:t>
      </w:r>
      <w:r w:rsidRPr="0028108F">
        <w:rPr>
          <w:rFonts w:ascii="Arial" w:hAnsi="Arial" w:cs="Arial"/>
          <w:lang w:val="en-GB"/>
        </w:rPr>
        <w:t>.</w:t>
      </w:r>
    </w:p>
  </w:footnote>
  <w:footnote w:id="283">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color w:val="000000" w:themeColor="text1"/>
          <w:vertAlign w:val="baseline"/>
          <w:lang w:val="en-GB"/>
        </w:rPr>
        <w:footnoteRef/>
      </w:r>
      <w:r w:rsidRPr="00181CF2">
        <w:rPr>
          <w:rFonts w:ascii="Arial" w:hAnsi="Arial" w:cs="Arial"/>
          <w:lang w:val="en-GB"/>
        </w:rPr>
        <w:t xml:space="preserve"> </w:t>
      </w:r>
      <w:r w:rsidRPr="00181CF2">
        <w:rPr>
          <w:rFonts w:ascii="Arial" w:hAnsi="Arial" w:cs="Arial"/>
          <w:lang w:val="en-GB"/>
        </w:rPr>
        <w:tab/>
        <w:t>See Ong, Debbie S</w:t>
      </w:r>
      <w:r w:rsidRPr="0028108F">
        <w:rPr>
          <w:rFonts w:ascii="Arial" w:hAnsi="Arial" w:cs="Arial"/>
          <w:lang w:val="en-GB"/>
        </w:rPr>
        <w:t xml:space="preserve"> L 1998, “The Test of Sex for Marriage in Singapore”,</w:t>
      </w:r>
      <w:r w:rsidRPr="00181CF2">
        <w:rPr>
          <w:rFonts w:ascii="Arial" w:hAnsi="Arial" w:cs="Arial"/>
          <w:i/>
          <w:lang w:val="en-GB"/>
        </w:rPr>
        <w:t xml:space="preserve"> International Journal of Law, Policy and the Family</w:t>
      </w:r>
      <w:r w:rsidRPr="00C57CE1">
        <w:rPr>
          <w:rFonts w:ascii="Arial" w:hAnsi="Arial" w:cs="Arial"/>
          <w:lang w:val="en-GB"/>
        </w:rPr>
        <w:t>, 12: 161-79, quoted in Lenore T</w:t>
      </w:r>
      <w:r w:rsidRPr="0028108F">
        <w:rPr>
          <w:rFonts w:ascii="Arial" w:hAnsi="Arial" w:cs="Arial"/>
          <w:lang w:val="en-GB"/>
        </w:rPr>
        <w:t xml:space="preserve"> Lyons, University of Wollongong, 2004, “Sexing the nation: normative heterosexuality and the ‘good’ Singaporean citizen”</w:t>
      </w:r>
      <w:r w:rsidRPr="00181CF2">
        <w:rPr>
          <w:rFonts w:ascii="Arial" w:hAnsi="Arial" w:cs="Arial"/>
          <w:lang w:val="en-GB"/>
        </w:rPr>
        <w:t xml:space="preserve"> (in A Branach-Kallas &amp; K Wieckowska (eds)) and </w:t>
      </w:r>
      <w:r w:rsidRPr="00C57CE1">
        <w:rPr>
          <w:rFonts w:ascii="Arial" w:hAnsi="Arial" w:cs="Arial"/>
          <w:lang w:val="en-GB"/>
        </w:rPr>
        <w:t>“</w:t>
      </w:r>
      <w:r w:rsidRPr="0028108F">
        <w:rPr>
          <w:rFonts w:ascii="Arial" w:hAnsi="Arial" w:cs="Arial"/>
          <w:lang w:val="en-GB"/>
        </w:rPr>
        <w:t>The Nation of the Other: Constructions of Nation in Contemporary Cultural and Literary Discourses”</w:t>
      </w:r>
      <w:r w:rsidRPr="00181CF2">
        <w:rPr>
          <w:rFonts w:ascii="Arial" w:hAnsi="Arial" w:cs="Arial"/>
          <w:lang w:val="en-GB"/>
        </w:rPr>
        <w:t xml:space="preserve">, Uniwersytet Mikolaja Kopernika (Nicolas Copernicus University), </w:t>
      </w:r>
      <w:r w:rsidRPr="0028108F">
        <w:rPr>
          <w:rFonts w:ascii="Arial" w:hAnsi="Arial" w:cs="Arial"/>
          <w:i/>
          <w:lang w:val="en-GB"/>
        </w:rPr>
        <w:t>Torun, Poland</w:t>
      </w:r>
      <w:r w:rsidRPr="00181CF2">
        <w:rPr>
          <w:rFonts w:ascii="Arial" w:hAnsi="Arial" w:cs="Arial"/>
          <w:lang w:val="en-GB"/>
        </w:rPr>
        <w:t>, 2</w:t>
      </w:r>
      <w:r w:rsidRPr="00C57CE1">
        <w:rPr>
          <w:rFonts w:ascii="Arial" w:hAnsi="Arial" w:cs="Arial"/>
          <w:lang w:val="en-GB"/>
        </w:rPr>
        <w:t>004, 79-96, at</w:t>
      </w:r>
      <w:r w:rsidRPr="0028108F">
        <w:rPr>
          <w:rFonts w:ascii="Arial" w:hAnsi="Arial" w:cs="Arial"/>
          <w:lang w:val="en-GB"/>
        </w:rPr>
        <w:t xml:space="preserve"> 91.</w:t>
      </w:r>
    </w:p>
  </w:footnote>
  <w:footnote w:id="284">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Patrick Jiang, </w:t>
      </w:r>
      <w:r w:rsidRPr="00C57CE1">
        <w:rPr>
          <w:rFonts w:ascii="Arial" w:hAnsi="Arial" w:cs="Arial"/>
          <w:lang w:val="en-GB"/>
        </w:rPr>
        <w:t>“</w:t>
      </w:r>
      <w:r w:rsidRPr="0028108F">
        <w:rPr>
          <w:rFonts w:ascii="Arial" w:hAnsi="Arial" w:cs="Arial"/>
          <w:lang w:val="en-GB"/>
        </w:rPr>
        <w:t>Legislating for Transgender People: a Comparative Study of the Change of Legal Gender in Hong Kong, Singapore, Japan and the United Kingdom”</w:t>
      </w:r>
      <w:r w:rsidRPr="00181CF2">
        <w:rPr>
          <w:rFonts w:ascii="Arial" w:hAnsi="Arial" w:cs="Arial"/>
          <w:lang w:val="en-GB"/>
        </w:rPr>
        <w:t xml:space="preserve"> </w:t>
      </w:r>
      <w:r w:rsidRPr="00C57CE1">
        <w:rPr>
          <w:rFonts w:ascii="Arial" w:hAnsi="Arial" w:cs="Arial"/>
          <w:lang w:val="en-GB"/>
        </w:rPr>
        <w:t xml:space="preserve">(2013) 7 </w:t>
      </w:r>
      <w:r w:rsidRPr="008813DE">
        <w:rPr>
          <w:rFonts w:ascii="Arial" w:hAnsi="Arial" w:cs="Arial"/>
          <w:lang w:val="en-GB"/>
        </w:rPr>
        <w:t xml:space="preserve">HKJLS </w:t>
      </w:r>
      <w:r w:rsidRPr="00181CF2">
        <w:rPr>
          <w:rFonts w:ascii="Arial" w:hAnsi="Arial" w:cs="Arial"/>
          <w:lang w:val="en-GB"/>
        </w:rPr>
        <w:t>31, at 51.</w:t>
      </w:r>
    </w:p>
  </w:footnote>
  <w:footnote w:id="285">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A minor amendment was also made to section </w:t>
      </w:r>
      <w:r w:rsidRPr="00C57CE1">
        <w:rPr>
          <w:rFonts w:ascii="Arial" w:hAnsi="Arial" w:cs="Arial"/>
          <w:lang w:val="en-GB"/>
        </w:rPr>
        <w:t xml:space="preserve">168B of the Legislation Act 2001 to amend the definition of </w:t>
      </w:r>
      <w:r>
        <w:rPr>
          <w:rFonts w:ascii="Arial" w:hAnsi="Arial" w:cs="Arial"/>
          <w:i/>
          <w:lang w:val="en-GB"/>
        </w:rPr>
        <w:t>“</w:t>
      </w:r>
      <w:r w:rsidRPr="0028108F">
        <w:rPr>
          <w:rFonts w:ascii="Arial" w:hAnsi="Arial" w:cs="Arial"/>
          <w:i/>
          <w:lang w:val="en-GB"/>
        </w:rPr>
        <w:t>intersex”</w:t>
      </w:r>
      <w:r w:rsidRPr="0028108F">
        <w:rPr>
          <w:rFonts w:ascii="Arial" w:hAnsi="Arial" w:cs="Arial"/>
          <w:lang w:val="en-GB"/>
        </w:rPr>
        <w:t>.</w:t>
      </w:r>
    </w:p>
  </w:footnote>
  <w:footnote w:id="286">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the Explanatory Statement on the Births, Deaths And Marriages Registration Amendments Bill 2013 presented by Simon Corbell MLA, Attorney – General (The Legislative Assembly For </w:t>
      </w:r>
      <w:r w:rsidRPr="00C57CE1">
        <w:rPr>
          <w:rFonts w:ascii="Arial" w:hAnsi="Arial" w:cs="Arial"/>
          <w:lang w:val="en-GB"/>
        </w:rPr>
        <w:t xml:space="preserve">The Australian Capital Territory). </w:t>
      </w:r>
    </w:p>
  </w:footnote>
  <w:footnote w:id="287">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color w:val="0D0D0D" w:themeColor="text1" w:themeTint="F2"/>
          <w:lang w:val="en-GB"/>
        </w:rPr>
        <w:t>Same as above</w:t>
      </w:r>
      <w:r w:rsidRPr="0028108F">
        <w:rPr>
          <w:rFonts w:ascii="Arial" w:hAnsi="Arial" w:cs="Arial"/>
          <w:lang w:val="en-GB"/>
        </w:rPr>
        <w:t xml:space="preserve">. </w:t>
      </w:r>
    </w:p>
  </w:footnote>
  <w:footnote w:id="288">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Laura Grenfell and Anne Hewitt, </w:t>
      </w:r>
      <w:r w:rsidRPr="00C57CE1">
        <w:rPr>
          <w:rFonts w:ascii="Arial" w:hAnsi="Arial" w:cs="Arial"/>
          <w:lang w:val="en-GB"/>
        </w:rPr>
        <w:t>“</w:t>
      </w:r>
      <w:r w:rsidRPr="0028108F">
        <w:rPr>
          <w:rFonts w:ascii="Arial" w:hAnsi="Arial" w:cs="Arial"/>
          <w:lang w:val="en-GB"/>
        </w:rPr>
        <w:t>Gender Regulation: Restrictive, Facilitative or Transformative Laws?”</w:t>
      </w:r>
      <w:r w:rsidRPr="00181CF2">
        <w:rPr>
          <w:rFonts w:ascii="Arial" w:hAnsi="Arial" w:cs="Arial"/>
          <w:lang w:val="en-GB"/>
        </w:rPr>
        <w:t xml:space="preserve"> </w:t>
      </w:r>
      <w:r w:rsidRPr="00C57CE1">
        <w:rPr>
          <w:rFonts w:ascii="Arial" w:hAnsi="Arial" w:cs="Arial"/>
          <w:lang w:val="en-GB"/>
        </w:rPr>
        <w:t xml:space="preserve">(2012) 34/4 </w:t>
      </w:r>
      <w:r w:rsidRPr="008813DE">
        <w:rPr>
          <w:rFonts w:ascii="Arial" w:hAnsi="Arial" w:cs="Arial"/>
          <w:lang w:val="en-GB"/>
        </w:rPr>
        <w:t>Sydney Law Review</w:t>
      </w:r>
      <w:r w:rsidRPr="00181CF2">
        <w:rPr>
          <w:rFonts w:ascii="Arial" w:hAnsi="Arial" w:cs="Arial"/>
          <w:lang w:val="en-GB"/>
        </w:rPr>
        <w:t xml:space="preserve"> 761 to 783, at 772. </w:t>
      </w:r>
    </w:p>
  </w:footnote>
  <w:footnote w:id="289">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color w:val="000000" w:themeColor="text1"/>
          <w:vertAlign w:val="baseline"/>
          <w:lang w:val="en-GB"/>
        </w:rPr>
        <w:footnoteRef/>
      </w:r>
      <w:r w:rsidRPr="00181CF2">
        <w:rPr>
          <w:rFonts w:ascii="Arial" w:hAnsi="Arial" w:cs="Arial"/>
          <w:lang w:val="en-GB"/>
        </w:rPr>
        <w:t xml:space="preserve"> </w:t>
      </w:r>
      <w:r w:rsidRPr="00181CF2">
        <w:rPr>
          <w:rFonts w:ascii="Arial" w:hAnsi="Arial" w:cs="Arial"/>
          <w:lang w:val="en-GB"/>
        </w:rPr>
        <w:tab/>
        <w:t>See The Open Society Foundations,</w:t>
      </w:r>
      <w:r w:rsidRPr="00C57CE1">
        <w:rPr>
          <w:rFonts w:ascii="Arial" w:hAnsi="Arial" w:cs="Arial"/>
          <w:lang w:val="en-GB"/>
        </w:rPr>
        <w:t xml:space="preserve"> </w:t>
      </w:r>
      <w:r w:rsidRPr="0028108F">
        <w:rPr>
          <w:rFonts w:ascii="Arial" w:hAnsi="Arial" w:cs="Arial"/>
          <w:lang w:val="en-GB"/>
        </w:rPr>
        <w:t>“License To Be Yourself: Laws and Advocacy for Legal Gender Recognition of Trans People”</w:t>
      </w:r>
      <w:r w:rsidRPr="00181CF2">
        <w:rPr>
          <w:rFonts w:ascii="Arial" w:hAnsi="Arial" w:cs="Arial"/>
          <w:lang w:val="en-GB"/>
        </w:rPr>
        <w:t>,</w:t>
      </w:r>
      <w:r w:rsidRPr="00C57CE1">
        <w:rPr>
          <w:rFonts w:ascii="Arial" w:hAnsi="Arial" w:cs="Arial"/>
          <w:lang w:val="en-GB"/>
        </w:rPr>
        <w:t xml:space="preserve"> May 2014, at </w:t>
      </w:r>
      <w:r w:rsidRPr="0028108F">
        <w:rPr>
          <w:rFonts w:ascii="Arial" w:hAnsi="Arial" w:cs="Arial"/>
          <w:lang w:val="en-GB"/>
        </w:rPr>
        <w:t xml:space="preserve">17.  See also the policy update in the Australian Government’s website. </w:t>
      </w:r>
    </w:p>
  </w:footnote>
  <w:footnote w:id="290">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National Legal Services Authority v</w:t>
      </w:r>
      <w:r w:rsidRPr="0028108F">
        <w:rPr>
          <w:rFonts w:ascii="Arial" w:hAnsi="Arial" w:cs="Arial"/>
          <w:i/>
          <w:lang w:val="en-GB"/>
        </w:rPr>
        <w:t xml:space="preserve"> Union of India and Others, </w:t>
      </w:r>
      <w:r w:rsidRPr="0028108F">
        <w:rPr>
          <w:rFonts w:ascii="Arial" w:hAnsi="Arial" w:cs="Arial"/>
          <w:lang w:val="en-GB"/>
        </w:rPr>
        <w:t xml:space="preserve">Writ Petition (Civil) No. 400 of 2012, Supreme Court of India, 15 April 2014, at paragraphs 20 and 34.  Notably, in August 2016, the Transgender Persons (Protection of Rights) Bill 2016 was introduced to the Indian Parliament.  For more information thereof, </w:t>
      </w:r>
      <w:r w:rsidRPr="008813DE">
        <w:rPr>
          <w:rFonts w:ascii="Arial" w:hAnsi="Arial" w:cs="Arial"/>
          <w:lang w:val="en-GB"/>
        </w:rPr>
        <w:t>see Annex B</w:t>
      </w:r>
      <w:r w:rsidRPr="0028108F">
        <w:rPr>
          <w:rFonts w:ascii="Arial" w:hAnsi="Arial" w:cs="Arial"/>
          <w:lang w:val="en-GB"/>
        </w:rPr>
        <w:t xml:space="preserve"> of this Consultation Paper.</w:t>
      </w:r>
    </w:p>
  </w:footnote>
  <w:footnote w:id="291">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For Japan, see Article 3(1) of the </w:t>
      </w:r>
      <w:r>
        <w:rPr>
          <w:rFonts w:ascii="Arial" w:hAnsi="Arial" w:cs="Arial" w:hint="eastAsia"/>
          <w:lang w:val="en-GB" w:eastAsia="zh-TW"/>
        </w:rPr>
        <w:t xml:space="preserve">Japanese </w:t>
      </w:r>
      <w:r w:rsidRPr="00181CF2">
        <w:rPr>
          <w:rFonts w:ascii="Arial" w:hAnsi="Arial" w:cs="Arial"/>
          <w:lang w:val="en-GB"/>
        </w:rPr>
        <w:t>GID A</w:t>
      </w:r>
      <w:r w:rsidRPr="00C57CE1">
        <w:rPr>
          <w:rFonts w:ascii="Arial" w:hAnsi="Arial" w:cs="Arial"/>
          <w:lang w:val="en-GB"/>
        </w:rPr>
        <w:t xml:space="preserve">ct.  For China, see </w:t>
      </w:r>
      <w:r w:rsidRPr="0028108F">
        <w:rPr>
          <w:rFonts w:ascii="Arial" w:hAnsi="Arial" w:cs="Arial"/>
          <w:lang w:val="en-GB"/>
        </w:rPr>
        <w:t>“</w:t>
      </w:r>
      <w:r w:rsidRPr="0028108F">
        <w:rPr>
          <w:rFonts w:ascii="Arial" w:hAnsi="Arial" w:cs="Arial"/>
          <w:lang w:val="en-GB"/>
        </w:rPr>
        <w:t>變性手術管理規範</w:t>
      </w:r>
      <w:r w:rsidRPr="00181CF2">
        <w:rPr>
          <w:rFonts w:ascii="Arial" w:hAnsi="Arial" w:cs="Arial"/>
          <w:lang w:val="en-GB"/>
        </w:rPr>
        <w:t>”</w:t>
      </w:r>
      <w:r w:rsidRPr="0028108F">
        <w:rPr>
          <w:rFonts w:ascii="Arial" w:hAnsi="Arial" w:cs="Arial"/>
          <w:lang w:val="en-GB"/>
        </w:rPr>
        <w:t xml:space="preserve"> </w:t>
      </w:r>
      <w:r w:rsidRPr="0028108F">
        <w:rPr>
          <w:rFonts w:ascii="Arial" w:hAnsi="Arial" w:cs="Arial"/>
          <w:lang w:val="en-GB" w:eastAsia="zh-TW"/>
        </w:rPr>
        <w:t xml:space="preserve">in Chinese, </w:t>
      </w:r>
      <w:r w:rsidRPr="00181CF2">
        <w:rPr>
          <w:rFonts w:ascii="Arial" w:hAnsi="Arial" w:cs="Arial"/>
          <w:lang w:val="en-GB"/>
        </w:rPr>
        <w:t xml:space="preserve">transliterated as </w:t>
      </w:r>
      <w:r w:rsidRPr="00C57CE1">
        <w:rPr>
          <w:rFonts w:ascii="Arial" w:hAnsi="Arial" w:cs="Arial"/>
          <w:lang w:val="en-GB"/>
        </w:rPr>
        <w:t>“Sex change operations and technology management standards”</w:t>
      </w:r>
      <w:r w:rsidRPr="0028108F">
        <w:rPr>
          <w:rFonts w:ascii="Arial" w:hAnsi="Arial" w:cs="Arial"/>
          <w:lang w:val="en-GB"/>
        </w:rPr>
        <w:t>, Health Office of Medical Affairs No. [2009]185.</w:t>
      </w:r>
    </w:p>
  </w:footnote>
  <w:footnote w:id="292">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Japan requires the applicant to have no gonads or have permanently lost gonadal function a</w:t>
      </w:r>
      <w:r w:rsidRPr="00C57CE1">
        <w:rPr>
          <w:rFonts w:ascii="Arial" w:hAnsi="Arial" w:cs="Arial"/>
          <w:lang w:val="en-GB"/>
        </w:rPr>
        <w:t xml:space="preserve">nd a part of the body which assumes the external genital features of the opposite sex (Article 3(1), the </w:t>
      </w:r>
      <w:r>
        <w:rPr>
          <w:rFonts w:ascii="Arial" w:hAnsi="Arial" w:cs="Arial" w:hint="eastAsia"/>
          <w:lang w:val="en-GB" w:eastAsia="zh-TW"/>
        </w:rPr>
        <w:t xml:space="preserve">Japanese </w:t>
      </w:r>
      <w:r w:rsidRPr="00C57CE1">
        <w:rPr>
          <w:rFonts w:ascii="Arial" w:hAnsi="Arial" w:cs="Arial"/>
          <w:lang w:val="en-GB"/>
        </w:rPr>
        <w:t>GID Act); Mainland China requires sex reassignment surgery leading to removal of original sex organs, reconstruction of external sex organs and seconda</w:t>
      </w:r>
      <w:r w:rsidRPr="0028108F">
        <w:rPr>
          <w:rFonts w:ascii="Arial" w:hAnsi="Arial" w:cs="Arial"/>
          <w:lang w:val="en-GB"/>
        </w:rPr>
        <w:t>ry sexual characteristics of the new gender: see “</w:t>
      </w:r>
      <w:r w:rsidRPr="0028108F">
        <w:rPr>
          <w:rFonts w:ascii="Arial" w:hAnsi="Arial" w:cs="Arial"/>
          <w:lang w:val="en-GB"/>
        </w:rPr>
        <w:t>變性手術管理規範</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color w:val="0D0D0D" w:themeColor="text1" w:themeTint="F2"/>
          <w:lang w:val="en-GB"/>
        </w:rPr>
        <w:t>above</w:t>
      </w:r>
      <w:r w:rsidRPr="0028108F">
        <w:rPr>
          <w:rFonts w:ascii="Arial" w:hAnsi="Arial" w:cs="Arial"/>
          <w:lang w:val="en-GB"/>
        </w:rPr>
        <w:t>.</w:t>
      </w:r>
    </w:p>
  </w:footnote>
  <w:footnote w:id="293">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For Japan, see Article 3(1)(ii) of the </w:t>
      </w:r>
      <w:r>
        <w:rPr>
          <w:rFonts w:ascii="Arial" w:hAnsi="Arial" w:cs="Arial" w:hint="eastAsia"/>
          <w:lang w:val="en-GB" w:eastAsia="zh-TW"/>
        </w:rPr>
        <w:t xml:space="preserve">Japanese </w:t>
      </w:r>
      <w:r w:rsidRPr="00181CF2">
        <w:rPr>
          <w:rFonts w:ascii="Arial" w:hAnsi="Arial" w:cs="Arial"/>
          <w:lang w:val="en-GB"/>
        </w:rPr>
        <w:t xml:space="preserve">GID Act.  For Mainland China, see </w:t>
      </w:r>
      <w:r w:rsidRPr="00C57CE1">
        <w:rPr>
          <w:rFonts w:ascii="Arial" w:hAnsi="Arial" w:cs="Arial"/>
          <w:lang w:val="en-GB"/>
        </w:rPr>
        <w:t>“</w:t>
      </w:r>
      <w:r w:rsidRPr="0028108F">
        <w:rPr>
          <w:rFonts w:ascii="Arial" w:hAnsi="Arial" w:cs="Arial"/>
          <w:lang w:val="en-GB"/>
        </w:rPr>
        <w:t>變性手術管理規範</w:t>
      </w:r>
      <w:r w:rsidRPr="00181CF2">
        <w:rPr>
          <w:rFonts w:ascii="Arial" w:hAnsi="Arial" w:cs="Arial"/>
          <w:lang w:val="en-GB"/>
        </w:rPr>
        <w:t>”</w:t>
      </w:r>
      <w:r w:rsidRPr="00C57CE1">
        <w:rPr>
          <w:rFonts w:ascii="Arial" w:hAnsi="Arial" w:cs="Arial"/>
          <w:lang w:val="en-GB"/>
        </w:rPr>
        <w:t xml:space="preserve"> (same as above). </w:t>
      </w:r>
    </w:p>
  </w:footnote>
  <w:footnote w:id="294">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Mitch Kellaway, </w:t>
      </w:r>
      <w:r w:rsidRPr="00C57CE1">
        <w:rPr>
          <w:rFonts w:ascii="Arial" w:hAnsi="Arial" w:cs="Arial"/>
          <w:lang w:val="en-GB"/>
        </w:rPr>
        <w:t>“</w:t>
      </w:r>
      <w:r w:rsidRPr="0028108F">
        <w:rPr>
          <w:rFonts w:ascii="Arial" w:hAnsi="Arial" w:cs="Arial"/>
          <w:lang w:val="en-GB"/>
        </w:rPr>
        <w:t xml:space="preserve">Thailand Touts Accepting Society in Establishing ‘Third Gender’ in Constitution”, </w:t>
      </w:r>
      <w:r w:rsidRPr="0028108F">
        <w:rPr>
          <w:rFonts w:ascii="Arial" w:hAnsi="Arial" w:cs="Arial"/>
          <w:i/>
          <w:lang w:val="en-GB"/>
        </w:rPr>
        <w:t>The Advocate</w:t>
      </w:r>
      <w:r w:rsidRPr="00181CF2">
        <w:rPr>
          <w:rFonts w:ascii="Arial" w:hAnsi="Arial" w:cs="Arial"/>
          <w:lang w:val="en-GB"/>
        </w:rPr>
        <w:t xml:space="preserve"> (17 January 20</w:t>
      </w:r>
      <w:r w:rsidRPr="00C57CE1">
        <w:rPr>
          <w:rFonts w:ascii="Arial" w:hAnsi="Arial" w:cs="Arial"/>
          <w:lang w:val="en-GB"/>
        </w:rPr>
        <w:t xml:space="preserve">15). </w:t>
      </w:r>
    </w:p>
  </w:footnote>
  <w:footnote w:id="295">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Amy Sawitta Lefevre, </w:t>
      </w:r>
      <w:r w:rsidRPr="00C57CE1">
        <w:rPr>
          <w:rFonts w:ascii="Arial" w:hAnsi="Arial" w:cs="Arial"/>
          <w:lang w:val="en-GB"/>
        </w:rPr>
        <w:t>“</w:t>
      </w:r>
      <w:r w:rsidRPr="0028108F">
        <w:rPr>
          <w:rFonts w:ascii="Arial" w:hAnsi="Arial" w:cs="Arial"/>
          <w:lang w:val="en-GB"/>
        </w:rPr>
        <w:t xml:space="preserve">Thailand to recognise ‘third gender’ in new constitution – panel”, </w:t>
      </w:r>
      <w:r w:rsidRPr="0028108F">
        <w:rPr>
          <w:rFonts w:ascii="Arial" w:hAnsi="Arial" w:cs="Arial"/>
          <w:i/>
          <w:lang w:val="en-GB"/>
        </w:rPr>
        <w:t>Reuters</w:t>
      </w:r>
      <w:r w:rsidRPr="00181CF2">
        <w:rPr>
          <w:rFonts w:ascii="Arial" w:hAnsi="Arial" w:cs="Arial"/>
          <w:lang w:val="en-GB"/>
        </w:rPr>
        <w:t xml:space="preserve"> (15 January 2015). </w:t>
      </w:r>
    </w:p>
  </w:footnote>
  <w:footnote w:id="296">
    <w:p w:rsidR="0022178B" w:rsidRPr="0028108F" w:rsidRDefault="0022178B" w:rsidP="002516D2">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i/>
          <w:lang w:val="en-GB"/>
        </w:rPr>
        <w:t xml:space="preserve">B v France </w:t>
      </w:r>
      <w:r w:rsidRPr="0028108F">
        <w:rPr>
          <w:rFonts w:ascii="Arial" w:hAnsi="Arial" w:cs="Arial"/>
          <w:lang w:val="en-GB"/>
        </w:rPr>
        <w:t xml:space="preserve">(1992) 16 </w:t>
      </w:r>
      <w:r w:rsidRPr="00F86CD8">
        <w:rPr>
          <w:rFonts w:ascii="Arial" w:hAnsi="Arial" w:cs="Arial"/>
          <w:lang w:val="en-GB"/>
        </w:rPr>
        <w:t>EHRR</w:t>
      </w:r>
      <w:r w:rsidRPr="0028108F">
        <w:rPr>
          <w:rFonts w:ascii="Arial" w:hAnsi="Arial" w:cs="Arial"/>
          <w:lang w:val="en-GB"/>
        </w:rPr>
        <w:t xml:space="preserve"> 1, [1992] 2 </w:t>
      </w:r>
      <w:r w:rsidRPr="00F86CD8">
        <w:rPr>
          <w:rFonts w:ascii="Arial" w:hAnsi="Arial" w:cs="Arial"/>
          <w:lang w:val="en-GB"/>
        </w:rPr>
        <w:t>FLR</w:t>
      </w:r>
      <w:r w:rsidRPr="0028108F">
        <w:rPr>
          <w:rFonts w:ascii="Arial" w:hAnsi="Arial" w:cs="Arial"/>
          <w:lang w:val="en-GB"/>
        </w:rPr>
        <w:t xml:space="preserve"> 249</w:t>
      </w:r>
      <w:r w:rsidRPr="00181CF2">
        <w:rPr>
          <w:rFonts w:ascii="Arial" w:hAnsi="Arial" w:cs="Arial"/>
          <w:lang w:val="en-GB"/>
        </w:rPr>
        <w:t xml:space="preserve"> (A</w:t>
      </w:r>
      <w:r w:rsidRPr="0028108F">
        <w:rPr>
          <w:rFonts w:ascii="Arial" w:hAnsi="Arial" w:cs="Arial"/>
          <w:lang w:val="en-GB" w:eastAsia="zh-TW"/>
        </w:rPr>
        <w:t xml:space="preserve">pplication </w:t>
      </w:r>
      <w:r w:rsidRPr="0028108F">
        <w:rPr>
          <w:rFonts w:ascii="Arial" w:hAnsi="Arial" w:cs="Arial"/>
          <w:lang w:val="en-GB"/>
        </w:rPr>
        <w:t>no. 13343/87</w:t>
      </w:r>
      <w:r w:rsidRPr="0028108F">
        <w:rPr>
          <w:rFonts w:ascii="Arial" w:hAnsi="Arial" w:cs="Arial"/>
          <w:lang w:val="en-GB" w:eastAsia="zh-TW"/>
        </w:rPr>
        <w:t xml:space="preserve"> (</w:t>
      </w:r>
      <w:r w:rsidRPr="00F86CD8">
        <w:rPr>
          <w:rFonts w:ascii="Arial" w:hAnsi="Arial" w:cs="Arial"/>
          <w:lang w:val="en-GB" w:eastAsia="zh-TW"/>
        </w:rPr>
        <w:t>ECHR</w:t>
      </w:r>
      <w:r w:rsidRPr="0028108F">
        <w:rPr>
          <w:rFonts w:ascii="Arial" w:hAnsi="Arial" w:cs="Arial"/>
          <w:lang w:val="en-GB" w:eastAsia="zh-TW"/>
        </w:rPr>
        <w:t>)</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rPr>
        <w:t xml:space="preserve">25 March 1992). </w:t>
      </w:r>
    </w:p>
  </w:footnote>
  <w:footnote w:id="297">
    <w:p w:rsidR="0022178B" w:rsidRPr="0028108F" w:rsidRDefault="0022178B" w:rsidP="002516D2">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Chapter </w:t>
      </w:r>
      <w:r w:rsidRPr="008813DE">
        <w:rPr>
          <w:rFonts w:ascii="Arial" w:hAnsi="Arial" w:cs="Arial"/>
          <w:lang w:val="en-GB"/>
        </w:rPr>
        <w:t>3</w:t>
      </w:r>
      <w:r w:rsidRPr="0028108F">
        <w:rPr>
          <w:rFonts w:ascii="Arial" w:hAnsi="Arial" w:cs="Arial"/>
          <w:lang w:val="en-GB"/>
        </w:rPr>
        <w:t xml:space="preserve"> of this paper.</w:t>
      </w:r>
    </w:p>
  </w:footnote>
  <w:footnote w:id="298">
    <w:p w:rsidR="0022178B" w:rsidRPr="00181CF2" w:rsidRDefault="0022178B" w:rsidP="002516D2">
      <w:pPr>
        <w:pStyle w:val="FootnoteText"/>
        <w:tabs>
          <w:tab w:val="left" w:pos="605"/>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181CF2">
        <w:rPr>
          <w:rFonts w:ascii="Arial" w:hAnsi="Arial" w:cs="Arial"/>
          <w:lang w:val="en-GB"/>
        </w:rPr>
        <w:tab/>
        <w:t xml:space="preserve">It has been commented that the ECtHR’s decision in </w:t>
      </w:r>
      <w:r w:rsidRPr="00C57CE1">
        <w:rPr>
          <w:rFonts w:ascii="Arial" w:hAnsi="Arial" w:cs="Arial"/>
          <w:i/>
          <w:lang w:val="en-GB"/>
        </w:rPr>
        <w:t>Van Kück v</w:t>
      </w:r>
      <w:r w:rsidRPr="0028108F">
        <w:rPr>
          <w:rFonts w:ascii="Arial" w:hAnsi="Arial" w:cs="Arial"/>
          <w:i/>
          <w:lang w:val="en-GB"/>
        </w:rPr>
        <w:t xml:space="preserve"> Germany, no. 35968/97,</w:t>
      </w:r>
      <w:r w:rsidRPr="0028108F">
        <w:rPr>
          <w:rFonts w:ascii="Arial" w:hAnsi="Arial" w:cs="Arial"/>
          <w:lang w:val="en-GB"/>
        </w:rPr>
        <w:t xml:space="preserve"> 12 June 2003 has created new and significant rights for transgender people not only in Germany but also in Europe.  In that case, the burden on the applicant to prove medical necessity of gender reassignment and genuine nature of her transsexualism during court proceedings </w:t>
      </w:r>
      <w:r>
        <w:rPr>
          <w:rFonts w:ascii="Arial" w:hAnsi="Arial" w:cs="Arial"/>
          <w:lang w:val="en-GB"/>
        </w:rPr>
        <w:t xml:space="preserve">concerning reimbursement of the costs of gender reassignment surgery </w:t>
      </w:r>
      <w:r w:rsidRPr="0028108F">
        <w:rPr>
          <w:rFonts w:ascii="Arial" w:hAnsi="Arial" w:cs="Arial"/>
          <w:lang w:val="en-GB"/>
        </w:rPr>
        <w:t>was held unreasonable and a violation of Articles 6 and 8 of the E</w:t>
      </w:r>
      <w:r w:rsidRPr="0028108F">
        <w:rPr>
          <w:rFonts w:ascii="Arial" w:hAnsi="Arial" w:cs="Arial"/>
          <w:lang w:val="en-GB" w:eastAsia="zh-TW"/>
        </w:rPr>
        <w:t>CHR</w:t>
      </w:r>
      <w:r w:rsidRPr="00181CF2">
        <w:rPr>
          <w:rFonts w:ascii="Arial" w:hAnsi="Arial" w:cs="Arial"/>
          <w:lang w:val="en-GB"/>
        </w:rPr>
        <w:t xml:space="preserve">. </w:t>
      </w:r>
    </w:p>
  </w:footnote>
  <w:footnote w:id="299">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These countries are Denmark, Estonia, Finland, Germany, Iceland, Ireland, Italy, Latvia, Malta, the Netherlands, </w:t>
      </w:r>
      <w:r w:rsidRPr="00C57CE1">
        <w:rPr>
          <w:rFonts w:ascii="Arial" w:hAnsi="Arial" w:cs="Arial"/>
          <w:lang w:val="en-GB"/>
        </w:rPr>
        <w:t xml:space="preserve">Norway, </w:t>
      </w:r>
      <w:r w:rsidRPr="0028108F">
        <w:rPr>
          <w:rFonts w:ascii="Arial" w:hAnsi="Arial" w:cs="Arial"/>
          <w:lang w:val="en-GB"/>
        </w:rPr>
        <w:t xml:space="preserve">Portugal, Spain, Sweden and Ukraine. </w:t>
      </w:r>
    </w:p>
  </w:footnote>
  <w:footnote w:id="300">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These countries are Austria, Belgium, Bulgaria, Croatia, Cyprus, Czech Republic, </w:t>
      </w:r>
      <w:r w:rsidRPr="00C57CE1">
        <w:rPr>
          <w:rFonts w:ascii="Arial" w:hAnsi="Arial" w:cs="Arial"/>
          <w:lang w:val="en-GB"/>
        </w:rPr>
        <w:t>F</w:t>
      </w:r>
      <w:r w:rsidRPr="0028108F">
        <w:rPr>
          <w:rFonts w:ascii="Arial" w:hAnsi="Arial" w:cs="Arial"/>
          <w:lang w:val="en-GB"/>
        </w:rPr>
        <w:t>rance, Hungary,</w:t>
      </w:r>
      <w:r w:rsidRPr="0028108F" w:rsidDel="00574F9D">
        <w:rPr>
          <w:rFonts w:ascii="Arial" w:hAnsi="Arial" w:cs="Arial"/>
          <w:lang w:val="en-GB"/>
        </w:rPr>
        <w:t xml:space="preserve"> </w:t>
      </w:r>
      <w:r w:rsidRPr="0028108F">
        <w:rPr>
          <w:rFonts w:ascii="Arial" w:hAnsi="Arial" w:cs="Arial"/>
          <w:lang w:val="en-GB"/>
        </w:rPr>
        <w:t>Liechtenstein, Poland, Romania, Slovakia, Slovenia, Russian Federation, Switzerland and Turkey.</w:t>
      </w:r>
    </w:p>
  </w:footnote>
  <w:footnote w:id="301">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These countries are </w:t>
      </w:r>
      <w:r w:rsidRPr="0028108F">
        <w:rPr>
          <w:rFonts w:ascii="Arial" w:hAnsi="Arial" w:cs="Arial"/>
          <w:lang w:val="en-GB"/>
        </w:rPr>
        <w:t xml:space="preserve">Greece, Luxembourg, Moldova and Serbia. </w:t>
      </w:r>
    </w:p>
  </w:footnote>
  <w:footnote w:id="302">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See General Requirements on Medical Procedures for the Change of Gender” issued by the Minister for Social Affairs (</w:t>
      </w:r>
      <w:r w:rsidRPr="00C57CE1">
        <w:rPr>
          <w:rFonts w:ascii="Arial" w:hAnsi="Arial" w:cs="Arial"/>
          <w:i/>
          <w:lang w:val="en-GB"/>
        </w:rPr>
        <w:t>Soovahetuse arstlike toimingute uhtsed nouded, of 07.05.1999, no 32</w:t>
      </w:r>
      <w:r w:rsidRPr="0028108F">
        <w:rPr>
          <w:rFonts w:ascii="Arial" w:hAnsi="Arial" w:cs="Arial"/>
          <w:lang w:val="en-GB"/>
        </w:rPr>
        <w:t xml:space="preserve">), summarised in </w:t>
      </w:r>
      <w:r w:rsidRPr="008813DE">
        <w:rPr>
          <w:rFonts w:ascii="Arial" w:hAnsi="Arial" w:cs="Arial"/>
          <w:lang w:val="en-GB"/>
        </w:rPr>
        <w:t>Annex A</w:t>
      </w:r>
      <w:r w:rsidRPr="0028108F">
        <w:rPr>
          <w:rFonts w:ascii="Arial" w:hAnsi="Arial" w:cs="Arial"/>
          <w:lang w:val="en-GB"/>
        </w:rPr>
        <w:t>.</w:t>
      </w:r>
    </w:p>
  </w:footnote>
  <w:footnote w:id="303">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See Article 4 of its “Act on the leg</w:t>
      </w:r>
      <w:r w:rsidRPr="00C57CE1">
        <w:rPr>
          <w:rFonts w:ascii="Arial" w:hAnsi="Arial" w:cs="Arial"/>
          <w:lang w:val="en-GB"/>
        </w:rPr>
        <w:t xml:space="preserve">al status of individuals with gender identity disorder No. 57/2012”, to be illustrated in latter part of this </w:t>
      </w:r>
      <w:r>
        <w:rPr>
          <w:rFonts w:ascii="Arial" w:hAnsi="Arial" w:cs="Arial"/>
          <w:lang w:val="en-GB"/>
        </w:rPr>
        <w:t>c</w:t>
      </w:r>
      <w:r w:rsidRPr="00C57CE1">
        <w:rPr>
          <w:rFonts w:ascii="Arial" w:hAnsi="Arial" w:cs="Arial"/>
          <w:lang w:val="en-GB"/>
        </w:rPr>
        <w:t>hapter.</w:t>
      </w:r>
    </w:p>
  </w:footnote>
  <w:footnote w:id="304">
    <w:p w:rsidR="0022178B" w:rsidRPr="0028108F" w:rsidRDefault="0022178B" w:rsidP="000F2CC9">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These countries are Cyprus, Czech Republic, Finland, </w:t>
      </w:r>
      <w:r w:rsidRPr="0028108F">
        <w:rPr>
          <w:rFonts w:ascii="Arial" w:hAnsi="Arial" w:cs="Arial"/>
          <w:lang w:val="en-GB"/>
        </w:rPr>
        <w:t xml:space="preserve">Latvia, Liechtenstein, Luxembourg, Serbia, Slovakia, Slovenia and Turkey. </w:t>
      </w:r>
    </w:p>
  </w:footnote>
  <w:footnote w:id="30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Bulgaria, Croatia, Cyprus, Czech Republic, Finland, Hungary, United Kingdom, Moldova and Turkey.  </w:t>
      </w:r>
    </w:p>
  </w:footnote>
  <w:footnote w:id="30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These are Austria, Belgium, Bulgaria, Croatia, Czech Republic, Denmark, Estonia, Germany, Greece, Hungary, Ireland, Italy, Malta, the Netherlands, Poland, Portugal, Romania, Slovakia, Slovenia, United Kingdom, Moldova, Serbia, Turkey and Ukraine.</w:t>
      </w:r>
    </w:p>
  </w:footnote>
  <w:footnote w:id="307">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Fonts w:ascii="Arial" w:hAnsi="Arial" w:cs="Arial"/>
          <w:color w:val="000000" w:themeColor="text1"/>
          <w:lang w:val="en-GB"/>
        </w:rPr>
        <w:footnoteRef/>
      </w:r>
      <w:r w:rsidRPr="0028108F">
        <w:rPr>
          <w:rFonts w:ascii="Arial" w:hAnsi="Arial" w:cs="Arial"/>
          <w:color w:val="000000" w:themeColor="text1"/>
          <w:lang w:val="en-GB"/>
        </w:rPr>
        <w:t xml:space="preserve"> </w:t>
      </w:r>
      <w:r w:rsidRPr="0028108F">
        <w:rPr>
          <w:rFonts w:ascii="Arial" w:hAnsi="Arial" w:cs="Arial"/>
          <w:color w:val="000000" w:themeColor="text1"/>
          <w:lang w:val="en-GB"/>
        </w:rPr>
        <w:tab/>
      </w:r>
      <w:r w:rsidRPr="0028108F">
        <w:rPr>
          <w:rFonts w:ascii="Arial" w:hAnsi="Arial" w:cs="Arial"/>
          <w:i/>
          <w:color w:val="000000" w:themeColor="text1"/>
          <w:lang w:val="en-GB"/>
        </w:rPr>
        <w:t xml:space="preserve">Lovforslag L 182 and L 189 </w:t>
      </w:r>
      <w:r w:rsidRPr="0028108F">
        <w:rPr>
          <w:rFonts w:ascii="Arial" w:hAnsi="Arial" w:cs="Arial"/>
          <w:color w:val="000000" w:themeColor="text1"/>
          <w:lang w:val="en-GB"/>
        </w:rPr>
        <w:t xml:space="preserve">(Amendment Acts L182 and L189).   </w:t>
      </w:r>
    </w:p>
  </w:footnote>
  <w:footnote w:id="308">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Guidelines on Population Registration (</w:t>
      </w:r>
      <w:r w:rsidRPr="0028108F">
        <w:rPr>
          <w:rFonts w:ascii="Arial" w:hAnsi="Arial" w:cs="Arial"/>
          <w:i/>
          <w:lang w:val="en-GB"/>
        </w:rPr>
        <w:t>Vejledning om folkeregistrering</w:t>
      </w:r>
      <w:r w:rsidRPr="0028108F">
        <w:rPr>
          <w:rFonts w:ascii="Arial" w:hAnsi="Arial" w:cs="Arial"/>
          <w:lang w:val="en-GB"/>
        </w:rPr>
        <w:t>) no. 9273 of 14 June 2013 (in Danish), paragraph 2.1.3.</w:t>
      </w:r>
    </w:p>
  </w:footnote>
  <w:footnote w:id="309">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a summary and analysis of the historic development leading up to the current legal framework and the evaluation of the legal framework by the Danish working group, see Natalie Videbæk Munkholm, “Legal Status of Transsexual and Transgender Persons in Denmark”</w:t>
      </w:r>
      <w:r w:rsidRPr="00181CF2">
        <w:rPr>
          <w:rFonts w:ascii="Arial" w:hAnsi="Arial" w:cs="Arial"/>
          <w:lang w:val="en-GB"/>
        </w:rPr>
        <w:t>,</w:t>
      </w:r>
      <w:r w:rsidRPr="00C57CE1">
        <w:rPr>
          <w:rFonts w:ascii="Arial" w:hAnsi="Arial" w:cs="Arial"/>
          <w:lang w:val="en-GB"/>
        </w:rPr>
        <w:t xml:space="preserve"> in</w:t>
      </w:r>
      <w:r w:rsidRPr="0028108F">
        <w:rPr>
          <w:rFonts w:ascii="Arial" w:hAnsi="Arial" w:cs="Arial"/>
          <w:lang w:val="en-GB"/>
        </w:rPr>
        <w:t xml:space="preserve"> 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151 to 161.</w:t>
      </w:r>
    </w:p>
  </w:footnote>
  <w:footnote w:id="310">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Lov om œndring af CPR-loven</w:t>
      </w:r>
      <w:r w:rsidRPr="00181CF2">
        <w:rPr>
          <w:rFonts w:ascii="Arial" w:hAnsi="Arial" w:cs="Arial"/>
          <w:lang w:val="en-GB"/>
        </w:rPr>
        <w:t xml:space="preserve">, nr. 752 af 25.06.2014, (Amendment Act to the CPR Act) §1, 1. </w:t>
      </w:r>
    </w:p>
  </w:footnote>
  <w:footnote w:id="311">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The self-declaration suffices, and the statement is not tested; no health professionals are involved, and the person’s mental or physical health is not assessed.  See Natalie Videbæk Munkholm, “Legal Status of Transsexual and Transgender Persons in Denmark”</w:t>
      </w:r>
      <w:r w:rsidRPr="00181CF2">
        <w:rPr>
          <w:rFonts w:ascii="Arial" w:hAnsi="Arial" w:cs="Arial"/>
          <w:lang w:val="en-GB"/>
        </w:rPr>
        <w:t>,</w:t>
      </w:r>
      <w:r w:rsidRPr="00C57CE1">
        <w:rPr>
          <w:rFonts w:ascii="Arial" w:hAnsi="Arial" w:cs="Arial"/>
          <w:lang w:val="en-GB"/>
        </w:rPr>
        <w:t xml:space="preserve"> in</w:t>
      </w:r>
      <w:r w:rsidRPr="0028108F">
        <w:rPr>
          <w:rFonts w:ascii="Arial" w:hAnsi="Arial" w:cs="Arial"/>
          <w:lang w:val="en-GB"/>
        </w:rPr>
        <w:t xml:space="preserve"> Jens M Scherpe (ed), </w:t>
      </w:r>
      <w:r w:rsidRPr="00181CF2">
        <w:rPr>
          <w:rFonts w:ascii="Arial" w:hAnsi="Arial" w:cs="Arial"/>
          <w:i/>
          <w:lang w:val="en-GB"/>
        </w:rPr>
        <w:t>T</w:t>
      </w:r>
      <w:r w:rsidRPr="00C57CE1">
        <w:rPr>
          <w:rFonts w:ascii="Arial" w:hAnsi="Arial" w:cs="Arial"/>
          <w:i/>
          <w:lang w:val="en-GB"/>
        </w:rPr>
        <w: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at 167. </w:t>
      </w:r>
    </w:p>
  </w:footnote>
  <w:footnote w:id="31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Lov om œndring af lov om Det Centrale Personregister, lov nr. 752</w:t>
      </w:r>
      <w:r w:rsidRPr="00181CF2">
        <w:rPr>
          <w:rFonts w:ascii="Arial" w:hAnsi="Arial" w:cs="Arial"/>
          <w:lang w:val="en-GB"/>
        </w:rPr>
        <w:t xml:space="preserve"> </w:t>
      </w:r>
      <w:r w:rsidRPr="0028108F">
        <w:rPr>
          <w:rFonts w:ascii="Arial" w:hAnsi="Arial" w:cs="Arial"/>
          <w:i/>
          <w:lang w:val="en-GB"/>
        </w:rPr>
        <w:t>af</w:t>
      </w:r>
      <w:r w:rsidRPr="00181CF2">
        <w:rPr>
          <w:rFonts w:ascii="Arial" w:hAnsi="Arial" w:cs="Arial"/>
          <w:lang w:val="en-GB"/>
        </w:rPr>
        <w:t xml:space="preserve"> 15.06.2014</w:t>
      </w:r>
      <w:r w:rsidRPr="0028108F">
        <w:rPr>
          <w:rFonts w:ascii="Arial" w:hAnsi="Arial" w:cs="Arial"/>
          <w:lang w:val="en-GB"/>
        </w:rPr>
        <w:t xml:space="preserve"> § 1 no. 1. </w:t>
      </w:r>
    </w:p>
  </w:footnote>
  <w:footnote w:id="31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The New Civil Rights Movement, LLC</w:t>
      </w:r>
      <w:r w:rsidRPr="0028108F">
        <w:rPr>
          <w:rFonts w:ascii="Arial" w:hAnsi="Arial" w:cs="Arial"/>
          <w:lang w:val="en-GB"/>
        </w:rPr>
        <w:t xml:space="preserve"> (5 September 2014), </w:t>
      </w:r>
      <w:r>
        <w:rPr>
          <w:rFonts w:ascii="Arial" w:hAnsi="Arial" w:cs="Arial"/>
          <w:lang w:val="en-GB"/>
        </w:rPr>
        <w:t>“</w:t>
      </w:r>
      <w:r w:rsidRPr="0028108F">
        <w:rPr>
          <w:rFonts w:ascii="Arial" w:hAnsi="Arial" w:cs="Arial"/>
          <w:lang w:val="en-GB"/>
        </w:rPr>
        <w:t>Denmark</w:t>
      </w:r>
      <w:r>
        <w:rPr>
          <w:rFonts w:ascii="Arial" w:hAnsi="Arial" w:cs="Arial"/>
          <w:lang w:val="en-GB"/>
        </w:rPr>
        <w:t>’</w:t>
      </w:r>
      <w:r w:rsidRPr="0028108F">
        <w:rPr>
          <w:rFonts w:ascii="Arial" w:hAnsi="Arial" w:cs="Arial"/>
          <w:lang w:val="en-GB"/>
        </w:rPr>
        <w:t>s New Gender Recognition Law Allows Danes To Self-Determine Gender Identity</w:t>
      </w:r>
      <w:r>
        <w:rPr>
          <w:rFonts w:ascii="Arial" w:hAnsi="Arial" w:cs="Arial"/>
          <w:lang w:val="en-GB"/>
        </w:rPr>
        <w:t>”</w:t>
      </w:r>
      <w:r w:rsidRPr="0028108F">
        <w:rPr>
          <w:rFonts w:ascii="Arial" w:hAnsi="Arial" w:cs="Arial"/>
          <w:lang w:val="en-GB"/>
        </w:rPr>
        <w:t xml:space="preserve">. </w:t>
      </w:r>
    </w:p>
  </w:footnote>
  <w:footnote w:id="31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 Minister of Economy and Domestic Affairs, remarks to the proposed Act.  </w:t>
      </w:r>
      <w:r w:rsidRPr="0028108F">
        <w:rPr>
          <w:rFonts w:ascii="Arial" w:hAnsi="Arial" w:cs="Arial"/>
          <w:i/>
          <w:lang w:val="en-GB"/>
        </w:rPr>
        <w:t xml:space="preserve">Lovforslag L 182, Folketinget 2013-14, Fremsat 30.04.2014, Bemœrkninger til lovforslaget, </w:t>
      </w:r>
      <w:r w:rsidRPr="0028108F">
        <w:rPr>
          <w:rFonts w:ascii="Arial" w:hAnsi="Arial" w:cs="Arial"/>
          <w:color w:val="0D0D0D" w:themeColor="text1" w:themeTint="F2"/>
          <w:lang w:val="en-GB"/>
        </w:rPr>
        <w:t>section 3.1.</w:t>
      </w:r>
    </w:p>
  </w:footnote>
  <w:footnote w:id="315">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CPR Act § 34, 1. </w:t>
      </w:r>
    </w:p>
  </w:footnote>
  <w:footnote w:id="316">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color w:val="0D0D0D" w:themeColor="text1" w:themeTint="F2"/>
          <w:lang w:val="en-GB"/>
        </w:rPr>
        <w:footnoteRef/>
      </w:r>
      <w:r w:rsidRPr="00C57CE1">
        <w:rPr>
          <w:rFonts w:ascii="Arial" w:hAnsi="Arial" w:cs="Arial"/>
          <w:lang w:val="en-GB"/>
        </w:rPr>
        <w:t xml:space="preserve"> </w:t>
      </w:r>
      <w:r w:rsidRPr="00C57CE1">
        <w:rPr>
          <w:rFonts w:ascii="Arial" w:hAnsi="Arial" w:cs="Arial"/>
          <w:lang w:val="en-GB"/>
        </w:rPr>
        <w:tab/>
        <w:t>S</w:t>
      </w:r>
      <w:r w:rsidRPr="0028108F">
        <w:rPr>
          <w:rFonts w:ascii="Arial" w:hAnsi="Arial" w:cs="Arial"/>
          <w:color w:val="0D0D0D" w:themeColor="text1" w:themeTint="F2"/>
          <w:kern w:val="0"/>
          <w:lang w:val="en-GB"/>
        </w:rPr>
        <w:t xml:space="preserve">taatsblad van het Koninkrijk der Nederlanden 2014, 1.  </w:t>
      </w:r>
      <w:r w:rsidRPr="0028108F">
        <w:rPr>
          <w:rFonts w:ascii="Arial" w:hAnsi="Arial" w:cs="Arial"/>
          <w:lang w:val="en-GB"/>
        </w:rPr>
        <w:t xml:space="preserve">This law is to be evaluated within three years.  </w:t>
      </w:r>
      <w:r w:rsidRPr="0028108F">
        <w:rPr>
          <w:rFonts w:ascii="Arial" w:hAnsi="Arial" w:cs="Arial"/>
          <w:color w:val="0D0D0D" w:themeColor="text1" w:themeTint="F2"/>
          <w:kern w:val="0"/>
          <w:lang w:val="en-GB"/>
        </w:rPr>
        <w:t>See Jansen, “Rechispositie transgenders”</w:t>
      </w:r>
      <w:r w:rsidRPr="00181CF2">
        <w:rPr>
          <w:rFonts w:ascii="Arial" w:hAnsi="Arial" w:cs="Arial"/>
          <w:color w:val="0D0D0D" w:themeColor="text1" w:themeTint="F2"/>
          <w:kern w:val="0"/>
          <w:lang w:val="en-GB"/>
        </w:rPr>
        <w:t xml:space="preserve"> </w:t>
      </w:r>
      <w:r w:rsidRPr="00C57CE1">
        <w:rPr>
          <w:rFonts w:ascii="Arial" w:hAnsi="Arial" w:cs="Arial"/>
          <w:color w:val="0D0D0D" w:themeColor="text1" w:themeTint="F2"/>
          <w:kern w:val="0"/>
          <w:lang w:val="en-GB"/>
        </w:rPr>
        <w:t xml:space="preserve">(2012) </w:t>
      </w:r>
      <w:r w:rsidRPr="0028108F">
        <w:rPr>
          <w:rFonts w:ascii="Arial" w:hAnsi="Arial" w:cs="Arial"/>
          <w:i/>
          <w:color w:val="0D0D0D" w:themeColor="text1" w:themeTint="F2"/>
          <w:kern w:val="0"/>
          <w:lang w:val="en-GB"/>
        </w:rPr>
        <w:t>Tijdschrift voor Families – en Jeugdrecht</w:t>
      </w:r>
      <w:r w:rsidRPr="00181CF2">
        <w:rPr>
          <w:rFonts w:ascii="Arial" w:hAnsi="Arial" w:cs="Arial"/>
          <w:color w:val="0D0D0D" w:themeColor="text1" w:themeTint="F2"/>
          <w:kern w:val="0"/>
          <w:lang w:val="en-GB"/>
        </w:rPr>
        <w:t xml:space="preserve"> (FJR) 62 ff.</w:t>
      </w:r>
      <w:r w:rsidRPr="00C57CE1">
        <w:rPr>
          <w:rFonts w:ascii="Arial" w:hAnsi="Arial" w:cs="Arial"/>
          <w:lang w:val="en-GB"/>
        </w:rPr>
        <w:t xml:space="preserve"> </w:t>
      </w:r>
    </w:p>
  </w:footnote>
  <w:footnote w:id="317">
    <w:p w:rsidR="0022178B" w:rsidRPr="00181CF2" w:rsidRDefault="0022178B" w:rsidP="004633AF">
      <w:pPr>
        <w:pStyle w:val="FootnoteText"/>
        <w:tabs>
          <w:tab w:val="left" w:pos="851"/>
        </w:tabs>
        <w:ind w:left="709" w:hanging="709"/>
        <w:jc w:val="both"/>
        <w:rPr>
          <w:rFonts w:ascii="Arial" w:hAnsi="Arial" w:cs="Arial"/>
          <w:color w:val="0D0D0D" w:themeColor="text1" w:themeTint="F2"/>
          <w:lang w:val="en-GB"/>
        </w:rPr>
      </w:pPr>
      <w:r w:rsidRPr="0028108F">
        <w:rPr>
          <w:rFonts w:ascii="Arial" w:hAnsi="Arial" w:cs="Arial"/>
          <w:color w:val="0D0D0D" w:themeColor="text1" w:themeTint="F2"/>
          <w:lang w:val="en-GB"/>
        </w:rPr>
        <w:footnoteRef/>
      </w:r>
      <w:r w:rsidRPr="0028108F">
        <w:rPr>
          <w:rFonts w:ascii="Arial" w:hAnsi="Arial" w:cs="Arial"/>
          <w:color w:val="0D0D0D" w:themeColor="text1" w:themeTint="F2"/>
          <w:lang w:val="en-GB"/>
        </w:rPr>
        <w:t xml:space="preserve"> </w:t>
      </w:r>
      <w:r w:rsidRPr="0028108F">
        <w:rPr>
          <w:rFonts w:ascii="Arial" w:hAnsi="Arial" w:cs="Arial"/>
          <w:color w:val="0D0D0D" w:themeColor="text1" w:themeTint="F2"/>
          <w:lang w:val="en-GB"/>
        </w:rPr>
        <w:tab/>
        <w:t>See Jansen, “Rechtspositie transgenders</w:t>
      </w:r>
      <w:r w:rsidRPr="00181CF2">
        <w:rPr>
          <w:rFonts w:ascii="Arial" w:hAnsi="Arial" w:cs="Arial"/>
          <w:color w:val="0D0D0D" w:themeColor="text1" w:themeTint="F2"/>
          <w:lang w:val="en-GB"/>
        </w:rPr>
        <w:t>”</w:t>
      </w:r>
      <w:r w:rsidRPr="00C57CE1">
        <w:rPr>
          <w:rFonts w:ascii="Arial" w:hAnsi="Arial" w:cs="Arial"/>
          <w:color w:val="0D0D0D" w:themeColor="text1" w:themeTint="F2"/>
          <w:lang w:val="en-GB"/>
        </w:rPr>
        <w:t xml:space="preserve"> (2012) </w:t>
      </w:r>
      <w:r w:rsidRPr="0028108F">
        <w:rPr>
          <w:rFonts w:ascii="Arial" w:hAnsi="Arial" w:cs="Arial"/>
          <w:i/>
          <w:color w:val="0D0D0D" w:themeColor="text1" w:themeTint="F2"/>
          <w:lang w:val="en-GB"/>
        </w:rPr>
        <w:t xml:space="preserve">Tijdschrift voor Families – en Jeugdrecht </w:t>
      </w:r>
      <w:r w:rsidRPr="00181CF2">
        <w:rPr>
          <w:rFonts w:ascii="Arial" w:hAnsi="Arial" w:cs="Arial"/>
          <w:color w:val="0D0D0D" w:themeColor="text1" w:themeTint="F2"/>
          <w:lang w:val="en-GB"/>
        </w:rPr>
        <w:t>(FJR), at 65.</w:t>
      </w:r>
    </w:p>
  </w:footnote>
  <w:footnote w:id="318">
    <w:p w:rsidR="0022178B" w:rsidRPr="0028108F" w:rsidRDefault="0022178B" w:rsidP="004633AF">
      <w:pPr>
        <w:pStyle w:val="FootnoteText"/>
        <w:tabs>
          <w:tab w:val="left" w:pos="851"/>
        </w:tabs>
        <w:ind w:left="709" w:hanging="709"/>
        <w:jc w:val="both"/>
        <w:rPr>
          <w:rFonts w:ascii="Arial" w:hAnsi="Arial" w:cs="Arial"/>
          <w:color w:val="0D0D0D" w:themeColor="text1" w:themeTint="F2"/>
          <w:lang w:val="en-GB"/>
        </w:rPr>
      </w:pPr>
      <w:r w:rsidRPr="00C57CE1">
        <w:rPr>
          <w:rFonts w:ascii="Arial" w:hAnsi="Arial" w:cs="Arial"/>
          <w:color w:val="0D0D0D" w:themeColor="text1" w:themeTint="F2"/>
          <w:lang w:val="en-GB"/>
        </w:rPr>
        <w:footnoteRef/>
      </w:r>
      <w:r w:rsidRPr="0028108F">
        <w:rPr>
          <w:rFonts w:ascii="Arial" w:hAnsi="Arial" w:cs="Arial"/>
          <w:color w:val="0D0D0D" w:themeColor="text1" w:themeTint="F2"/>
          <w:lang w:val="en-GB"/>
        </w:rPr>
        <w:t xml:space="preserve"> </w:t>
      </w:r>
      <w:r w:rsidRPr="0028108F">
        <w:rPr>
          <w:rFonts w:ascii="Arial" w:hAnsi="Arial" w:cs="Arial"/>
          <w:color w:val="0D0D0D" w:themeColor="text1" w:themeTint="F2"/>
          <w:lang w:val="en-GB"/>
        </w:rPr>
        <w:tab/>
        <w:t xml:space="preserve">Art 28a, paragraph 2, Dutch Civil Code.  </w:t>
      </w:r>
    </w:p>
  </w:footnote>
  <w:footnote w:id="319">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Transgender Network Nederland</w:t>
      </w:r>
      <w:r w:rsidRPr="0028108F">
        <w:rPr>
          <w:rFonts w:ascii="Arial" w:hAnsi="Arial" w:cs="Arial"/>
          <w:lang w:val="en-GB"/>
        </w:rPr>
        <w:t xml:space="preserve"> (30 June 2014, in Dutch), “Feestelijke bijeenkomst luidt op 1 juli nieuwe transgenderwet in”</w:t>
      </w:r>
      <w:r w:rsidRPr="00181CF2">
        <w:rPr>
          <w:rFonts w:ascii="Arial" w:hAnsi="Arial" w:cs="Arial"/>
          <w:lang w:val="en-GB"/>
        </w:rPr>
        <w:t>.</w:t>
      </w:r>
      <w:r w:rsidRPr="00C57CE1">
        <w:rPr>
          <w:rFonts w:ascii="Arial" w:hAnsi="Arial" w:cs="Arial"/>
          <w:lang w:val="en-GB"/>
        </w:rPr>
        <w:t xml:space="preserve"> </w:t>
      </w:r>
    </w:p>
  </w:footnote>
  <w:footnote w:id="320">
    <w:p w:rsidR="0022178B" w:rsidRPr="0028108F" w:rsidRDefault="0022178B" w:rsidP="004633AF">
      <w:pPr>
        <w:pStyle w:val="FootnoteText"/>
        <w:tabs>
          <w:tab w:val="left" w:pos="851"/>
        </w:tabs>
        <w:ind w:left="709" w:hanging="709"/>
        <w:jc w:val="both"/>
        <w:rPr>
          <w:rFonts w:ascii="Arial" w:hAnsi="Arial" w:cs="Arial"/>
          <w:color w:val="0D0D0D" w:themeColor="text1" w:themeTint="F2"/>
          <w:lang w:val="en-GB"/>
        </w:rPr>
      </w:pPr>
      <w:r w:rsidRPr="0028108F">
        <w:rPr>
          <w:rFonts w:ascii="Arial" w:hAnsi="Arial" w:cs="Arial"/>
          <w:color w:val="0D0D0D" w:themeColor="text1" w:themeTint="F2"/>
          <w:lang w:val="en-GB"/>
        </w:rPr>
        <w:footnoteRef/>
      </w:r>
      <w:r w:rsidRPr="0028108F">
        <w:rPr>
          <w:rFonts w:ascii="Arial" w:hAnsi="Arial" w:cs="Arial"/>
          <w:color w:val="0D0D0D" w:themeColor="text1" w:themeTint="F2"/>
          <w:lang w:val="en-GB"/>
        </w:rPr>
        <w:t xml:space="preserve"> </w:t>
      </w:r>
      <w:r w:rsidRPr="0028108F">
        <w:rPr>
          <w:rFonts w:ascii="Arial" w:hAnsi="Arial" w:cs="Arial"/>
          <w:color w:val="0D0D0D" w:themeColor="text1" w:themeTint="F2"/>
          <w:lang w:val="en-GB"/>
        </w:rPr>
        <w:tab/>
        <w:t xml:space="preserve">Art 28, paragraph 1, Dutch Civil Code.  </w:t>
      </w:r>
    </w:p>
  </w:footnote>
  <w:footnote w:id="321">
    <w:p w:rsidR="0022178B" w:rsidRPr="0028108F" w:rsidRDefault="0022178B" w:rsidP="004633AF">
      <w:pPr>
        <w:pStyle w:val="FootnoteText"/>
        <w:tabs>
          <w:tab w:val="left" w:pos="851"/>
        </w:tabs>
        <w:ind w:left="709" w:hanging="709"/>
        <w:jc w:val="both"/>
        <w:rPr>
          <w:rFonts w:ascii="Arial" w:hAnsi="Arial" w:cs="Arial"/>
          <w:color w:val="000000"/>
          <w:lang w:val="en-GB"/>
        </w:rPr>
      </w:pPr>
      <w:r w:rsidRPr="0028108F">
        <w:rPr>
          <w:rFonts w:ascii="Arial" w:hAnsi="Arial" w:cs="Arial"/>
          <w:color w:val="0D0D0D" w:themeColor="text1" w:themeTint="F2"/>
          <w:lang w:val="en-GB"/>
        </w:rPr>
        <w:footnoteRef/>
      </w:r>
      <w:r w:rsidRPr="0028108F">
        <w:rPr>
          <w:rFonts w:ascii="Arial" w:hAnsi="Arial" w:cs="Arial"/>
          <w:color w:val="0D0D0D" w:themeColor="text1" w:themeTint="F2"/>
          <w:lang w:val="en-GB"/>
        </w:rPr>
        <w:t xml:space="preserve"> </w:t>
      </w:r>
      <w:r w:rsidRPr="0028108F">
        <w:rPr>
          <w:rFonts w:ascii="Arial" w:hAnsi="Arial" w:cs="Arial"/>
          <w:color w:val="0D0D0D" w:themeColor="text1" w:themeTint="F2"/>
          <w:lang w:val="en-GB"/>
        </w:rPr>
        <w:tab/>
        <w:t xml:space="preserve">Art </w:t>
      </w:r>
      <w:r w:rsidRPr="0028108F">
        <w:rPr>
          <w:rFonts w:ascii="Arial" w:hAnsi="Arial" w:cs="Arial"/>
          <w:lang w:val="en-GB"/>
        </w:rPr>
        <w:t>28</w:t>
      </w:r>
      <w:r w:rsidRPr="0028108F">
        <w:rPr>
          <w:rFonts w:ascii="Arial" w:hAnsi="Arial" w:cs="Arial"/>
          <w:color w:val="0D0D0D" w:themeColor="text1" w:themeTint="F2"/>
          <w:lang w:val="en-GB"/>
        </w:rPr>
        <w:t xml:space="preserve">, paragraph 4, Dutch Civil Code. </w:t>
      </w:r>
      <w:r w:rsidRPr="0028108F">
        <w:rPr>
          <w:rFonts w:ascii="Arial" w:hAnsi="Arial" w:cs="Arial"/>
          <w:color w:val="000000"/>
          <w:lang w:val="en-GB"/>
        </w:rPr>
        <w:t xml:space="preserve"> </w:t>
      </w:r>
    </w:p>
  </w:footnote>
  <w:footnote w:id="322">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The previous law was section 1.4.13 of the Dutch Civil Code which required an applicant for change of his or her gender marker on the birth certificate to, inter alia, be, “</w:t>
      </w:r>
      <w:r w:rsidRPr="0028108F">
        <w:rPr>
          <w:rFonts w:ascii="Arial" w:hAnsi="Arial" w:cs="Arial"/>
          <w:i/>
          <w:lang w:val="en-GB"/>
        </w:rPr>
        <w:t>if he is marked on the birth certificate as a male, is definitely incapable of procreating children or, if he is marked on the birth certificate as female, is definitely incapable of giving birth to children</w:t>
      </w:r>
      <w:r w:rsidRPr="0028108F">
        <w:rPr>
          <w:rFonts w:ascii="Arial" w:hAnsi="Arial" w:cs="Arial"/>
          <w:lang w:val="en-GB"/>
        </w:rPr>
        <w:t>”, and have been “</w:t>
      </w:r>
      <w:r w:rsidRPr="0028108F">
        <w:rPr>
          <w:rFonts w:ascii="Arial" w:hAnsi="Arial" w:cs="Arial"/>
          <w:i/>
          <w:lang w:val="en-GB"/>
        </w:rPr>
        <w:t>adjusted physically to the desired gender insofar this is possible and acceptable from a medical and psychological point of view</w:t>
      </w:r>
      <w:r w:rsidRPr="0028108F">
        <w:rPr>
          <w:rFonts w:ascii="Arial" w:hAnsi="Arial" w:cs="Arial"/>
          <w:lang w:val="en-GB"/>
        </w:rPr>
        <w:t>”.  See the Dutch Civil Code at:</w:t>
      </w:r>
      <w:r w:rsidRPr="0028108F">
        <w:rPr>
          <w:rFonts w:ascii="Arial" w:hAnsi="Arial" w:cs="Arial"/>
          <w:color w:val="000000" w:themeColor="text1"/>
          <w:lang w:val="en-GB"/>
        </w:rPr>
        <w:t xml:space="preserve"> </w:t>
      </w:r>
      <w:hyperlink r:id="rId35" w:history="1">
        <w:r w:rsidRPr="008813DE">
          <w:rPr>
            <w:rStyle w:val="Hyperlink"/>
            <w:rFonts w:ascii="Arial" w:hAnsi="Arial" w:cs="Arial"/>
            <w:lang w:val="en-GB"/>
          </w:rPr>
          <w:t>http://www.dutchcivillaw.com/civilcodebook01.htm</w:t>
        </w:r>
      </w:hyperlink>
      <w:r w:rsidRPr="0028108F">
        <w:rPr>
          <w:rFonts w:ascii="Arial" w:hAnsi="Arial" w:cs="Arial"/>
          <w:color w:val="000000" w:themeColor="text1"/>
          <w:lang w:val="en-GB"/>
        </w:rPr>
        <w:t xml:space="preserve">. </w:t>
      </w:r>
    </w:p>
  </w:footnote>
  <w:footnote w:id="32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The New York Times</w:t>
      </w:r>
      <w:r w:rsidRPr="0028108F">
        <w:rPr>
          <w:rFonts w:ascii="Arial" w:hAnsi="Arial" w:cs="Arial"/>
          <w:lang w:val="en-GB"/>
        </w:rPr>
        <w:t xml:space="preserve"> (13 September 2000), “Dutch Legislators Approve Full Marriage Rights for Gays”. </w:t>
      </w:r>
    </w:p>
  </w:footnote>
  <w:footnote w:id="32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Wuyts, “De gevolgen van de juridische geslachtsaanpassing op familierechtelijk vlak”</w:t>
      </w:r>
      <w:r w:rsidRPr="00181CF2">
        <w:rPr>
          <w:rFonts w:ascii="Arial" w:hAnsi="Arial" w:cs="Arial"/>
          <w:lang w:val="en-GB"/>
        </w:rPr>
        <w:t>,</w:t>
      </w:r>
      <w:r w:rsidRPr="00C57CE1">
        <w:rPr>
          <w:rFonts w:ascii="Arial" w:hAnsi="Arial" w:cs="Arial"/>
          <w:lang w:val="en-GB"/>
        </w:rPr>
        <w:t xml:space="preserve"> in Senaeve and Uytterhoeven, </w:t>
      </w:r>
      <w:r>
        <w:rPr>
          <w:rFonts w:ascii="Arial" w:hAnsi="Arial" w:cs="Arial"/>
          <w:lang w:val="en-GB" w:eastAsia="zh-TW"/>
        </w:rPr>
        <w:t>“</w:t>
      </w:r>
      <w:r w:rsidRPr="00C57CE1">
        <w:rPr>
          <w:rFonts w:ascii="Arial" w:hAnsi="Arial" w:cs="Arial"/>
          <w:lang w:val="en-GB"/>
        </w:rPr>
        <w:t>De rechtspositie van de transseksueel</w:t>
      </w:r>
      <w:r>
        <w:rPr>
          <w:rFonts w:ascii="Arial" w:hAnsi="Arial" w:cs="Arial"/>
          <w:lang w:val="en-GB" w:eastAsia="zh-TW"/>
        </w:rPr>
        <w:t>”</w:t>
      </w:r>
      <w:r w:rsidRPr="00C57CE1">
        <w:rPr>
          <w:rFonts w:ascii="Arial" w:hAnsi="Arial" w:cs="Arial"/>
          <w:lang w:val="en-GB"/>
        </w:rPr>
        <w:t>, Antwerp, 2008, at</w:t>
      </w:r>
      <w:r w:rsidRPr="0028108F">
        <w:rPr>
          <w:rFonts w:ascii="Arial" w:hAnsi="Arial" w:cs="Arial"/>
          <w:lang w:val="en-GB"/>
        </w:rPr>
        <w:t xml:space="preserve"> 217.</w:t>
      </w:r>
    </w:p>
  </w:footnote>
  <w:footnote w:id="325">
    <w:p w:rsidR="0022178B" w:rsidRPr="0028108F" w:rsidRDefault="0022178B" w:rsidP="00BA43B9">
      <w:pPr>
        <w:pStyle w:val="FootnoteText"/>
        <w:tabs>
          <w:tab w:val="left" w:pos="851"/>
        </w:tabs>
        <w:ind w:left="708" w:hangingChars="354" w:hanging="708"/>
        <w:jc w:val="both"/>
        <w:rPr>
          <w:rFonts w:ascii="Arial" w:hAnsi="Arial" w:cs="Arial"/>
          <w:color w:val="000000"/>
          <w:lang w:val="en-GB"/>
        </w:rPr>
      </w:pPr>
      <w:r w:rsidRPr="0028108F">
        <w:rPr>
          <w:rFonts w:ascii="Arial" w:hAnsi="Arial" w:cs="Arial"/>
          <w:color w:val="0D0D0D" w:themeColor="text1" w:themeTint="F2"/>
          <w:lang w:val="en-GB"/>
        </w:rPr>
        <w:footnoteRef/>
      </w:r>
      <w:r w:rsidRPr="0028108F">
        <w:rPr>
          <w:rFonts w:ascii="Arial" w:hAnsi="Arial" w:cs="Arial"/>
          <w:color w:val="0D0D0D" w:themeColor="text1" w:themeTint="F2"/>
          <w:lang w:val="en-GB"/>
        </w:rPr>
        <w:t xml:space="preserve"> </w:t>
      </w:r>
      <w:r w:rsidRPr="0028108F">
        <w:rPr>
          <w:rFonts w:ascii="Arial" w:hAnsi="Arial" w:cs="Arial"/>
          <w:color w:val="0D0D0D" w:themeColor="text1" w:themeTint="F2"/>
          <w:lang w:val="en-GB"/>
        </w:rPr>
        <w:tab/>
        <w:t xml:space="preserve">Art 28, paragraph 3, Dutch Civil Code. </w:t>
      </w:r>
      <w:r w:rsidRPr="0028108F">
        <w:rPr>
          <w:rFonts w:ascii="Arial" w:hAnsi="Arial" w:cs="Arial"/>
          <w:color w:val="000000"/>
          <w:lang w:val="en-GB"/>
        </w:rPr>
        <w:t xml:space="preserve"> </w:t>
      </w:r>
    </w:p>
  </w:footnote>
  <w:footnote w:id="326">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Thomas Hammarbert, “Human Rights and Gender Identity</w:t>
      </w:r>
      <w:r w:rsidRPr="00181CF2">
        <w:rPr>
          <w:rFonts w:ascii="Arial" w:hAnsi="Arial" w:cs="Arial"/>
          <w:lang w:val="en-GB"/>
        </w:rPr>
        <w:t>”</w:t>
      </w:r>
      <w:r w:rsidRPr="0028108F">
        <w:rPr>
          <w:rFonts w:ascii="Arial" w:hAnsi="Arial" w:cs="Arial"/>
          <w:lang w:val="en-GB"/>
        </w:rPr>
        <w:t>,</w:t>
      </w:r>
      <w:r w:rsidRPr="00181CF2">
        <w:rPr>
          <w:rFonts w:ascii="Arial" w:hAnsi="Arial" w:cs="Arial"/>
          <w:i/>
          <w:lang w:val="en-GB"/>
        </w:rPr>
        <w:t xml:space="preserve"> </w:t>
      </w:r>
      <w:r w:rsidRPr="00C57CE1">
        <w:rPr>
          <w:rFonts w:ascii="Arial" w:hAnsi="Arial" w:cs="Arial"/>
          <w:lang w:val="en-GB"/>
        </w:rPr>
        <w:t>CommDH/Issue Paper (2009) 2, 29 July 2009.</w:t>
      </w:r>
    </w:p>
  </w:footnote>
  <w:footnote w:id="327">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328">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Committee of Ministers Recommendation CM/Rec(2010)5 on measures to combat discrimination on grounds of sexual orientation or gender identity, adopted in 31 March 2010 (available at: </w:t>
      </w:r>
      <w:hyperlink r:id="rId36" w:history="1">
        <w:r w:rsidRPr="008813DE">
          <w:rPr>
            <w:rStyle w:val="Hyperlink"/>
            <w:rFonts w:ascii="Arial" w:hAnsi="Arial" w:cs="Arial"/>
            <w:lang w:val="en-GB"/>
          </w:rPr>
          <w:t>https://wcd.coe.int/ViewDoc.jsp?id=1606669</w:t>
        </w:r>
      </w:hyperlink>
      <w:r w:rsidRPr="0028108F">
        <w:rPr>
          <w:rFonts w:ascii="Arial" w:hAnsi="Arial" w:cs="Arial"/>
          <w:lang w:val="en-GB"/>
        </w:rPr>
        <w:t xml:space="preserve">). </w:t>
      </w:r>
    </w:p>
  </w:footnote>
  <w:footnote w:id="329">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 xml:space="preserve">Same as above, </w:t>
      </w:r>
      <w:r w:rsidRPr="0028108F">
        <w:rPr>
          <w:rFonts w:ascii="Arial" w:hAnsi="Arial" w:cs="Arial"/>
          <w:lang w:val="en-GB"/>
        </w:rPr>
        <w:t>Appendix, at paragraph 20.</w:t>
      </w:r>
    </w:p>
  </w:footnote>
  <w:footnote w:id="330">
    <w:p w:rsidR="0022178B" w:rsidRPr="0028108F" w:rsidRDefault="0022178B">
      <w:pPr>
        <w:pStyle w:val="FootnoteText"/>
        <w:tabs>
          <w:tab w:val="left" w:pos="851"/>
        </w:tabs>
        <w:ind w:left="709" w:hanging="709"/>
        <w:jc w:val="both"/>
        <w:rPr>
          <w:rFonts w:ascii="Arial" w:hAnsi="Arial" w:cs="Arial"/>
          <w:color w:val="000000" w:themeColor="text1"/>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Law on Amendments on the Law on State Registers</w:t>
      </w:r>
      <w:r w:rsidRPr="0028108F">
        <w:rPr>
          <w:rFonts w:ascii="Arial" w:hAnsi="Arial" w:cs="Arial"/>
          <w:i/>
          <w:lang w:val="en-GB"/>
        </w:rPr>
        <w:t xml:space="preserve"> </w:t>
      </w:r>
      <w:r w:rsidRPr="0028108F">
        <w:rPr>
          <w:rFonts w:ascii="Arial" w:hAnsi="Arial" w:cs="Arial"/>
          <w:lang w:val="en-GB"/>
        </w:rPr>
        <w:t>(No.71 -05-03/1-13-2), (official version in Croatian</w:t>
      </w:r>
      <w:r w:rsidRPr="0028108F">
        <w:rPr>
          <w:rFonts w:ascii="Arial" w:hAnsi="Arial" w:cs="Arial"/>
          <w:color w:val="000000" w:themeColor="text1"/>
          <w:lang w:val="en-GB"/>
        </w:rPr>
        <w:t>).</w:t>
      </w:r>
    </w:p>
  </w:footnote>
  <w:footnote w:id="331">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Bundesverfassungsgericht </w:t>
      </w:r>
      <w:r w:rsidRPr="0028108F">
        <w:rPr>
          <w:rFonts w:ascii="Arial" w:hAnsi="Arial" w:cs="Arial"/>
          <w:lang w:val="en-GB"/>
        </w:rPr>
        <w:t>[Federal Constitutional Court], BVerfG, 1 BvR 3295/07, 28 January 2011.</w:t>
      </w:r>
    </w:p>
  </w:footnote>
  <w:footnote w:id="33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Equality for Lesbian, “Gay, Bisexual, Trans and Intersex People In Europe”, </w:t>
      </w:r>
      <w:r w:rsidRPr="0028108F">
        <w:rPr>
          <w:rFonts w:ascii="Arial" w:hAnsi="Arial" w:cs="Arial"/>
          <w:i/>
          <w:lang w:val="en-GB"/>
        </w:rPr>
        <w:t>Sweden - Annual Review 2013</w:t>
      </w:r>
      <w:r w:rsidRPr="0028108F">
        <w:rPr>
          <w:rFonts w:ascii="Arial" w:hAnsi="Arial" w:cs="Arial"/>
          <w:lang w:val="en-GB"/>
        </w:rPr>
        <w:t xml:space="preserve">. </w:t>
      </w:r>
    </w:p>
  </w:footnote>
  <w:footnote w:id="33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section 29 of the Civil Code no. 89/2012 Coll, which came into force on 1 January 2014. </w:t>
      </w:r>
    </w:p>
  </w:footnote>
  <w:footnote w:id="334">
    <w:p w:rsidR="0022178B" w:rsidRPr="0028108F" w:rsidRDefault="0022178B" w:rsidP="00C9791A">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Application no. 37359/09</w:t>
      </w:r>
      <w:r>
        <w:rPr>
          <w:rFonts w:ascii="Arial" w:hAnsi="Arial" w:cs="Arial"/>
          <w:lang w:val="en-GB"/>
        </w:rPr>
        <w:t>, 16 July 2014</w:t>
      </w:r>
      <w:r w:rsidRPr="0028108F">
        <w:rPr>
          <w:rFonts w:ascii="Arial" w:hAnsi="Arial" w:cs="Arial"/>
          <w:lang w:val="en-GB"/>
        </w:rPr>
        <w:t xml:space="preserve">.  </w:t>
      </w:r>
    </w:p>
  </w:footnote>
  <w:footnote w:id="33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Pr>
          <w:rFonts w:ascii="Arial" w:hAnsi="Arial" w:cs="Arial" w:hint="eastAsia"/>
          <w:lang w:val="en-GB" w:eastAsia="zh-TW"/>
        </w:rPr>
        <w:t>t</w:t>
      </w:r>
      <w:r w:rsidRPr="0028108F">
        <w:rPr>
          <w:rFonts w:ascii="Arial" w:hAnsi="Arial" w:cs="Arial"/>
          <w:lang w:val="en-GB"/>
        </w:rPr>
        <w:t>he Act on the Recognition of the Sex of Transsexual Individuals (</w:t>
      </w:r>
      <w:r w:rsidRPr="0028108F">
        <w:rPr>
          <w:rFonts w:ascii="Arial" w:hAnsi="Arial" w:cs="Arial"/>
          <w:i/>
          <w:lang w:val="en-GB"/>
        </w:rPr>
        <w:t>laki transseksuaalin sukupuolen vahvistamisesta</w:t>
      </w:r>
      <w:r w:rsidRPr="0028108F">
        <w:rPr>
          <w:rFonts w:ascii="Arial" w:hAnsi="Arial" w:cs="Arial"/>
          <w:lang w:val="en-GB"/>
        </w:rPr>
        <w:t xml:space="preserve"> (563/2002)) and Decree 1053/2002 issued by the Ministry of Social Affairs and Health in 2002. </w:t>
      </w:r>
    </w:p>
  </w:footnote>
  <w:footnote w:id="33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For the purpose and significance of birth certificates in the United States, see Office of Inspector Gen, US Department Of Health And Human Services, OEI-07-99-00570, Birth Certificate Fraud at 2 and 6 (2000).  In the United States, although generally not written formally into policy, a person’s initial gender on a driver’s licence/state ID will match that on one’s birth certificate.  Although it is less common, at least two state Departments of Motor Vehicles require a corrected gender on one’s birth certificate before updating the gender on one’s driver’s license (Montana and Kentucky).  See Driver’s License Policy by State, </w:t>
      </w:r>
      <w:r>
        <w:rPr>
          <w:rFonts w:ascii="Arial" w:hAnsi="Arial" w:cs="Arial"/>
          <w:lang w:val="en-GB" w:eastAsia="zh-TW"/>
        </w:rPr>
        <w:t>“</w:t>
      </w:r>
      <w:r w:rsidRPr="0028108F">
        <w:rPr>
          <w:rFonts w:ascii="Arial" w:hAnsi="Arial" w:cs="Arial"/>
          <w:lang w:val="en-GB"/>
        </w:rPr>
        <w:t>NAT’L CTR. FOR TRANSGENDER EQUAL.</w:t>
      </w:r>
      <w:r>
        <w:rPr>
          <w:rFonts w:ascii="Arial" w:hAnsi="Arial" w:cs="Arial"/>
          <w:lang w:val="en-GB" w:eastAsia="zh-TW"/>
        </w:rPr>
        <w:t>”</w:t>
      </w:r>
      <w:r w:rsidRPr="0028108F">
        <w:rPr>
          <w:rFonts w:ascii="Arial" w:hAnsi="Arial" w:cs="Arial"/>
          <w:lang w:val="en-GB"/>
        </w:rPr>
        <w:t xml:space="preserve">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37" w:history="1">
        <w:r w:rsidRPr="008813DE">
          <w:rPr>
            <w:rStyle w:val="Hyperlink"/>
            <w:rFonts w:ascii="Arial" w:hAnsi="Arial" w:cs="Arial"/>
            <w:lang w:val="en-GB"/>
          </w:rPr>
          <w:t>http://transequality.org/Resources/DL/DL_policies.html</w:t>
        </w:r>
      </w:hyperlink>
      <w:r w:rsidRPr="0028108F">
        <w:rPr>
          <w:rFonts w:ascii="Arial" w:hAnsi="Arial" w:cs="Arial"/>
          <w:lang w:val="en-GB"/>
        </w:rPr>
        <w:t xml:space="preserve">). Similarly, to establish a person’s initial gender on a passport, the birth certificate gender (or gender on other citizenship/identity evidence) is generally used.  See DEPT. OF STATE FOREIGN AFF. MANUAL 1310 app. M (2011).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t xml:space="preserve">For Canada, see Civil Processing Bureau, </w:t>
      </w:r>
      <w:r>
        <w:rPr>
          <w:rFonts w:ascii="Arial" w:hAnsi="Arial" w:cs="Arial"/>
          <w:lang w:val="en-GB" w:eastAsia="zh-TW"/>
        </w:rPr>
        <w:t>“</w:t>
      </w:r>
      <w:r w:rsidRPr="0080381A">
        <w:rPr>
          <w:rFonts w:ascii="Arial" w:hAnsi="Arial" w:cs="Arial"/>
          <w:lang w:val="en-GB"/>
        </w:rPr>
        <w:t>FAQs on Birth Certificates</w:t>
      </w:r>
      <w:r>
        <w:rPr>
          <w:rFonts w:ascii="Arial" w:hAnsi="Arial" w:cs="Arial"/>
          <w:lang w:val="en-GB" w:eastAsia="zh-TW"/>
        </w:rPr>
        <w:t>”</w:t>
      </w:r>
      <w:r w:rsidRPr="0080381A">
        <w:rPr>
          <w:rFonts w:ascii="Arial" w:hAnsi="Arial" w:cs="Arial"/>
          <w:lang w:val="en-GB"/>
        </w:rPr>
        <w:t xml:space="preserve"> </w:t>
      </w:r>
      <w:r w:rsidRPr="0028108F">
        <w:rPr>
          <w:rFonts w:ascii="Arial" w:hAnsi="Arial" w:cs="Arial"/>
          <w:lang w:val="en-GB"/>
        </w:rPr>
        <w:t xml:space="preserve">(available at: </w:t>
      </w:r>
    </w:p>
    <w:p w:rsidR="0022178B" w:rsidRPr="0028108F" w:rsidRDefault="0022178B" w:rsidP="004633AF">
      <w:pPr>
        <w:pStyle w:val="FootnoteText"/>
        <w:tabs>
          <w:tab w:val="left" w:pos="851"/>
        </w:tabs>
        <w:ind w:left="709" w:hanging="709"/>
        <w:jc w:val="both"/>
        <w:rPr>
          <w:rFonts w:ascii="Arial" w:hAnsi="Arial" w:cs="Arial"/>
          <w:i/>
          <w:lang w:val="en-GB"/>
        </w:rPr>
      </w:pPr>
      <w:r w:rsidRPr="0028108F">
        <w:rPr>
          <w:rFonts w:ascii="Arial" w:hAnsi="Arial" w:cs="Arial"/>
          <w:color w:val="000000" w:themeColor="text1"/>
          <w:lang w:val="en-GB"/>
        </w:rPr>
        <w:tab/>
      </w:r>
      <w:hyperlink r:id="rId38" w:anchor="Faq1" w:history="1">
        <w:r w:rsidRPr="008813DE">
          <w:rPr>
            <w:rStyle w:val="Hyperlink"/>
            <w:rFonts w:ascii="Arial" w:hAnsi="Arial" w:cs="Arial"/>
            <w:lang w:val="en-GB"/>
          </w:rPr>
          <w:t>https://www.canadianbirthcertificate.com/FAQs.aspx?CertificateType=GeneralBirthFAQs&amp;#Faq1</w:t>
        </w:r>
      </w:hyperlink>
      <w:r w:rsidRPr="008813DE">
        <w:rPr>
          <w:rStyle w:val="Hyperlink"/>
          <w:rFonts w:ascii="Arial" w:hAnsi="Arial" w:cs="Arial"/>
          <w:color w:val="000000" w:themeColor="text1"/>
          <w:u w:val="none"/>
          <w:lang w:val="en-GB"/>
        </w:rPr>
        <w:t>)</w:t>
      </w:r>
      <w:r w:rsidRPr="008813DE">
        <w:rPr>
          <w:rFonts w:ascii="Arial" w:hAnsi="Arial" w:cs="Arial"/>
          <w:color w:val="000000" w:themeColor="text1"/>
          <w:lang w:val="en-GB"/>
        </w:rPr>
        <w:t>.</w:t>
      </w:r>
    </w:p>
  </w:footnote>
  <w:footnote w:id="337">
    <w:p w:rsidR="0022178B" w:rsidRPr="0028108F" w:rsidRDefault="0022178B" w:rsidP="004633AF">
      <w:pPr>
        <w:pStyle w:val="FootnoteText"/>
        <w:tabs>
          <w:tab w:val="left" w:pos="851"/>
        </w:tabs>
        <w:ind w:left="709" w:hanging="709"/>
        <w:jc w:val="both"/>
        <w:rPr>
          <w:rFonts w:ascii="Arial" w:hAnsi="Arial" w:cs="Arial"/>
          <w:i/>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IGLHRC (International Gay &amp; Lesbian Human Rights Commission), “Mexico: Mexico City Amends Civil Code to Include Transgender Rights”</w:t>
      </w:r>
      <w:r w:rsidRPr="00181CF2">
        <w:rPr>
          <w:rFonts w:ascii="Arial" w:hAnsi="Arial" w:cs="Arial"/>
          <w:lang w:val="en-GB"/>
        </w:rPr>
        <w:t xml:space="preserve"> </w:t>
      </w:r>
      <w:r w:rsidRPr="00C57CE1">
        <w:rPr>
          <w:rFonts w:ascii="Arial" w:hAnsi="Arial" w:cs="Arial"/>
          <w:lang w:val="en-GB"/>
        </w:rPr>
        <w:t xml:space="preserve">(15 June 2004). </w:t>
      </w:r>
      <w:r w:rsidRPr="0028108F">
        <w:rPr>
          <w:rFonts w:ascii="Arial" w:hAnsi="Arial" w:cs="Arial"/>
          <w:i/>
          <w:lang w:val="en-GB"/>
        </w:rPr>
        <w:t xml:space="preserve"> </w:t>
      </w:r>
    </w:p>
  </w:footnote>
  <w:footnote w:id="338">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US Department Of State, </w:t>
      </w:r>
      <w:r>
        <w:rPr>
          <w:rFonts w:ascii="Arial" w:hAnsi="Arial" w:cs="Arial"/>
          <w:lang w:val="en-GB" w:eastAsia="zh-TW"/>
        </w:rPr>
        <w:t>“</w:t>
      </w:r>
      <w:r w:rsidRPr="0028108F">
        <w:rPr>
          <w:rFonts w:ascii="Arial" w:hAnsi="Arial" w:cs="Arial"/>
          <w:lang w:val="en-GB"/>
        </w:rPr>
        <w:t>7 Foreign Affairs Manual 1320 app. M(b)(1)(g)</w:t>
      </w:r>
      <w:r>
        <w:rPr>
          <w:rFonts w:ascii="Arial" w:hAnsi="Arial" w:cs="Arial"/>
          <w:lang w:val="en-GB" w:eastAsia="zh-TW"/>
        </w:rPr>
        <w:t>”</w:t>
      </w:r>
      <w:r w:rsidRPr="0028108F">
        <w:rPr>
          <w:rFonts w:ascii="Arial" w:hAnsi="Arial" w:cs="Arial"/>
          <w:lang w:val="en-GB"/>
        </w:rPr>
        <w:t xml:space="preserve"> (2012). </w:t>
      </w:r>
    </w:p>
  </w:footnote>
  <w:footnote w:id="33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For a detailed overview of the legal framework on gender recognition across the United States, see Jameson Garland, “The Legal Status of Transsexual and Transgender Persons in the United States”</w:t>
      </w:r>
      <w:r w:rsidRPr="00181CF2">
        <w:rPr>
          <w:rFonts w:ascii="Arial" w:hAnsi="Arial" w:cs="Arial"/>
          <w:lang w:val="en-GB"/>
        </w:rPr>
        <w:t xml:space="preserve">, in </w:t>
      </w:r>
      <w:r w:rsidRPr="00C57CE1">
        <w:rPr>
          <w:rFonts w:ascii="Arial" w:hAnsi="Arial" w:cs="Arial"/>
          <w:lang w:val="en-GB"/>
        </w:rPr>
        <w:t>Jens M</w:t>
      </w:r>
      <w:r w:rsidRPr="0028108F">
        <w:rPr>
          <w:rFonts w:ascii="Arial" w:hAnsi="Arial" w:cs="Arial"/>
          <w:lang w:val="en-GB"/>
        </w:rPr>
        <w:t xml:space="preserve">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586 to 588.</w:t>
      </w:r>
    </w:p>
  </w:footnote>
  <w:footnote w:id="34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Model State Vital Statistics Act and Regulations § 21(d) and 21(e) (Ctr. for Disease Control &amp; Prevention 1992).  The MSVSA provides a general rule for any kind of amendment: it should be shown on the face of the document unless otherwise provided for by regulation: § 21(e).</w:t>
      </w:r>
    </w:p>
  </w:footnote>
  <w:footnote w:id="341">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Tennessee has the only explicit statutory ban on correcting gender markers, see Tenn. Code. Ann. Paragraph 68-3-203(d) (West 1997).  For various reasons, Idaho, Ohio, and Puerto Rico also do not allow individuals to correct gender.  See 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Michigan Journal of Gender &amp; Law</w:t>
      </w:r>
      <w:r w:rsidRPr="00181CF2">
        <w:rPr>
          <w:rFonts w:ascii="Arial" w:hAnsi="Arial" w:cs="Arial"/>
          <w:lang w:val="en-GB"/>
        </w:rPr>
        <w:t xml:space="preserve"> 373 to 470 (2013), at 381 and 382.</w:t>
      </w:r>
    </w:p>
  </w:footnote>
  <w:footnote w:id="342">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Alabama, Alaska, Arkansas, California, Colorado, Delaware, Georgia, Indiana, Louisiana, Missouri, Mississippi, Montana, New Hampshire, Nevada, Oregon, Pennsylvania, South Carolina, South Dakota, Utah, Virginia, Vermont, Wisconsin and Wyoming. </w:t>
      </w:r>
    </w:p>
  </w:footnote>
  <w:footnote w:id="34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Arizona, Connecticut, District of Columbia, Florida, Hawaii, Illinois, Iowa, Kansas, Kentucky, Massachusetts, Maine, Michigan, Nebraska, New Jersey, New Mexico, New York, North Carolina, North Dakota, Rhode Island, West Virginia, Washington, New York City. </w:t>
      </w:r>
    </w:p>
  </w:footnote>
  <w:footnote w:id="34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These are Maryland, Minnesota and Oklahoma.</w:t>
      </w:r>
    </w:p>
  </w:footnote>
  <w:footnote w:id="345">
    <w:p w:rsidR="0022178B" w:rsidRPr="00181CF2" w:rsidRDefault="0022178B" w:rsidP="004633AF">
      <w:pPr>
        <w:pStyle w:val="FootnoteText"/>
        <w:tabs>
          <w:tab w:val="left" w:pos="755"/>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ab/>
      </w:r>
      <w:r w:rsidRPr="0028108F">
        <w:rPr>
          <w:rFonts w:ascii="Arial" w:hAnsi="Arial" w:cs="Arial"/>
          <w:lang w:val="en-GB"/>
        </w:rPr>
        <w:tab/>
        <w:t>It has been argued that a court order process, in contrast to a direct-to-agency process, can be “</w:t>
      </w:r>
      <w:r w:rsidRPr="0028108F">
        <w:rPr>
          <w:rFonts w:ascii="Arial" w:hAnsi="Arial" w:cs="Arial"/>
          <w:i/>
          <w:lang w:val="en-GB"/>
        </w:rPr>
        <w:t>an insurmountable practical or financial barrier to obtain a corrected birth certificate</w:t>
      </w:r>
      <w:r w:rsidRPr="0028108F">
        <w:rPr>
          <w:rFonts w:ascii="Arial" w:hAnsi="Arial" w:cs="Arial"/>
          <w:lang w:val="en-GB"/>
        </w:rPr>
        <w:t>”, and such a process also “</w:t>
      </w:r>
      <w:r w:rsidRPr="0028108F">
        <w:rPr>
          <w:rFonts w:ascii="Arial" w:hAnsi="Arial" w:cs="Arial"/>
          <w:i/>
          <w:lang w:val="en-GB"/>
        </w:rPr>
        <w:t>compromises privacy, leading to problems caused by lack of judicial expertise [i.e. individual judges are likely to establish or apply their own standards of eligibility for a gender correction based on their individual knowledge]</w:t>
      </w:r>
      <w:r>
        <w:rPr>
          <w:rFonts w:ascii="Arial" w:hAnsi="Arial" w:cs="Arial" w:hint="eastAsia"/>
          <w:i/>
          <w:lang w:val="en-GB" w:eastAsia="zh-TW"/>
        </w:rPr>
        <w:t xml:space="preserve"> </w:t>
      </w:r>
      <w:r w:rsidRPr="0028108F">
        <w:rPr>
          <w:rFonts w:ascii="Arial" w:hAnsi="Arial" w:cs="Arial"/>
          <w:i/>
          <w:lang w:val="en-GB"/>
        </w:rPr>
        <w:t>and bias, as well as raising serious constitutional questions.</w:t>
      </w:r>
      <w:r w:rsidRPr="0028108F">
        <w:rPr>
          <w:rFonts w:ascii="Arial" w:hAnsi="Arial" w:cs="Arial"/>
          <w:lang w:val="en-GB"/>
        </w:rPr>
        <w:t>”</w:t>
      </w:r>
      <w:r w:rsidRPr="0028108F">
        <w:rPr>
          <w:rFonts w:ascii="Arial" w:hAnsi="Arial" w:cs="Arial"/>
          <w:lang w:val="en-GB"/>
        </w:rPr>
        <w:tab/>
        <w:t xml:space="preserve">  See 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Michigan Journal of Gender &amp; Law</w:t>
      </w:r>
      <w:r w:rsidRPr="00181CF2">
        <w:rPr>
          <w:rFonts w:ascii="Arial" w:hAnsi="Arial" w:cs="Arial"/>
          <w:lang w:val="en-GB"/>
        </w:rPr>
        <w:t xml:space="preserve"> 373 to 470 (2013)</w:t>
      </w:r>
      <w:r>
        <w:rPr>
          <w:rFonts w:ascii="Arial" w:hAnsi="Arial" w:cs="Arial" w:hint="eastAsia"/>
          <w:lang w:val="en-GB" w:eastAsia="zh-TW"/>
        </w:rPr>
        <w:t>, 431 to 435</w:t>
      </w:r>
      <w:r w:rsidRPr="00181CF2">
        <w:rPr>
          <w:rFonts w:ascii="Arial" w:hAnsi="Arial" w:cs="Arial"/>
          <w:lang w:val="en-GB"/>
        </w:rPr>
        <w:t>.</w:t>
      </w:r>
    </w:p>
  </w:footnote>
  <w:footnote w:id="346">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Alabama, Arizona, Florida, Louisiana, Massachusetts, Michigan, Nebraska, New Jersey, North Carolina, North Dakota, Oklahoma, Virginia, West Virginia and Wisconsin.     </w:t>
      </w:r>
    </w:p>
  </w:footnote>
  <w:footnote w:id="34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Arkansas, Colorado, Delaware, Georgia, Kentucky, Maine, Montana and New Mexico.  </w:t>
      </w:r>
    </w:p>
  </w:footnote>
  <w:footnote w:id="348">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These are Alaska, Indiana, Mississippi (“gender reassignment”), New Hampshire (</w:t>
      </w:r>
      <w:r w:rsidRPr="0028108F">
        <w:rPr>
          <w:rFonts w:ascii="Arial" w:hAnsi="Arial" w:cs="Arial"/>
          <w:i/>
          <w:lang w:val="en-GB"/>
        </w:rPr>
        <w:t>“has had a sex change”</w:t>
      </w:r>
      <w:r w:rsidRPr="0028108F">
        <w:rPr>
          <w:rFonts w:ascii="Arial" w:hAnsi="Arial" w:cs="Arial"/>
          <w:lang w:val="en-GB"/>
        </w:rPr>
        <w:t>), Nevada, South Dakota, Utah (</w:t>
      </w:r>
      <w:r w:rsidRPr="0028108F">
        <w:rPr>
          <w:rFonts w:ascii="Arial" w:hAnsi="Arial" w:cs="Arial"/>
          <w:i/>
          <w:lang w:val="en-GB"/>
        </w:rPr>
        <w:t>“has had a sex change”</w:t>
      </w:r>
      <w:r w:rsidRPr="0028108F">
        <w:rPr>
          <w:rFonts w:ascii="Arial" w:hAnsi="Arial" w:cs="Arial"/>
          <w:lang w:val="en-GB"/>
        </w:rPr>
        <w:t>) and Wyoming.</w:t>
      </w:r>
    </w:p>
  </w:footnote>
  <w:footnote w:id="349">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These are District of Columbia (“contemporary medical standards”), Louisiana (“transsexualism” or “pseudo-hermaphrodite”), Minnesota (“gender dysphoria” according to the WPATH standard), New York State (“gender dysphoria” according to the DSM standard or transsexualism according to the ICD standard) and Virginia (“preoperative diagnosis”).</w:t>
      </w:r>
    </w:p>
  </w:footnote>
  <w:footnote w:id="35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884 So. 2d 155, 161 (Fla. Dist. Ct. App. 2004).  In this case where the custody of the children was in question, the Florida Second District Court of Appeals upheld the wife’s claim that the marriage was null and void because her ex-husband was a transsexual man and same-sex marriages are illegal in Florida, with the remark that the term '</w:t>
      </w:r>
      <w:r w:rsidRPr="0028108F">
        <w:rPr>
          <w:rFonts w:ascii="Arial" w:hAnsi="Arial" w:cs="Arial"/>
          <w:i/>
          <w:lang w:val="en-GB"/>
        </w:rPr>
        <w:t>sex</w:t>
      </w:r>
      <w:r w:rsidRPr="0028108F">
        <w:rPr>
          <w:rFonts w:ascii="Arial" w:hAnsi="Arial" w:cs="Arial"/>
          <w:lang w:val="en-GB"/>
        </w:rPr>
        <w:t xml:space="preserve">' should refer to </w:t>
      </w:r>
      <w:r w:rsidRPr="0028108F">
        <w:rPr>
          <w:rFonts w:ascii="Arial" w:hAnsi="Arial" w:cs="Arial"/>
          <w:i/>
          <w:lang w:val="en-GB"/>
        </w:rPr>
        <w:t>"immutable traits determined at birth"</w:t>
      </w:r>
      <w:r w:rsidRPr="0028108F">
        <w:rPr>
          <w:rFonts w:ascii="Arial" w:hAnsi="Arial" w:cs="Arial"/>
          <w:lang w:val="en-GB"/>
        </w:rPr>
        <w:t xml:space="preserve"> (eg, chromosomes).  Review of the decision was denied by the Florida Supreme Court (</w:t>
      </w:r>
      <w:r w:rsidRPr="0028108F">
        <w:rPr>
          <w:rFonts w:ascii="Arial" w:hAnsi="Arial" w:cs="Arial"/>
          <w:i/>
          <w:lang w:val="en-GB"/>
        </w:rPr>
        <w:t>Kantaras v Kantaras</w:t>
      </w:r>
      <w:r w:rsidRPr="0028108F">
        <w:rPr>
          <w:rFonts w:ascii="Arial" w:hAnsi="Arial" w:cs="Arial"/>
          <w:lang w:val="en-GB"/>
        </w:rPr>
        <w:t>, 898 So. 2d 80 (Fla. 2005)).  The couple settled the case with joint custody in 2005.</w:t>
      </w:r>
    </w:p>
  </w:footnote>
  <w:footnote w:id="351">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23 I. &amp; N. Dec. 746, 753 </w:t>
      </w:r>
      <w:r>
        <w:rPr>
          <w:rFonts w:ascii="Arial" w:hAnsi="Arial" w:cs="Arial"/>
          <w:lang w:val="en-GB"/>
        </w:rPr>
        <w:t>(B.I.A. 2005).</w:t>
      </w:r>
      <w:r>
        <w:rPr>
          <w:rFonts w:ascii="Arial" w:hAnsi="Arial" w:cs="Arial" w:hint="eastAsia"/>
          <w:lang w:val="en-GB" w:eastAsia="zh-TW"/>
        </w:rPr>
        <w:t xml:space="preserve">  </w:t>
      </w:r>
      <w:r w:rsidRPr="0028108F">
        <w:rPr>
          <w:rFonts w:ascii="Arial" w:hAnsi="Arial" w:cs="Arial"/>
          <w:lang w:val="en-GB"/>
        </w:rPr>
        <w:t>The Board of Immigration Appeals of Nebraska ruled that it “should rely on a person’s chromosomal pattern or the original birth record’s gender designation in determining whether a marriage is between persons of the opposite sex.”</w:t>
      </w:r>
    </w:p>
  </w:footnote>
  <w:footnote w:id="352">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Obergefell v Hodges </w:t>
      </w:r>
      <w:r w:rsidRPr="0028108F">
        <w:rPr>
          <w:rFonts w:ascii="Arial" w:hAnsi="Arial" w:cs="Arial"/>
          <w:lang w:val="en-GB"/>
        </w:rPr>
        <w:t>No. 14-556, 576 U.S. (2015).</w:t>
      </w:r>
    </w:p>
  </w:footnote>
  <w:footnote w:id="35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American Civil Liberties Union, </w:t>
      </w:r>
      <w:r w:rsidRPr="0028108F">
        <w:rPr>
          <w:rFonts w:ascii="Arial" w:hAnsi="Arial" w:cs="Arial"/>
          <w:i/>
          <w:lang w:val="en-GB"/>
        </w:rPr>
        <w:t>Know Your Rights – Transgender People and the Law</w:t>
      </w:r>
      <w:r w:rsidRPr="0028108F">
        <w:rPr>
          <w:rFonts w:ascii="Arial" w:hAnsi="Arial" w:cs="Arial"/>
          <w:lang w:val="en-GB"/>
        </w:rPr>
        <w:t xml:space="preserve">, 24 April 2013. </w:t>
      </w:r>
    </w:p>
  </w:footnote>
  <w:footnote w:id="35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These are Arizona, District of Columbia, Florida, Kansas, Michigan, Minnesota, South Carolina and West Virginia.</w:t>
      </w:r>
    </w:p>
  </w:footnote>
  <w:footnote w:id="35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Arizona, California, Colorado, Connecticut, Delaware, District of Columbia, Georgia, Hawaii, Illinois, Indiana, Iowa, Louisiana, Maine, Maryland, Michigan, Minnesota, Nebraska, Nevada, Hampshire, New York State, New York City, North Carolina, Pennsylvania, South Dakota and Vermont. </w:t>
      </w:r>
    </w:p>
  </w:footnote>
  <w:footnote w:id="35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These are Alabama, Alaska, Arkansas, Kansas, Kentucky, Massachusetts, Mississippi, Missouri, New Jersey, New Mexico, North Dakota, Oklahoma, Oregon, South Carolina, Utah, West Virginia, Wisconsin and Wyoming. </w:t>
      </w:r>
    </w:p>
  </w:footnote>
  <w:footnote w:id="357">
    <w:p w:rsidR="0022178B" w:rsidRPr="0028108F" w:rsidRDefault="0022178B" w:rsidP="00265FB5">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 LGBT</w:t>
      </w:r>
      <w:r w:rsidRPr="0028108F">
        <w:rPr>
          <w:rFonts w:ascii="Arial" w:hAnsi="Arial" w:cs="Arial"/>
          <w:lang w:val="en-GB" w:eastAsia="zh-TW"/>
        </w:rPr>
        <w:t>I</w:t>
      </w:r>
      <w:r w:rsidRPr="0028108F">
        <w:rPr>
          <w:rFonts w:ascii="Arial" w:hAnsi="Arial" w:cs="Arial"/>
          <w:lang w:val="en-GB"/>
        </w:rPr>
        <w:t xml:space="preserve"> advocacy group, see </w:t>
      </w:r>
      <w:r>
        <w:rPr>
          <w:rFonts w:ascii="Arial" w:hAnsi="Arial" w:cs="Arial" w:hint="eastAsia"/>
          <w:lang w:val="en-GB" w:eastAsia="zh-TW"/>
        </w:rPr>
        <w:t xml:space="preserve">its </w:t>
      </w:r>
      <w:r w:rsidRPr="0028108F">
        <w:rPr>
          <w:rFonts w:ascii="Arial" w:hAnsi="Arial" w:cs="Arial"/>
          <w:lang w:val="en-GB"/>
        </w:rPr>
        <w:t xml:space="preserve">official website at: </w:t>
      </w:r>
      <w:hyperlink r:id="rId39" w:history="1">
        <w:r w:rsidRPr="0028108F">
          <w:rPr>
            <w:rStyle w:val="Hyperlink"/>
            <w:rFonts w:ascii="Arial" w:hAnsi="Arial" w:cs="Arial"/>
            <w:lang w:val="en-GB"/>
          </w:rPr>
          <w:t>http://www.thetaskforce.org</w:t>
        </w:r>
      </w:hyperlink>
      <w:r w:rsidRPr="0028108F">
        <w:rPr>
          <w:rFonts w:ascii="Arial" w:hAnsi="Arial" w:cs="Arial"/>
          <w:lang w:val="en-GB"/>
        </w:rPr>
        <w:t xml:space="preserve">.  </w:t>
      </w:r>
    </w:p>
  </w:footnote>
  <w:footnote w:id="358">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public can receive certified copies in Kentucky, Ohio, Massachusetts, Vermont, and Washington, and can receive </w:t>
      </w:r>
      <w:r w:rsidRPr="0028108F">
        <w:rPr>
          <w:rFonts w:ascii="Arial" w:hAnsi="Arial" w:cs="Arial"/>
          <w:i/>
          <w:lang w:val="en-GB"/>
        </w:rPr>
        <w:t>“informational”</w:t>
      </w:r>
      <w:r w:rsidRPr="0028108F">
        <w:rPr>
          <w:rFonts w:ascii="Arial" w:hAnsi="Arial" w:cs="Arial"/>
          <w:lang w:val="en-GB"/>
        </w:rPr>
        <w:t xml:space="preserve"> or </w:t>
      </w:r>
      <w:r w:rsidRPr="0028108F">
        <w:rPr>
          <w:rFonts w:ascii="Arial" w:hAnsi="Arial" w:cs="Arial"/>
          <w:i/>
          <w:lang w:val="en-GB"/>
        </w:rPr>
        <w:t>“uncertified”</w:t>
      </w:r>
      <w:r w:rsidRPr="0028108F">
        <w:rPr>
          <w:rFonts w:ascii="Arial" w:hAnsi="Arial" w:cs="Arial"/>
          <w:lang w:val="en-GB"/>
        </w:rPr>
        <w:t xml:space="preserve"> copies in California, New Jersey (unclear if it includes gender), North Carolina, South Dakota, and Wisconsin (except in limited cases).  See 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Michigan Journal of Gender &amp; Law</w:t>
      </w:r>
      <w:r w:rsidRPr="00181CF2">
        <w:rPr>
          <w:rFonts w:ascii="Arial" w:hAnsi="Arial" w:cs="Arial"/>
          <w:lang w:val="en-GB"/>
        </w:rPr>
        <w:t xml:space="preserve"> 373 to 470 (2013), at 441 and 442, footnote 265.</w:t>
      </w:r>
    </w:p>
  </w:footnote>
  <w:footnote w:id="359">
    <w:p w:rsidR="006167D0" w:rsidRPr="0089199A" w:rsidRDefault="006167D0" w:rsidP="004633AF">
      <w:pPr>
        <w:pStyle w:val="FootnoteText"/>
        <w:tabs>
          <w:tab w:val="left" w:pos="851"/>
        </w:tabs>
        <w:ind w:left="709" w:hanging="709"/>
        <w:jc w:val="both"/>
        <w:rPr>
          <w:rFonts w:ascii="Arial" w:hAnsi="Arial" w:cs="Arial"/>
          <w:lang w:val="en-GB"/>
        </w:rPr>
      </w:pPr>
      <w:r w:rsidRPr="0089199A">
        <w:rPr>
          <w:rFonts w:ascii="Arial" w:hAnsi="Arial" w:cs="Arial"/>
          <w:lang w:val="en-GB"/>
        </w:rPr>
        <w:footnoteRef/>
      </w:r>
      <w:r w:rsidRPr="0089199A">
        <w:rPr>
          <w:rFonts w:ascii="Arial" w:hAnsi="Arial" w:cs="Arial"/>
          <w:lang w:val="en-GB"/>
        </w:rPr>
        <w:t xml:space="preserve"> </w:t>
      </w:r>
      <w:r w:rsidRPr="0089199A">
        <w:rPr>
          <w:rFonts w:ascii="Arial" w:hAnsi="Arial" w:cs="Arial"/>
          <w:lang w:val="en-GB"/>
        </w:rPr>
        <w:tab/>
        <w:t xml:space="preserve">See Lisa Mottet, “Modernizing State Vital Statistics Statutes and Policies to Ensure Accurate Gender Markers on Birth Certificates: A Good Government Approach to Recognizing the Lives of Transgender People”, 19 </w:t>
      </w:r>
      <w:r w:rsidRPr="0089199A">
        <w:rPr>
          <w:rFonts w:ascii="Arial" w:hAnsi="Arial" w:cs="Arial"/>
          <w:i/>
          <w:lang w:val="en-GB"/>
        </w:rPr>
        <w:t>Michigan Journal of Gender &amp; Law</w:t>
      </w:r>
      <w:r w:rsidRPr="0089199A">
        <w:rPr>
          <w:rFonts w:ascii="Arial" w:hAnsi="Arial" w:cs="Arial"/>
          <w:lang w:val="en-GB"/>
        </w:rPr>
        <w:t xml:space="preserve"> 373 to 470 (2013), at 441 and 442, footnote 265.</w:t>
      </w:r>
    </w:p>
  </w:footnote>
  <w:footnote w:id="360">
    <w:p w:rsidR="006167D0" w:rsidRPr="0089199A" w:rsidRDefault="006167D0" w:rsidP="004633AF">
      <w:pPr>
        <w:pStyle w:val="FootnoteText"/>
        <w:tabs>
          <w:tab w:val="left" w:pos="851"/>
        </w:tabs>
        <w:ind w:left="709" w:hanging="709"/>
        <w:jc w:val="both"/>
        <w:rPr>
          <w:rFonts w:ascii="Arial" w:hAnsi="Arial" w:cs="Arial"/>
          <w:lang w:val="en-GB"/>
        </w:rPr>
      </w:pPr>
      <w:r w:rsidRPr="0089199A">
        <w:rPr>
          <w:rFonts w:ascii="Arial" w:hAnsi="Arial" w:cs="Arial"/>
          <w:lang w:val="en-GB"/>
        </w:rPr>
        <w:footnoteRef/>
      </w:r>
      <w:r w:rsidRPr="0089199A">
        <w:rPr>
          <w:rFonts w:ascii="Arial" w:hAnsi="Arial" w:cs="Arial"/>
          <w:lang w:val="en-GB"/>
        </w:rPr>
        <w:t xml:space="preserve"> </w:t>
      </w:r>
      <w:r w:rsidRPr="0089199A">
        <w:rPr>
          <w:rFonts w:ascii="Arial" w:hAnsi="Arial" w:cs="Arial"/>
          <w:lang w:val="en-GB"/>
        </w:rPr>
        <w:tab/>
        <w:t xml:space="preserve">825 N.E.2d 303, 310. </w:t>
      </w:r>
    </w:p>
  </w:footnote>
  <w:footnote w:id="361">
    <w:p w:rsidR="006167D0" w:rsidRPr="0089199A" w:rsidRDefault="006167D0" w:rsidP="004633AF">
      <w:pPr>
        <w:pStyle w:val="FootnoteText"/>
        <w:tabs>
          <w:tab w:val="left" w:pos="851"/>
        </w:tabs>
        <w:ind w:left="709" w:hanging="709"/>
        <w:jc w:val="both"/>
        <w:rPr>
          <w:rFonts w:ascii="Arial" w:hAnsi="Arial" w:cs="Arial"/>
          <w:lang w:val="en-GB"/>
        </w:rPr>
      </w:pPr>
      <w:r w:rsidRPr="0089199A">
        <w:rPr>
          <w:rFonts w:ascii="Arial" w:hAnsi="Arial" w:cs="Arial"/>
          <w:lang w:val="en-GB"/>
        </w:rPr>
        <w:footnoteRef/>
      </w:r>
      <w:r w:rsidRPr="0089199A">
        <w:rPr>
          <w:rFonts w:ascii="Arial" w:hAnsi="Arial" w:cs="Arial"/>
          <w:lang w:val="en-GB"/>
        </w:rPr>
        <w:t xml:space="preserve"> </w:t>
      </w:r>
      <w:r w:rsidRPr="0089199A">
        <w:rPr>
          <w:rFonts w:ascii="Arial" w:hAnsi="Arial" w:cs="Arial"/>
          <w:lang w:val="en-GB"/>
        </w:rPr>
        <w:tab/>
        <w:t xml:space="preserve">See American Civil Liberties Union, </w:t>
      </w:r>
      <w:r w:rsidRPr="0089199A">
        <w:rPr>
          <w:rFonts w:ascii="Arial" w:hAnsi="Arial" w:cs="Arial"/>
          <w:i/>
          <w:lang w:val="en-GB"/>
        </w:rPr>
        <w:t>Know Your Rights – Transgender People and the Law</w:t>
      </w:r>
      <w:r w:rsidRPr="0089199A">
        <w:rPr>
          <w:rFonts w:ascii="Arial" w:hAnsi="Arial" w:cs="Arial"/>
          <w:lang w:val="en-GB"/>
        </w:rPr>
        <w:t xml:space="preserve">, 24 April 2013. </w:t>
      </w:r>
    </w:p>
  </w:footnote>
  <w:footnote w:id="362">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 new guidelines are available at:</w:t>
      </w:r>
    </w:p>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40" w:history="1">
        <w:r w:rsidRPr="008813DE">
          <w:rPr>
            <w:rStyle w:val="Hyperlink"/>
            <w:rFonts w:ascii="Arial" w:hAnsi="Arial" w:cs="Arial"/>
            <w:lang w:val="en-GB"/>
          </w:rPr>
          <w:t>http://www.empirejustice.org/assets/pdf/policy-advocacy/doh-bc.pdf</w:t>
        </w:r>
      </w:hyperlink>
      <w:r w:rsidRPr="0028108F">
        <w:rPr>
          <w:rFonts w:ascii="Arial" w:hAnsi="Arial" w:cs="Arial"/>
          <w:lang w:val="en-GB"/>
        </w:rPr>
        <w:t xml:space="preserve">.  See news report of </w:t>
      </w:r>
      <w:r w:rsidRPr="00F35E92">
        <w:rPr>
          <w:rStyle w:val="citation"/>
          <w:rFonts w:ascii="Arial" w:hAnsi="Arial" w:cs="Arial"/>
          <w:i/>
          <w:iCs/>
          <w:color w:val="000000" w:themeColor="text1"/>
          <w:lang w:val="en-GB"/>
        </w:rPr>
        <w:t>Washington Post</w:t>
      </w:r>
      <w:r w:rsidRPr="00181CF2">
        <w:rPr>
          <w:rStyle w:val="citation"/>
          <w:rFonts w:ascii="Arial" w:hAnsi="Arial" w:cs="Arial"/>
          <w:color w:val="000000" w:themeColor="text1"/>
          <w:lang w:val="en-GB"/>
        </w:rPr>
        <w:t xml:space="preserve"> (19 Decembe</w:t>
      </w:r>
      <w:r w:rsidRPr="00C57CE1">
        <w:rPr>
          <w:rStyle w:val="citation"/>
          <w:rFonts w:ascii="Arial" w:hAnsi="Arial" w:cs="Arial"/>
          <w:color w:val="000000" w:themeColor="text1"/>
          <w:lang w:val="en-GB"/>
        </w:rPr>
        <w:t xml:space="preserve">r 2013), </w:t>
      </w:r>
      <w:r w:rsidRPr="0028108F">
        <w:rPr>
          <w:rStyle w:val="citation"/>
          <w:rFonts w:ascii="Arial" w:hAnsi="Arial" w:cs="Arial"/>
          <w:color w:val="000000" w:themeColor="text1"/>
          <w:lang w:val="en-GB"/>
        </w:rPr>
        <w:t>“New Mexico Supreme Court legalizes gay marriage”</w:t>
      </w:r>
      <w:r w:rsidRPr="00181CF2">
        <w:rPr>
          <w:rStyle w:val="Hyperlink"/>
          <w:rFonts w:ascii="Arial" w:hAnsi="Arial" w:cs="Arial"/>
          <w:color w:val="000000" w:themeColor="text1"/>
          <w:u w:val="none"/>
          <w:lang w:val="en-GB"/>
        </w:rPr>
        <w:t>.</w:t>
      </w:r>
      <w:r w:rsidRPr="00C57CE1">
        <w:rPr>
          <w:rStyle w:val="citation"/>
          <w:rFonts w:ascii="Arial" w:hAnsi="Arial" w:cs="Arial"/>
          <w:color w:val="000000" w:themeColor="text1"/>
          <w:lang w:val="en-GB"/>
        </w:rPr>
        <w:t xml:space="preserve">  </w:t>
      </w:r>
      <w:r w:rsidRPr="0028108F">
        <w:rPr>
          <w:rStyle w:val="citation"/>
          <w:rFonts w:ascii="Arial" w:hAnsi="Arial" w:cs="Arial"/>
          <w:color w:val="000000" w:themeColor="text1"/>
          <w:lang w:val="en-GB"/>
        </w:rPr>
        <w:t xml:space="preserve">See also another news report of </w:t>
      </w:r>
      <w:r w:rsidRPr="00F35E92">
        <w:rPr>
          <w:rStyle w:val="citation"/>
          <w:rFonts w:ascii="Arial" w:hAnsi="Arial" w:cs="Arial"/>
          <w:i/>
          <w:color w:val="000000" w:themeColor="text1"/>
          <w:lang w:val="en-GB"/>
        </w:rPr>
        <w:t>Empire State Pride Agenda</w:t>
      </w:r>
      <w:r w:rsidRPr="00F35E92">
        <w:rPr>
          <w:rStyle w:val="citation"/>
          <w:rFonts w:ascii="Arial" w:hAnsi="Arial" w:cs="Arial"/>
          <w:color w:val="000000" w:themeColor="text1"/>
          <w:lang w:val="en-GB"/>
        </w:rPr>
        <w:t xml:space="preserve"> </w:t>
      </w:r>
      <w:r w:rsidRPr="00181CF2">
        <w:rPr>
          <w:rStyle w:val="citation"/>
          <w:rFonts w:ascii="Arial" w:hAnsi="Arial" w:cs="Arial"/>
          <w:color w:val="000000" w:themeColor="text1"/>
          <w:lang w:val="en-GB"/>
        </w:rPr>
        <w:t xml:space="preserve">(5 June 2014), </w:t>
      </w:r>
      <w:r w:rsidRPr="00C57CE1">
        <w:rPr>
          <w:rStyle w:val="citation"/>
          <w:rFonts w:ascii="Arial" w:hAnsi="Arial" w:cs="Arial"/>
          <w:color w:val="000000" w:themeColor="text1"/>
          <w:lang w:val="en-GB"/>
        </w:rPr>
        <w:t>“</w:t>
      </w:r>
      <w:r w:rsidRPr="0028108F">
        <w:rPr>
          <w:rStyle w:val="citation"/>
          <w:rFonts w:ascii="Arial" w:hAnsi="Arial" w:cs="Arial"/>
          <w:color w:val="000000" w:themeColor="text1"/>
          <w:lang w:val="en-GB"/>
        </w:rPr>
        <w:t>Breaking: New York Removes Surgical Requirement For Gender Marker Changes On Birth Certificates”</w:t>
      </w:r>
      <w:r w:rsidRPr="00181CF2">
        <w:rPr>
          <w:rStyle w:val="citation"/>
          <w:rFonts w:ascii="Arial" w:hAnsi="Arial" w:cs="Arial"/>
          <w:color w:val="000000" w:themeColor="text1"/>
          <w:lang w:val="en-GB"/>
        </w:rPr>
        <w:t>.</w:t>
      </w:r>
    </w:p>
  </w:footnote>
  <w:footnote w:id="36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previous policy could be seen in letters issued by the Department of Health to individuals seeking to change their gender on their birth certificates: see, eg, letter from New York State Department of Health Director of Bureau of Production Systems Management Peter M Carucci (20 September 2005).  </w:t>
      </w:r>
    </w:p>
  </w:footnote>
  <w:footnote w:id="364">
    <w:p w:rsidR="0022178B" w:rsidRPr="00C57CE1"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28108F">
        <w:rPr>
          <w:rStyle w:val="citation"/>
          <w:rFonts w:ascii="Arial" w:hAnsi="Arial" w:cs="Arial"/>
          <w:i/>
          <w:iCs/>
          <w:color w:val="000000" w:themeColor="text1"/>
          <w:lang w:val="en-GB"/>
        </w:rPr>
        <w:t>Glaad.org</w:t>
      </w:r>
      <w:r w:rsidRPr="00181CF2">
        <w:rPr>
          <w:rStyle w:val="citation"/>
          <w:rFonts w:ascii="Arial" w:hAnsi="Arial" w:cs="Arial"/>
          <w:iCs/>
          <w:color w:val="000000" w:themeColor="text1"/>
          <w:lang w:val="en-GB"/>
        </w:rPr>
        <w:t xml:space="preserve"> </w:t>
      </w:r>
      <w:r w:rsidRPr="00C57CE1">
        <w:rPr>
          <w:rStyle w:val="citation"/>
          <w:rFonts w:ascii="Arial" w:hAnsi="Arial" w:cs="Arial"/>
          <w:color w:val="000000" w:themeColor="text1"/>
          <w:lang w:val="en-GB"/>
        </w:rPr>
        <w:t xml:space="preserve">(5 June 2014), </w:t>
      </w:r>
      <w:r w:rsidRPr="0028108F">
        <w:rPr>
          <w:rStyle w:val="citation"/>
          <w:rFonts w:ascii="Arial" w:hAnsi="Arial" w:cs="Arial"/>
          <w:color w:val="000000" w:themeColor="text1"/>
          <w:lang w:val="en-GB"/>
        </w:rPr>
        <w:t>“New York State updates birth certificate policy, but obstacles remain for those born in NYC”</w:t>
      </w:r>
      <w:r w:rsidRPr="00181CF2">
        <w:rPr>
          <w:rStyle w:val="citation"/>
          <w:rFonts w:ascii="Arial" w:hAnsi="Arial" w:cs="Arial"/>
          <w:color w:val="000000" w:themeColor="text1"/>
          <w:lang w:val="en-GB"/>
        </w:rPr>
        <w:t xml:space="preserve">. </w:t>
      </w:r>
    </w:p>
  </w:footnote>
  <w:footnote w:id="365">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i/>
          <w:lang w:val="en-GB"/>
        </w:rPr>
        <w:t>CF v Alberta</w:t>
      </w:r>
      <w:r w:rsidRPr="00181CF2">
        <w:rPr>
          <w:rFonts w:ascii="Arial" w:hAnsi="Arial" w:cs="Arial"/>
          <w:lang w:val="en-GB"/>
        </w:rPr>
        <w:t xml:space="preserve"> (Vital Statistics), 2014 ABQB 237, and </w:t>
      </w:r>
      <w:r w:rsidRPr="0028108F">
        <w:rPr>
          <w:rFonts w:ascii="Arial" w:hAnsi="Arial" w:cs="Arial"/>
          <w:i/>
          <w:lang w:val="en-GB"/>
        </w:rPr>
        <w:t>XY v Ontario</w:t>
      </w:r>
      <w:r w:rsidRPr="00181CF2">
        <w:rPr>
          <w:rFonts w:ascii="Arial" w:hAnsi="Arial" w:cs="Arial"/>
          <w:lang w:val="en-GB"/>
        </w:rPr>
        <w:t xml:space="preserve"> (Governme</w:t>
      </w:r>
      <w:r w:rsidRPr="00C57CE1">
        <w:rPr>
          <w:rFonts w:ascii="Arial" w:hAnsi="Arial" w:cs="Arial"/>
          <w:lang w:val="en-GB"/>
        </w:rPr>
        <w:t>nt and Consumer Services), 2012 HRTO 726</w:t>
      </w:r>
    </w:p>
  </w:footnote>
  <w:footnote w:id="36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Statutes Amendment Act (SA 2014) c8, formerly Bill 12 which was introduced on 5 May 2014, received Royal Assent on May 14, 2014. </w:t>
      </w:r>
    </w:p>
  </w:footnote>
  <w:footnote w:id="367">
    <w:p w:rsidR="0022178B" w:rsidRPr="0028108F" w:rsidRDefault="0022178B" w:rsidP="0028108F">
      <w:pPr>
        <w:pStyle w:val="FootnoteText"/>
        <w:tabs>
          <w:tab w:val="left" w:pos="851"/>
        </w:tabs>
        <w:ind w:left="709" w:hanging="709"/>
        <w:jc w:val="both"/>
        <w:rPr>
          <w:rFonts w:ascii="Arial" w:hAnsi="Arial" w:cs="Arial"/>
        </w:rPr>
      </w:pPr>
      <w:r w:rsidRPr="0028108F">
        <w:rPr>
          <w:rFonts w:ascii="Arial" w:hAnsi="Arial" w:cs="Arial"/>
          <w:lang w:val="en-GB"/>
        </w:rPr>
        <w:footnoteRef/>
      </w:r>
      <w:r w:rsidRPr="0028108F">
        <w:rPr>
          <w:rFonts w:ascii="Arial" w:hAnsi="Arial" w:cs="Arial"/>
          <w:lang w:val="en-GB"/>
        </w:rPr>
        <w:t xml:space="preserve"> </w:t>
      </w:r>
      <w:r w:rsidRPr="00181CF2">
        <w:rPr>
          <w:rFonts w:ascii="Arial" w:hAnsi="Arial" w:cs="Arial"/>
          <w:lang w:val="en-GB"/>
        </w:rPr>
        <w:tab/>
      </w:r>
      <w:r w:rsidRPr="0028108F">
        <w:rPr>
          <w:rFonts w:ascii="Arial" w:hAnsi="Arial" w:cs="Arial"/>
          <w:lang w:val="en-GB"/>
        </w:rPr>
        <w:t>Vital Statistics Information Regulation (current version in force since 25 October 2016), Regulation 16.3.</w:t>
      </w:r>
    </w:p>
  </w:footnote>
  <w:footnote w:id="368">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color w:val="000000" w:themeColor="text1"/>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On July 20, 2005, Canada became the fourth </w:t>
      </w:r>
      <w:r w:rsidRPr="00C57CE1">
        <w:rPr>
          <w:rFonts w:ascii="Arial" w:hAnsi="Arial" w:cs="Arial"/>
          <w:lang w:val="en-GB"/>
        </w:rPr>
        <w:t xml:space="preserve">country in the world, and the first country outside Europe, to legalise same-sex marriage nationwide with the enactment of the Civil Marriage Act which provided a gender-neutral marriage definition.  See the news report of </w:t>
      </w:r>
      <w:r w:rsidRPr="00F35E92">
        <w:rPr>
          <w:rFonts w:ascii="Arial" w:hAnsi="Arial" w:cs="Arial"/>
          <w:i/>
          <w:lang w:val="en-GB"/>
        </w:rPr>
        <w:t>The New York Times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Canada passes bill to legalize gay marriage”</w:t>
      </w:r>
      <w:r w:rsidRPr="00181CF2">
        <w:rPr>
          <w:rFonts w:ascii="Arial" w:hAnsi="Arial" w:cs="Arial"/>
          <w:lang w:val="en-GB"/>
        </w:rPr>
        <w:t>, 29 June 2005.</w:t>
      </w:r>
    </w:p>
  </w:footnote>
  <w:footnote w:id="369">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Section 25(9) of the Vital Statistics Act. </w:t>
      </w:r>
    </w:p>
  </w:footnote>
  <w:footnote w:id="37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the proforma form for Application for a Change of Sex Designation on a Birth Registration of an Adult, available at:</w:t>
      </w:r>
    </w:p>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Fonts w:ascii="Arial" w:hAnsi="Arial" w:cs="Arial"/>
          <w:color w:val="000000" w:themeColor="text1"/>
          <w:lang w:val="en-GB"/>
        </w:rPr>
        <w:tab/>
      </w:r>
      <w:hyperlink r:id="rId41" w:history="1">
        <w:r w:rsidRPr="008813DE">
          <w:rPr>
            <w:rStyle w:val="Hyperlink"/>
            <w:rFonts w:ascii="Arial" w:hAnsi="Arial" w:cs="Arial"/>
            <w:lang w:val="en-GB"/>
          </w:rPr>
          <w:t>http://www.forms.ssb.gov.on.ca/mbs/ssb/forms/ssbforms.nsf/GetFileAttach/007-11325E~1/$File/11325E.pdf</w:t>
        </w:r>
      </w:hyperlink>
      <w:r w:rsidRPr="0028108F">
        <w:rPr>
          <w:rFonts w:ascii="Arial" w:hAnsi="Arial" w:cs="Arial"/>
          <w:color w:val="000000" w:themeColor="text1"/>
          <w:lang w:val="en-GB"/>
        </w:rPr>
        <w:t>.</w:t>
      </w:r>
    </w:p>
  </w:footnote>
  <w:footnote w:id="371">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These are Alberta, British Columbia, Manitoba, New Brunswick, Newfoundland and Labrador, Ontario, Prince Edward Island, Saskatchewan and Yukon Territory</w:t>
      </w:r>
      <w:r w:rsidRPr="00181CF2">
        <w:rPr>
          <w:rFonts w:ascii="Arial" w:hAnsi="Arial" w:cs="Arial"/>
          <w:lang w:val="en-GB"/>
        </w:rPr>
        <w:t>.</w:t>
      </w:r>
    </w:p>
  </w:footnote>
  <w:footnote w:id="372">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Section 25.1(2) of the Vital Statistics Act. </w:t>
      </w:r>
    </w:p>
  </w:footnote>
  <w:footnote w:id="373">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181CF2">
        <w:rPr>
          <w:rStyle w:val="FootnoteReference"/>
          <w:rFonts w:ascii="Arial" w:hAnsi="Arial" w:cs="Arial"/>
          <w:color w:val="000000" w:themeColor="text1"/>
          <w:vertAlign w:val="baseline"/>
          <w:lang w:val="en-GB"/>
        </w:rPr>
        <w:footnoteRef/>
      </w:r>
      <w:r w:rsidRPr="00C57CE1">
        <w:rPr>
          <w:rFonts w:ascii="Arial" w:hAnsi="Arial" w:cs="Arial"/>
          <w:lang w:val="en-GB"/>
        </w:rPr>
        <w:t xml:space="preserve"> </w:t>
      </w:r>
      <w:r w:rsidRPr="00C57CE1">
        <w:rPr>
          <w:rFonts w:ascii="Arial" w:hAnsi="Arial" w:cs="Arial"/>
          <w:lang w:val="en-GB"/>
        </w:rPr>
        <w:tab/>
        <w:t xml:space="preserve">See The Mex Files (20 August 2008), </w:t>
      </w:r>
      <w:r w:rsidRPr="0028108F">
        <w:rPr>
          <w:rFonts w:ascii="Arial" w:hAnsi="Arial" w:cs="Arial"/>
          <w:lang w:val="en-GB"/>
        </w:rPr>
        <w:t>“Changing with times”</w:t>
      </w:r>
      <w:r w:rsidRPr="00181CF2">
        <w:rPr>
          <w:rFonts w:ascii="Arial" w:hAnsi="Arial" w:cs="Arial"/>
          <w:lang w:val="en-GB"/>
        </w:rPr>
        <w:t xml:space="preserve">.  </w:t>
      </w:r>
      <w:r w:rsidRPr="0028108F">
        <w:rPr>
          <w:rFonts w:ascii="Arial" w:hAnsi="Arial" w:cs="Arial"/>
          <w:lang w:val="en-GB"/>
        </w:rPr>
        <w:t>See also Table of Gender Recognition Systems in Approved Countries and Territories Under the Gender Recognition Act 2004 (June 2011)</w:t>
      </w:r>
      <w:r w:rsidRPr="0028108F">
        <w:rPr>
          <w:rFonts w:ascii="Arial" w:hAnsi="Arial" w:cs="Arial"/>
          <w:color w:val="000000" w:themeColor="text1"/>
          <w:lang w:val="en-GB"/>
        </w:rPr>
        <w:t xml:space="preserve">.  </w:t>
      </w:r>
    </w:p>
  </w:footnote>
  <w:footnote w:id="374">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International Gay and Lesbian Human Right Commission (undated), “Mexico: Mexico City extends official rights to transgender individuals”</w:t>
      </w:r>
      <w:r w:rsidRPr="00181CF2">
        <w:rPr>
          <w:rFonts w:ascii="Arial" w:hAnsi="Arial" w:cs="Arial"/>
          <w:lang w:val="en-GB"/>
        </w:rPr>
        <w:t>.</w:t>
      </w:r>
    </w:p>
  </w:footnote>
  <w:footnote w:id="375">
    <w:p w:rsidR="0022178B" w:rsidRPr="00181CF2"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International Gay and Lesbian Human Rights Commission, International Human Rights Clinic, Human Rights Program, Harvard Law School Colectivo Binni Laanu A.C. (March 2010), “The Violations of the Rights of Lesbian, Gay, Bisexual and Transgender Persons in MEXICO”</w:t>
      </w:r>
      <w:r w:rsidRPr="00181CF2">
        <w:rPr>
          <w:rFonts w:ascii="Arial" w:hAnsi="Arial" w:cs="Arial"/>
          <w:lang w:val="en-GB"/>
        </w:rPr>
        <w:t xml:space="preserve">, at 13. </w:t>
      </w:r>
    </w:p>
  </w:footnote>
  <w:footnote w:id="376">
    <w:p w:rsidR="0022178B" w:rsidRPr="0028108F"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news reports at:</w:t>
      </w:r>
    </w:p>
    <w:p w:rsidR="0022178B" w:rsidRPr="0028108F" w:rsidRDefault="0022178B" w:rsidP="00071656">
      <w:pPr>
        <w:pStyle w:val="FootnoteText"/>
        <w:tabs>
          <w:tab w:val="left" w:pos="851"/>
        </w:tabs>
        <w:ind w:left="709" w:hanging="709"/>
        <w:rPr>
          <w:rFonts w:ascii="Arial" w:hAnsi="Arial" w:cs="Arial"/>
          <w:color w:val="000000" w:themeColor="text1"/>
          <w:lang w:val="en-GB"/>
        </w:rPr>
      </w:pPr>
      <w:r w:rsidRPr="0028108F">
        <w:rPr>
          <w:rFonts w:ascii="Arial" w:hAnsi="Arial" w:cs="Arial"/>
          <w:color w:val="000000" w:themeColor="text1"/>
          <w:lang w:val="en-GB"/>
        </w:rPr>
        <w:tab/>
      </w:r>
      <w:hyperlink r:id="rId42" w:history="1">
        <w:r w:rsidRPr="008813DE">
          <w:rPr>
            <w:rStyle w:val="Hyperlink"/>
            <w:rFonts w:ascii="Arial" w:hAnsi="Arial" w:cs="Arial"/>
            <w:lang w:val="en-GB"/>
          </w:rPr>
          <w:t>http://www.hrc.org/blog/entry/victory-for-transgender-community-in-mexico-city</w:t>
        </w:r>
      </w:hyperlink>
      <w:r w:rsidRPr="0028108F">
        <w:rPr>
          <w:rFonts w:ascii="Arial" w:hAnsi="Arial" w:cs="Arial"/>
          <w:color w:val="000000" w:themeColor="text1"/>
          <w:lang w:val="en-GB"/>
        </w:rPr>
        <w:t xml:space="preserve"> and </w:t>
      </w:r>
      <w:hyperlink r:id="rId43" w:history="1">
        <w:r w:rsidRPr="008813DE">
          <w:rPr>
            <w:rStyle w:val="Hyperlink"/>
            <w:rFonts w:ascii="Arial" w:hAnsi="Arial" w:cs="Arial"/>
            <w:lang w:val="en-GB"/>
          </w:rPr>
          <w:t>http://www.mexicogulfreporter.com/2014/11/gender-change-in-mexicos-federal.html</w:t>
        </w:r>
      </w:hyperlink>
      <w:r w:rsidRPr="0028108F">
        <w:rPr>
          <w:rFonts w:ascii="Arial" w:hAnsi="Arial" w:cs="Arial"/>
          <w:color w:val="000000" w:themeColor="text1"/>
          <w:lang w:val="en-GB"/>
        </w:rPr>
        <w:t xml:space="preserve">. </w:t>
      </w:r>
    </w:p>
  </w:footnote>
  <w:footnote w:id="37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This remark was made by Jorge Cruz Zepeda, President of the Federal District’s Committee on Vulnerable Groups to the legislators.  See the news report of 13 November 2014 at: </w:t>
      </w:r>
    </w:p>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Fonts w:ascii="Arial" w:hAnsi="Arial" w:cs="Arial"/>
          <w:color w:val="000000" w:themeColor="text1"/>
          <w:lang w:val="en-GB"/>
        </w:rPr>
        <w:tab/>
      </w:r>
      <w:hyperlink r:id="rId44" w:history="1">
        <w:r w:rsidRPr="008813DE">
          <w:rPr>
            <w:rStyle w:val="Hyperlink"/>
            <w:rFonts w:ascii="Arial" w:hAnsi="Arial" w:cs="Arial"/>
            <w:lang w:val="en-GB"/>
          </w:rPr>
          <w:t>http://www.mexicogulfreporter.com/2014/11/gender-change-in-mexicos-federal.html</w:t>
        </w:r>
      </w:hyperlink>
      <w:r w:rsidRPr="0028108F">
        <w:rPr>
          <w:rFonts w:ascii="Arial" w:hAnsi="Arial" w:cs="Arial"/>
          <w:color w:val="000000" w:themeColor="text1"/>
          <w:lang w:val="en-GB"/>
        </w:rPr>
        <w:t xml:space="preserve">. </w:t>
      </w:r>
    </w:p>
  </w:footnote>
  <w:footnote w:id="378">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Peter Dunne, 21 October 2013, “Respecting Trans* Identities: Recent Movements For the Legal Recognition On Gender Identity in Latin America”</w:t>
      </w:r>
      <w:r w:rsidRPr="00181CF2">
        <w:rPr>
          <w:rFonts w:ascii="Arial" w:hAnsi="Arial" w:cs="Arial"/>
          <w:lang w:val="en-GB"/>
        </w:rPr>
        <w:t xml:space="preserve">. </w:t>
      </w:r>
    </w:p>
  </w:footnote>
  <w:footnote w:id="379">
    <w:p w:rsidR="0022178B" w:rsidRPr="00181CF2"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This statu</w:t>
      </w:r>
      <w:r>
        <w:rPr>
          <w:rFonts w:ascii="Arial" w:hAnsi="Arial" w:cs="Arial"/>
          <w:lang w:val="en-GB"/>
        </w:rPr>
        <w:t>t</w:t>
      </w:r>
      <w:r w:rsidRPr="0028108F">
        <w:rPr>
          <w:rFonts w:ascii="Arial" w:hAnsi="Arial" w:cs="Arial"/>
          <w:lang w:val="en-GB"/>
        </w:rPr>
        <w:t>e has been once hailed as “the most progressive gender identity law in history”.  See Salum, AN (2012), “Argentina has passed the most progressive gender identity legislation in existence”</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 xml:space="preserve">International Gay and Lesbian Human Rights Commission Blog </w:t>
      </w:r>
      <w:r w:rsidRPr="00181CF2">
        <w:rPr>
          <w:rFonts w:ascii="Arial" w:hAnsi="Arial" w:cs="Arial"/>
          <w:lang w:val="en-GB"/>
        </w:rPr>
        <w:t>13 May 2012.</w:t>
      </w:r>
    </w:p>
  </w:footnote>
  <w:footnote w:id="380">
    <w:p w:rsidR="0022178B" w:rsidRPr="00C57CE1"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decree requires an applicant to attest his or her change of gender identity by way of a simple deed in which a notary attests.  See news report of </w:t>
      </w:r>
      <w:r w:rsidRPr="0028108F">
        <w:rPr>
          <w:rFonts w:ascii="Arial" w:hAnsi="Arial" w:cs="Arial"/>
          <w:i/>
          <w:lang w:val="en-GB"/>
        </w:rPr>
        <w:t>El Espectador</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Cambio de género en la cédula será ágil y simple: Minjusticia”</w:t>
      </w:r>
      <w:r w:rsidRPr="00181CF2">
        <w:rPr>
          <w:rFonts w:ascii="Arial" w:hAnsi="Arial" w:cs="Arial"/>
          <w:lang w:val="en-GB"/>
        </w:rPr>
        <w:t>,</w:t>
      </w:r>
      <w:r w:rsidRPr="00C57CE1">
        <w:rPr>
          <w:rFonts w:ascii="Arial" w:hAnsi="Arial" w:cs="Arial"/>
          <w:lang w:val="en-GB"/>
        </w:rPr>
        <w:t xml:space="preserve"> 6 June 2015 (Spanish).</w:t>
      </w:r>
    </w:p>
  </w:footnote>
  <w:footnote w:id="38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English Translation of Argentina’s Gender Identity Law as approved by the Senate of Argentina on 8 May 2012, available at:</w:t>
      </w:r>
      <w:r>
        <w:rPr>
          <w:rFonts w:ascii="Arial" w:hAnsi="Arial" w:cs="Arial"/>
          <w:lang w:val="en-GB"/>
        </w:rPr>
        <w:t xml:space="preserve"> </w:t>
      </w:r>
    </w:p>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Fonts w:ascii="Arial" w:hAnsi="Arial" w:cs="Arial"/>
          <w:color w:val="000000" w:themeColor="text1"/>
          <w:lang w:val="en-GB"/>
        </w:rPr>
        <w:tab/>
      </w:r>
      <w:hyperlink r:id="rId45" w:history="1">
        <w:r w:rsidRPr="008813DE">
          <w:rPr>
            <w:rStyle w:val="Hyperlink"/>
            <w:rFonts w:ascii="Arial" w:hAnsi="Arial" w:cs="Arial"/>
            <w:lang w:val="en-GB"/>
          </w:rPr>
          <w:t>http://globaltransaction.files.wordpress.com/2012/05/argentina-gender-identity-law.pdf</w:t>
        </w:r>
      </w:hyperlink>
      <w:r w:rsidRPr="008813DE">
        <w:t>.</w:t>
      </w:r>
    </w:p>
  </w:footnote>
  <w:footnote w:id="382">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The Open Society Foundations, “License To Be Yourself: Law and Advocacy for Legal Gender Recognition of Trans People”</w:t>
      </w:r>
      <w:r w:rsidRPr="00181CF2">
        <w:rPr>
          <w:rFonts w:ascii="Arial" w:hAnsi="Arial" w:cs="Arial"/>
          <w:lang w:val="en-GB"/>
        </w:rPr>
        <w:t xml:space="preserve">, May 2014, at </w:t>
      </w:r>
      <w:r w:rsidRPr="0028108F">
        <w:rPr>
          <w:rFonts w:ascii="Arial" w:hAnsi="Arial" w:cs="Arial"/>
          <w:lang w:val="en-GB"/>
        </w:rPr>
        <w:t>28.</w:t>
      </w:r>
    </w:p>
  </w:footnote>
  <w:footnote w:id="38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 WPATH Board has explicitly supported the approach taken in the Argentinean law as in August 2013 it provided advice to courts and governments in Ontario in Canada, South Korea and Ireland arguing that legal gender recognition should not require a diagnosis, medical treatments, or that a trans person has lived for a set period in their preferred gender role.  See the President’s Note dated 5 August 2013 from the WPATH President, Mr Lin Fraser. </w:t>
      </w:r>
    </w:p>
  </w:footnote>
  <w:footnote w:id="384">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Regionally, there are proposals being developed in Chile and Ecuador that are based on self-perceived gender identity.  See The Open Society Foundations, “License To Be Yourself: Law and Advocacy for Legal Gender Recognition of Trans People”</w:t>
      </w:r>
      <w:r w:rsidRPr="00181CF2">
        <w:rPr>
          <w:rFonts w:ascii="Arial" w:hAnsi="Arial" w:cs="Arial"/>
          <w:lang w:val="en-GB"/>
        </w:rPr>
        <w:t>,</w:t>
      </w:r>
      <w:r w:rsidRPr="00C57CE1">
        <w:rPr>
          <w:rFonts w:ascii="Arial" w:hAnsi="Arial" w:cs="Arial"/>
          <w:lang w:val="en-GB"/>
        </w:rPr>
        <w:t xml:space="preserve"> May 2014, at 41.</w:t>
      </w:r>
    </w:p>
  </w:footnote>
  <w:footnote w:id="385">
    <w:p w:rsidR="0022178B" w:rsidRPr="00952CA7" w:rsidRDefault="0022178B">
      <w:pPr>
        <w:pStyle w:val="FootnoteText"/>
        <w:tabs>
          <w:tab w:val="left" w:pos="851"/>
        </w:tabs>
        <w:ind w:left="709" w:hanging="709"/>
        <w:jc w:val="both"/>
        <w:rPr>
          <w:rFonts w:ascii="Arial" w:hAnsi="Arial" w:cs="Arial"/>
          <w:color w:val="000000" w:themeColor="text1"/>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The Open Society Foundations, “License To Be Yourself: Law and Advocacy for Legal Gende</w:t>
      </w:r>
      <w:r w:rsidRPr="00952CA7">
        <w:rPr>
          <w:rFonts w:ascii="Arial" w:hAnsi="Arial" w:cs="Arial"/>
          <w:color w:val="000000" w:themeColor="text1"/>
          <w:lang w:val="en-GB"/>
        </w:rPr>
        <w:t>r Recognition of Trans People”, May 2014, at 23.  See also Richard Köhler</w:t>
      </w:r>
      <w:r>
        <w:rPr>
          <w:rFonts w:ascii="Arial" w:hAnsi="Arial" w:cs="Arial" w:hint="eastAsia"/>
          <w:color w:val="000000" w:themeColor="text1"/>
          <w:lang w:val="en-GB" w:eastAsia="zh-TW"/>
        </w:rPr>
        <w:t xml:space="preserve"> and </w:t>
      </w:r>
      <w:r w:rsidRPr="00952CA7">
        <w:rPr>
          <w:rFonts w:ascii="Arial" w:hAnsi="Arial" w:cs="Arial"/>
          <w:color w:val="000000" w:themeColor="text1"/>
          <w:lang w:val="en-GB"/>
        </w:rPr>
        <w:t xml:space="preserve">Alecs Recher, </w:t>
      </w:r>
      <w:r w:rsidRPr="008813DE">
        <w:rPr>
          <w:rFonts w:ascii="Arial" w:hAnsi="Arial" w:cs="Arial"/>
          <w:i/>
          <w:color w:val="000000" w:themeColor="text1"/>
          <w:lang w:val="en-GB"/>
        </w:rPr>
        <w:t>Legal Gender Recognition in Europe – Toolkit</w:t>
      </w:r>
      <w:r w:rsidRPr="00952CA7">
        <w:rPr>
          <w:rFonts w:ascii="Arial" w:hAnsi="Arial" w:cs="Arial"/>
          <w:color w:val="000000" w:themeColor="text1"/>
          <w:lang w:val="en-GB"/>
        </w:rPr>
        <w:t xml:space="preserve">, </w:t>
      </w:r>
      <w:r>
        <w:rPr>
          <w:rFonts w:ascii="Arial" w:hAnsi="Arial" w:cs="Arial" w:hint="eastAsia"/>
          <w:color w:val="000000" w:themeColor="text1"/>
          <w:lang w:val="en-GB" w:eastAsia="zh-TW"/>
        </w:rPr>
        <w:t>2nd Revised Edition, November 2016</w:t>
      </w:r>
      <w:r w:rsidRPr="00952CA7">
        <w:rPr>
          <w:rFonts w:ascii="Arial" w:hAnsi="Arial" w:cs="Arial"/>
          <w:color w:val="000000" w:themeColor="text1"/>
          <w:lang w:val="en-GB"/>
        </w:rPr>
        <w:t xml:space="preserve">, at </w:t>
      </w:r>
      <w:r>
        <w:rPr>
          <w:rFonts w:ascii="Arial" w:hAnsi="Arial" w:cs="Arial" w:hint="eastAsia"/>
          <w:color w:val="000000" w:themeColor="text1"/>
          <w:lang w:val="en-GB" w:eastAsia="zh-TW"/>
        </w:rPr>
        <w:t>7</w:t>
      </w:r>
      <w:r w:rsidRPr="00952CA7">
        <w:rPr>
          <w:rFonts w:ascii="Arial" w:hAnsi="Arial" w:cs="Arial"/>
          <w:color w:val="000000" w:themeColor="text1"/>
          <w:lang w:val="en-GB"/>
        </w:rPr>
        <w:t>2.</w:t>
      </w:r>
    </w:p>
  </w:footnote>
  <w:footnote w:id="386">
    <w:p w:rsidR="0022178B" w:rsidRPr="0028108F" w:rsidRDefault="0022178B" w:rsidP="004A47D5">
      <w:pPr>
        <w:pStyle w:val="FootnoteText"/>
        <w:tabs>
          <w:tab w:val="left" w:pos="851"/>
        </w:tabs>
        <w:ind w:left="709" w:hanging="709"/>
        <w:jc w:val="both"/>
        <w:rPr>
          <w:rFonts w:ascii="Arial" w:hAnsi="Arial" w:cs="Arial"/>
          <w:lang w:val="en-GB"/>
        </w:rPr>
      </w:pPr>
      <w:r w:rsidRPr="00952CA7">
        <w:rPr>
          <w:rStyle w:val="FootnoteReference"/>
          <w:rFonts w:ascii="Arial" w:hAnsi="Arial" w:cs="Arial"/>
          <w:color w:val="000000" w:themeColor="text1"/>
          <w:vertAlign w:val="baseline"/>
          <w:lang w:val="en-GB"/>
        </w:rPr>
        <w:footnoteRef/>
      </w:r>
      <w:r w:rsidRPr="00952CA7">
        <w:rPr>
          <w:rFonts w:ascii="Arial" w:hAnsi="Arial" w:cs="Arial"/>
          <w:color w:val="000000" w:themeColor="text1"/>
          <w:lang w:val="en-GB"/>
        </w:rPr>
        <w:t xml:space="preserve"> </w:t>
      </w:r>
      <w:r w:rsidRPr="00952CA7">
        <w:rPr>
          <w:rFonts w:ascii="Arial" w:hAnsi="Arial" w:cs="Arial"/>
          <w:color w:val="000000" w:themeColor="text1"/>
          <w:lang w:val="en-GB"/>
        </w:rPr>
        <w:tab/>
      </w:r>
      <w:r w:rsidRPr="0028108F">
        <w:rPr>
          <w:rFonts w:ascii="Arial" w:hAnsi="Arial" w:cs="Arial"/>
          <w:lang w:val="en-GB"/>
        </w:rPr>
        <w:t>The Yogyakarta Principles</w:t>
      </w:r>
      <w:r w:rsidRPr="0028108F">
        <w:rPr>
          <w:rFonts w:ascii="Arial" w:hAnsi="Arial" w:cs="Arial"/>
          <w:i/>
          <w:lang w:val="en-GB"/>
        </w:rPr>
        <w:t xml:space="preserve"> </w:t>
      </w:r>
      <w:r w:rsidRPr="0028108F">
        <w:rPr>
          <w:rFonts w:ascii="Arial" w:hAnsi="Arial" w:cs="Arial"/>
          <w:lang w:val="en-GB"/>
        </w:rPr>
        <w:t xml:space="preserve">were adopted in 2006 by a panel of human rights experts from 25 countries with diverse backgrounds and expertise relevant to issues of human rights law, including judges, academics, a former United Nations High Commissioner for Human Rights, United Nations Special Procedures, members of treaty bodies, NGOs and others.  Although the Yogyakarta Principles are not legally binding, they have been cited by United Nations bodies, international and regional human rights bodies, national courts and many governments as a guiding tool. </w:t>
      </w:r>
    </w:p>
  </w:footnote>
  <w:footnote w:id="387">
    <w:p w:rsidR="0022178B" w:rsidRPr="0028108F" w:rsidRDefault="0022178B" w:rsidP="00952CA7">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 xml:space="preserve">26 </w:t>
      </w:r>
      <w:r w:rsidRPr="0028108F">
        <w:rPr>
          <w:rFonts w:ascii="Arial" w:hAnsi="Arial" w:cs="Arial"/>
          <w:lang w:val="en-GB"/>
        </w:rPr>
        <w:t>Oct</w:t>
      </w:r>
      <w:r>
        <w:rPr>
          <w:rFonts w:ascii="Arial" w:hAnsi="Arial" w:cs="Arial" w:hint="eastAsia"/>
          <w:lang w:val="en-GB" w:eastAsia="zh-TW"/>
        </w:rPr>
        <w:t xml:space="preserve"> </w:t>
      </w:r>
      <w:r w:rsidRPr="0028108F">
        <w:rPr>
          <w:rFonts w:ascii="Arial" w:hAnsi="Arial" w:cs="Arial"/>
          <w:lang w:val="en-GB"/>
        </w:rPr>
        <w:t xml:space="preserve">2005, B.O. Oct. 26, 2005. </w:t>
      </w:r>
    </w:p>
  </w:footnote>
  <w:footnote w:id="388">
    <w:p w:rsidR="0022178B" w:rsidRPr="00181CF2"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In November 2013, a six-year-old girl was able to change her documents under the GIL.  See Huffington Post, “Argentina grants Lulu, 6-year-old transgender child, female ID card”</w:t>
      </w:r>
      <w:r w:rsidRPr="00181CF2">
        <w:rPr>
          <w:rFonts w:ascii="Arial" w:hAnsi="Arial" w:cs="Arial"/>
          <w:lang w:val="en-GB"/>
        </w:rPr>
        <w:t xml:space="preserve">, 10 October 2013. </w:t>
      </w:r>
    </w:p>
  </w:footnote>
  <w:footnote w:id="389">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color w:val="000000" w:themeColor="text1"/>
          <w:lang w:val="en-GB"/>
        </w:rPr>
        <w:footnoteRef/>
      </w:r>
      <w:r w:rsidRPr="0028108F">
        <w:rPr>
          <w:rFonts w:ascii="Arial" w:hAnsi="Arial" w:cs="Arial"/>
          <w:color w:val="000000" w:themeColor="text1"/>
          <w:lang w:val="en-GB"/>
        </w:rPr>
        <w:t xml:space="preserve"> </w:t>
      </w:r>
      <w:r w:rsidRPr="0028108F">
        <w:rPr>
          <w:rFonts w:ascii="Arial" w:hAnsi="Arial" w:cs="Arial"/>
          <w:color w:val="000000" w:themeColor="text1"/>
          <w:lang w:val="en-GB"/>
        </w:rPr>
        <w:tab/>
        <w:t>See</w:t>
      </w:r>
      <w:r w:rsidRPr="0028108F">
        <w:rPr>
          <w:rFonts w:ascii="Arial" w:hAnsi="Arial" w:cs="Arial"/>
          <w:lang w:val="en-GB"/>
        </w:rPr>
        <w:t xml:space="preserve"> Decree 1007/2012. </w:t>
      </w:r>
    </w:p>
  </w:footnote>
  <w:footnote w:id="39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color w:val="000000" w:themeColor="text1"/>
          <w:lang w:val="en-GB"/>
        </w:rPr>
        <w:footnoteRef/>
      </w:r>
      <w:r w:rsidRPr="0028108F">
        <w:rPr>
          <w:rFonts w:ascii="Arial" w:hAnsi="Arial" w:cs="Arial"/>
          <w:color w:val="000000" w:themeColor="text1"/>
          <w:lang w:val="en-GB"/>
        </w:rPr>
        <w:t xml:space="preserve"> </w:t>
      </w:r>
      <w:r w:rsidRPr="0028108F">
        <w:rPr>
          <w:rFonts w:ascii="Arial" w:hAnsi="Arial" w:cs="Arial"/>
          <w:color w:val="000000" w:themeColor="text1"/>
          <w:lang w:val="en-GB"/>
        </w:rPr>
        <w:tab/>
        <w:t>Thes</w:t>
      </w:r>
      <w:r w:rsidRPr="0028108F">
        <w:rPr>
          <w:rFonts w:ascii="Arial" w:hAnsi="Arial" w:cs="Arial"/>
          <w:lang w:val="en-GB"/>
        </w:rPr>
        <w:t xml:space="preserve">e include Decree 1007/2012 and Joint Resolution 1/2012 and 2/2012 passed by the </w:t>
      </w:r>
      <w:r w:rsidRPr="0028108F">
        <w:rPr>
          <w:rFonts w:ascii="Arial" w:hAnsi="Arial" w:cs="Arial"/>
          <w:color w:val="000000" w:themeColor="text1"/>
          <w:lang w:val="en-GB"/>
        </w:rPr>
        <w:t>National</w:t>
      </w:r>
      <w:r w:rsidRPr="0028108F">
        <w:rPr>
          <w:rFonts w:ascii="Arial" w:hAnsi="Arial" w:cs="Arial"/>
          <w:lang w:val="en-GB"/>
        </w:rPr>
        <w:t xml:space="preserve"> Bureau of Vital Statistics and the National Migration Office.</w:t>
      </w:r>
    </w:p>
  </w:footnote>
  <w:footnote w:id="391">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the related news report of </w:t>
      </w:r>
      <w:r w:rsidRPr="0028108F">
        <w:rPr>
          <w:rFonts w:ascii="Arial" w:hAnsi="Arial" w:cs="Arial"/>
          <w:i/>
          <w:lang w:val="en-GB"/>
        </w:rPr>
        <w:t>UT Sandiego</w:t>
      </w:r>
      <w:r w:rsidRPr="00181CF2">
        <w:rPr>
          <w:rFonts w:ascii="Arial" w:hAnsi="Arial" w:cs="Arial"/>
          <w:lang w:val="en-GB"/>
        </w:rPr>
        <w:t xml:space="preserve"> (21 July 2010), </w:t>
      </w:r>
      <w:r w:rsidRPr="00C57CE1">
        <w:rPr>
          <w:rFonts w:ascii="Arial" w:hAnsi="Arial" w:cs="Arial"/>
          <w:lang w:val="en-GB"/>
        </w:rPr>
        <w:t>“</w:t>
      </w:r>
      <w:r w:rsidRPr="0028108F">
        <w:rPr>
          <w:rFonts w:ascii="Arial" w:hAnsi="Arial" w:cs="Arial"/>
          <w:lang w:val="en-GB"/>
        </w:rPr>
        <w:t xml:space="preserve">Argentina’s gay marriage law signed </w:t>
      </w:r>
      <w:r w:rsidRPr="0028108F">
        <w:rPr>
          <w:rFonts w:ascii="Arial" w:hAnsi="Arial" w:cs="Arial"/>
          <w:color w:val="000000" w:themeColor="text1"/>
          <w:lang w:val="en-GB"/>
        </w:rPr>
        <w:t>by</w:t>
      </w:r>
      <w:r w:rsidRPr="0028108F">
        <w:rPr>
          <w:rFonts w:ascii="Arial" w:hAnsi="Arial" w:cs="Arial"/>
          <w:lang w:val="en-GB"/>
        </w:rPr>
        <w:t xml:space="preserve"> President”</w:t>
      </w:r>
      <w:r w:rsidRPr="00CC565B">
        <w:rPr>
          <w:rStyle w:val="Hyperlink"/>
          <w:rFonts w:ascii="Arial" w:hAnsi="Arial" w:cs="Arial"/>
          <w:color w:val="000000" w:themeColor="text1"/>
          <w:u w:val="none"/>
          <w:lang w:val="en-GB"/>
        </w:rPr>
        <w:t>,</w:t>
      </w:r>
      <w:r w:rsidRPr="00B02C1D">
        <w:rPr>
          <w:rFonts w:ascii="Arial" w:hAnsi="Arial" w:cs="Arial"/>
          <w:lang w:val="en-GB"/>
        </w:rPr>
        <w:t xml:space="preserve"> </w:t>
      </w:r>
      <w:r w:rsidRPr="0028108F">
        <w:rPr>
          <w:rFonts w:ascii="Arial" w:hAnsi="Arial" w:cs="Arial"/>
          <w:lang w:val="en-GB"/>
        </w:rPr>
        <w:t xml:space="preserve">and the news report of </w:t>
      </w:r>
      <w:r w:rsidRPr="0028108F">
        <w:rPr>
          <w:rFonts w:ascii="Arial" w:hAnsi="Arial" w:cs="Arial"/>
          <w:i/>
          <w:lang w:val="en-GB"/>
        </w:rPr>
        <w:t>Changing Attitude</w:t>
      </w:r>
      <w:r w:rsidRPr="00181CF2">
        <w:rPr>
          <w:rFonts w:ascii="Arial" w:hAnsi="Arial" w:cs="Arial"/>
          <w:lang w:val="en-GB"/>
        </w:rPr>
        <w:t xml:space="preserve"> (7 October 2011), </w:t>
      </w:r>
      <w:r w:rsidRPr="00C57CE1">
        <w:rPr>
          <w:rFonts w:ascii="Arial" w:hAnsi="Arial" w:cs="Arial"/>
          <w:lang w:val="en-GB"/>
        </w:rPr>
        <w:t>“</w:t>
      </w:r>
      <w:r w:rsidRPr="0028108F">
        <w:rPr>
          <w:rFonts w:ascii="Arial" w:hAnsi="Arial" w:cs="Arial"/>
          <w:lang w:val="en-GB"/>
        </w:rPr>
        <w:t xml:space="preserve">Equal marriage in the Argentine military is an important advance in democratic rights”.  See also commentary on the GIL and the Equal Marriage Act by Salum, AN (2012) in his article, “Argentina has passed the most progressive gender identity legislation in existence”, </w:t>
      </w:r>
      <w:r w:rsidRPr="0028108F">
        <w:rPr>
          <w:rFonts w:ascii="Arial" w:hAnsi="Arial" w:cs="Arial"/>
          <w:i/>
          <w:lang w:val="en-GB"/>
        </w:rPr>
        <w:t>International Gay and Lesbian Human Rights Commission Blog</w:t>
      </w:r>
      <w:r w:rsidRPr="00181CF2">
        <w:rPr>
          <w:rFonts w:ascii="Arial" w:hAnsi="Arial" w:cs="Arial"/>
          <w:lang w:val="en-GB"/>
        </w:rPr>
        <w:t xml:space="preserve"> 13 May 2012.</w:t>
      </w:r>
    </w:p>
  </w:footnote>
  <w:footnote w:id="392">
    <w:p w:rsidR="0022178B" w:rsidRPr="00C57CE1" w:rsidRDefault="0022178B">
      <w:pPr>
        <w:pStyle w:val="FootnoteText"/>
        <w:tabs>
          <w:tab w:val="left" w:pos="851"/>
        </w:tabs>
        <w:ind w:left="709" w:hanging="709"/>
        <w:jc w:val="both"/>
        <w:rPr>
          <w:rFonts w:ascii="Arial" w:hAnsi="Arial" w:cs="Arial"/>
          <w:lang w:val="en-GB"/>
        </w:rPr>
      </w:pPr>
      <w:r w:rsidRPr="00181CF2">
        <w:rPr>
          <w:rStyle w:val="FootnoteReference"/>
          <w:rFonts w:ascii="Arial" w:hAnsi="Arial" w:cs="Arial"/>
          <w:color w:val="000000" w:themeColor="text1"/>
          <w:vertAlign w:val="baseline"/>
          <w:lang w:val="en-GB"/>
        </w:rPr>
        <w:footnoteRef/>
      </w:r>
      <w:r w:rsidRPr="00C57CE1">
        <w:rPr>
          <w:rFonts w:ascii="Arial" w:hAnsi="Arial" w:cs="Arial"/>
          <w:lang w:val="en-GB"/>
        </w:rPr>
        <w:t xml:space="preserve"> </w:t>
      </w:r>
      <w:r w:rsidRPr="00C57CE1">
        <w:rPr>
          <w:rFonts w:ascii="Arial" w:hAnsi="Arial" w:cs="Arial"/>
          <w:lang w:val="en-GB"/>
        </w:rPr>
        <w:tab/>
      </w:r>
      <w:r w:rsidRPr="0028108F">
        <w:rPr>
          <w:rFonts w:ascii="Arial" w:hAnsi="Arial" w:cs="Arial"/>
          <w:lang w:val="en-GB"/>
        </w:rPr>
        <w:t>See the article published in the official media agency (TELAM), “A un año de la sanción de la ley, tres mil personas trans gestionaron su nuevo DNI”</w:t>
      </w:r>
      <w:r w:rsidRPr="0028108F">
        <w:rPr>
          <w:rFonts w:ascii="Arial" w:hAnsi="Arial" w:cs="Arial"/>
          <w:i/>
          <w:lang w:val="en-GB"/>
        </w:rPr>
        <w:t xml:space="preserve"> </w:t>
      </w:r>
      <w:r w:rsidRPr="00181CF2">
        <w:rPr>
          <w:rFonts w:ascii="Arial" w:hAnsi="Arial" w:cs="Arial"/>
          <w:lang w:val="en-GB"/>
        </w:rPr>
        <w:t>(in Spanish),</w:t>
      </w:r>
      <w:r w:rsidRPr="00C57CE1">
        <w:rPr>
          <w:rFonts w:ascii="Arial" w:hAnsi="Arial" w:cs="Arial"/>
          <w:lang w:val="en-GB"/>
        </w:rPr>
        <w:t xml:space="preserve"> available at:</w:t>
      </w:r>
    </w:p>
    <w:p w:rsidR="0022178B" w:rsidRPr="0028108F" w:rsidRDefault="0022178B" w:rsidP="004633AF">
      <w:pPr>
        <w:pStyle w:val="FootnoteText"/>
        <w:tabs>
          <w:tab w:val="left" w:pos="851"/>
        </w:tabs>
        <w:ind w:left="709" w:hanging="709"/>
        <w:jc w:val="both"/>
        <w:rPr>
          <w:rFonts w:ascii="Arial" w:hAnsi="Arial" w:cs="Arial"/>
          <w:color w:val="000000" w:themeColor="text1"/>
          <w:lang w:val="en-GB"/>
        </w:rPr>
      </w:pPr>
      <w:r w:rsidRPr="0028108F">
        <w:rPr>
          <w:rFonts w:ascii="Arial" w:hAnsi="Arial" w:cs="Arial"/>
          <w:color w:val="000000" w:themeColor="text1"/>
          <w:lang w:val="en-GB"/>
        </w:rPr>
        <w:tab/>
      </w:r>
      <w:hyperlink r:id="rId46" w:history="1">
        <w:r w:rsidRPr="008813DE">
          <w:rPr>
            <w:rStyle w:val="Hyperlink"/>
            <w:rFonts w:ascii="Arial" w:hAnsi="Arial" w:cs="Arial"/>
            <w:lang w:val="en-GB"/>
          </w:rPr>
          <w:t>http://www.telam.com.ar/notas/201305/17099-a-un-ano-de-la-sancion-de-la-ley-3000-personas-trans-gestionaron-su-nuevo-dni.html</w:t>
        </w:r>
      </w:hyperlink>
      <w:r w:rsidRPr="0028108F">
        <w:rPr>
          <w:rFonts w:ascii="Arial" w:hAnsi="Arial" w:cs="Arial"/>
          <w:color w:val="000000" w:themeColor="text1"/>
          <w:lang w:val="en-GB"/>
        </w:rPr>
        <w:t xml:space="preserve">.  </w:t>
      </w:r>
    </w:p>
  </w:footnote>
  <w:footnote w:id="393">
    <w:p w:rsidR="0022178B" w:rsidRPr="00181CF2" w:rsidRDefault="0022178B" w:rsidP="003B48EA">
      <w:pPr>
        <w:pStyle w:val="FootnoteText"/>
        <w:tabs>
          <w:tab w:val="left" w:pos="851"/>
        </w:tabs>
        <w:ind w:left="709" w:hanging="709"/>
        <w:jc w:val="both"/>
        <w:rPr>
          <w:rFonts w:ascii="Arial" w:hAnsi="Arial" w:cs="Arial"/>
          <w:lang w:val="en-GB"/>
        </w:rPr>
      </w:pPr>
      <w:r w:rsidRPr="0028108F">
        <w:rPr>
          <w:rStyle w:val="FootnoteReference"/>
          <w:rFonts w:ascii="Arial" w:hAnsi="Arial" w:cs="Arial"/>
          <w:color w:val="000000" w:themeColor="text1"/>
          <w:vertAlign w:val="baseline"/>
          <w:lang w:val="en-GB"/>
        </w:rPr>
        <w:footnoteRef/>
      </w:r>
      <w:r w:rsidRPr="0028108F">
        <w:rPr>
          <w:rFonts w:ascii="Arial" w:hAnsi="Arial" w:cs="Arial"/>
          <w:lang w:val="en-GB"/>
        </w:rPr>
        <w:t xml:space="preserve"> </w:t>
      </w:r>
      <w:r w:rsidRPr="0028108F">
        <w:rPr>
          <w:rFonts w:ascii="Arial" w:hAnsi="Arial" w:cs="Arial"/>
          <w:lang w:val="en-GB"/>
        </w:rPr>
        <w:tab/>
        <w:t>See Tobin, HJ (14 October 2009), “Uruguay passes landmark gender identity law”</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TransEquality Blog</w:t>
      </w:r>
      <w:r w:rsidRPr="00181CF2">
        <w:rPr>
          <w:rFonts w:ascii="Arial" w:hAnsi="Arial" w:cs="Arial"/>
          <w:lang w:val="en-GB"/>
        </w:rPr>
        <w:t>.</w:t>
      </w:r>
    </w:p>
  </w:footnote>
  <w:footnote w:id="394">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color w:val="000000" w:themeColor="text1"/>
          <w:vertAlign w:val="baseline"/>
          <w:lang w:val="en-GB"/>
        </w:rPr>
        <w:footnoteRef/>
      </w:r>
      <w:r w:rsidRPr="00C57CE1">
        <w:rPr>
          <w:rFonts w:ascii="Arial" w:hAnsi="Arial" w:cs="Arial"/>
          <w:lang w:val="en-GB"/>
        </w:rPr>
        <w:t xml:space="preserve"> </w:t>
      </w:r>
      <w:r w:rsidRPr="00C57CE1">
        <w:rPr>
          <w:rFonts w:ascii="Arial" w:hAnsi="Arial" w:cs="Arial"/>
          <w:lang w:val="en-GB"/>
        </w:rPr>
        <w:tab/>
        <w:t xml:space="preserve">See news report of </w:t>
      </w:r>
      <w:r w:rsidRPr="0028108F">
        <w:rPr>
          <w:rFonts w:ascii="Arial" w:hAnsi="Arial" w:cs="Arial"/>
          <w:i/>
          <w:lang w:val="en-GB"/>
        </w:rPr>
        <w:t>Pink News</w:t>
      </w:r>
      <w:r w:rsidRPr="00181CF2">
        <w:rPr>
          <w:rFonts w:ascii="Arial" w:hAnsi="Arial" w:cs="Arial"/>
          <w:lang w:val="en-GB"/>
        </w:rPr>
        <w:t xml:space="preserve"> (5 August 2013), </w:t>
      </w:r>
      <w:r w:rsidRPr="00C57CE1">
        <w:rPr>
          <w:rFonts w:ascii="Arial" w:hAnsi="Arial" w:cs="Arial"/>
          <w:lang w:val="en-GB"/>
        </w:rPr>
        <w:t>“</w:t>
      </w:r>
      <w:r w:rsidRPr="0028108F">
        <w:rPr>
          <w:rFonts w:ascii="Arial" w:hAnsi="Arial" w:cs="Arial"/>
          <w:lang w:val="en-GB"/>
        </w:rPr>
        <w:t>Uruguay: Equal marriage law comes into effect”</w:t>
      </w:r>
      <w:r w:rsidRPr="00181CF2">
        <w:rPr>
          <w:rFonts w:ascii="Arial" w:hAnsi="Arial" w:cs="Arial"/>
          <w:lang w:val="en-GB"/>
        </w:rPr>
        <w:t xml:space="preserve">. </w:t>
      </w:r>
    </w:p>
  </w:footnote>
  <w:footnote w:id="395">
    <w:p w:rsidR="0022178B" w:rsidRPr="00C57CE1"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Amnesty International, 2014, “</w:t>
      </w:r>
      <w:r w:rsidRPr="0028108F">
        <w:rPr>
          <w:rFonts w:ascii="Arial" w:hAnsi="Arial" w:cs="Arial"/>
          <w:color w:val="0D0D0D" w:themeColor="text1" w:themeTint="F2"/>
          <w:kern w:val="0"/>
          <w:lang w:val="en-GB"/>
        </w:rPr>
        <w:t>The State Decides Who I Am: Lack of Recognition For Transgender People”</w:t>
      </w:r>
      <w:r w:rsidRPr="00181CF2">
        <w:rPr>
          <w:rFonts w:ascii="Arial" w:hAnsi="Arial" w:cs="Arial"/>
          <w:lang w:val="en-GB"/>
        </w:rPr>
        <w:t>,</w:t>
      </w:r>
      <w:r w:rsidRPr="00C57CE1">
        <w:rPr>
          <w:rFonts w:ascii="Arial" w:hAnsi="Arial" w:cs="Arial"/>
          <w:lang w:val="en-GB"/>
        </w:rPr>
        <w:t xml:space="preserve"> at 9.</w:t>
      </w:r>
    </w:p>
  </w:footnote>
  <w:footnote w:id="39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Same as above. </w:t>
      </w:r>
      <w:r>
        <w:rPr>
          <w:rFonts w:ascii="Arial" w:hAnsi="Arial" w:cs="Arial" w:hint="eastAsia"/>
          <w:lang w:val="en-GB" w:eastAsia="zh-TW"/>
        </w:rPr>
        <w:t xml:space="preserve"> </w:t>
      </w:r>
      <w:r w:rsidRPr="0028108F">
        <w:rPr>
          <w:rFonts w:ascii="Arial" w:hAnsi="Arial" w:cs="Arial"/>
          <w:lang w:val="en-GB" w:eastAsia="zh-TW"/>
        </w:rPr>
        <w:t>S</w:t>
      </w:r>
      <w:r w:rsidRPr="0028108F">
        <w:rPr>
          <w:rFonts w:ascii="Arial" w:hAnsi="Arial" w:cs="Arial"/>
          <w:lang w:val="en-GB"/>
        </w:rPr>
        <w:t>ee</w:t>
      </w:r>
      <w:r w:rsidRPr="0028108F">
        <w:rPr>
          <w:rFonts w:ascii="Arial" w:hAnsi="Arial" w:cs="Arial"/>
          <w:lang w:val="en-GB" w:eastAsia="zh-TW"/>
        </w:rPr>
        <w:t xml:space="preserve"> also</w:t>
      </w:r>
      <w:r w:rsidRPr="0028108F">
        <w:rPr>
          <w:rFonts w:ascii="Arial" w:hAnsi="Arial" w:cs="Arial"/>
          <w:lang w:val="en-GB"/>
        </w:rPr>
        <w:t xml:space="preserve"> Wallace Swan, </w:t>
      </w:r>
      <w:r w:rsidRPr="00B25672">
        <w:rPr>
          <w:rFonts w:ascii="Arial" w:hAnsi="Arial" w:cs="Arial"/>
          <w:i/>
          <w:lang w:val="en-GB"/>
        </w:rPr>
        <w:t>Gay, Lesbian, Bisexual and Transgender Civil Rights: A Public Policy Agenda for Uniting a Divided America</w:t>
      </w:r>
      <w:r w:rsidRPr="00181CF2">
        <w:rPr>
          <w:rFonts w:ascii="Arial" w:hAnsi="Arial" w:cs="Arial"/>
          <w:lang w:val="en-GB"/>
        </w:rPr>
        <w:t xml:space="preserve">, </w:t>
      </w:r>
      <w:r w:rsidRPr="0028108F">
        <w:rPr>
          <w:rFonts w:ascii="Arial" w:hAnsi="Arial" w:cs="Arial"/>
          <w:i/>
          <w:lang w:val="en-GB"/>
        </w:rPr>
        <w:t>CRC Press</w:t>
      </w:r>
      <w:r w:rsidRPr="00181CF2">
        <w:rPr>
          <w:rFonts w:ascii="Arial" w:hAnsi="Arial" w:cs="Arial"/>
          <w:lang w:val="en-GB"/>
        </w:rPr>
        <w:t xml:space="preserve">, 26 September 2014, at </w:t>
      </w:r>
      <w:r w:rsidRPr="0028108F">
        <w:rPr>
          <w:rFonts w:ascii="Arial" w:hAnsi="Arial" w:cs="Arial"/>
          <w:lang w:val="en-GB"/>
        </w:rPr>
        <w:t>60.</w:t>
      </w:r>
    </w:p>
  </w:footnote>
  <w:footnote w:id="397">
    <w:p w:rsidR="0022178B" w:rsidRPr="00181CF2" w:rsidRDefault="0022178B" w:rsidP="00940215">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w:t>
      </w:r>
      <w:r w:rsidRPr="0028108F">
        <w:rPr>
          <w:rFonts w:ascii="Arial" w:hAnsi="Arial" w:cs="Arial"/>
          <w:lang w:val="en-GB" w:eastAsia="zh-TW"/>
        </w:rPr>
        <w:t>,</w:t>
      </w:r>
      <w:r w:rsidRPr="0028108F">
        <w:rPr>
          <w:rFonts w:ascii="Arial" w:hAnsi="Arial" w:cs="Arial"/>
          <w:lang w:val="en-GB"/>
        </w:rPr>
        <w:t xml:space="preserve"> eg</w:t>
      </w:r>
      <w:r w:rsidRPr="0028108F">
        <w:rPr>
          <w:rFonts w:ascii="Arial" w:hAnsi="Arial" w:cs="Arial"/>
          <w:lang w:val="en-GB" w:eastAsia="zh-TW"/>
        </w:rPr>
        <w:t>,</w:t>
      </w:r>
      <w:r w:rsidRPr="0028108F">
        <w:rPr>
          <w:rFonts w:ascii="Arial" w:hAnsi="Arial" w:cs="Arial"/>
          <w:lang w:val="en-GB"/>
        </w:rPr>
        <w:t xml:space="preserve"> Kruijver, F P, Zhou, J N, Pool, C W, Hofman, M A, Gooren, L J, &amp; Swaab, D F (2000), “Male-to-female transsexuals have female neuron numbers in a limbic nucleus”</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Journal of Clinical Endocrinology and Metabolism</w:t>
      </w:r>
      <w:r w:rsidRPr="00181CF2">
        <w:rPr>
          <w:rFonts w:ascii="Arial" w:hAnsi="Arial" w:cs="Arial"/>
          <w:lang w:val="en-GB"/>
        </w:rPr>
        <w:t xml:space="preserve">, 85, 2034-2041.  A summary of the scientific evidence in relation to the </w:t>
      </w:r>
      <w:r w:rsidRPr="0028108F">
        <w:rPr>
          <w:rFonts w:ascii="Arial" w:hAnsi="Arial" w:cs="Arial"/>
          <w:i/>
          <w:lang w:val="en-GB"/>
        </w:rPr>
        <w:t>“brain-sex theories”</w:t>
      </w:r>
      <w:r w:rsidRPr="00181CF2">
        <w:rPr>
          <w:rFonts w:ascii="Arial" w:hAnsi="Arial" w:cs="Arial"/>
          <w:lang w:val="en-GB"/>
        </w:rPr>
        <w:t xml:space="preserve"> </w:t>
      </w:r>
      <w:r w:rsidRPr="00C57CE1">
        <w:rPr>
          <w:rFonts w:ascii="Arial" w:hAnsi="Arial" w:cs="Arial"/>
          <w:lang w:val="en-GB" w:eastAsia="zh-TW"/>
        </w:rPr>
        <w:t>is</w:t>
      </w:r>
      <w:r w:rsidRPr="0028108F">
        <w:rPr>
          <w:rFonts w:ascii="Arial" w:hAnsi="Arial" w:cs="Arial"/>
          <w:lang w:val="en-GB"/>
        </w:rPr>
        <w:t xml:space="preserve"> found in Sam Winter’s article, “Transgender Science: How Might It Shape The Way We Think About Transgender Rights?”</w:t>
      </w:r>
      <w:r w:rsidRPr="00181CF2">
        <w:rPr>
          <w:rFonts w:ascii="Arial" w:hAnsi="Arial" w:cs="Arial"/>
          <w:lang w:val="en-GB"/>
        </w:rPr>
        <w:t xml:space="preserve"> (2011)</w:t>
      </w:r>
      <w:r>
        <w:rPr>
          <w:rFonts w:ascii="Arial" w:hAnsi="Arial" w:cs="Arial"/>
          <w:lang w:val="en-GB"/>
        </w:rPr>
        <w:t xml:space="preserve"> 41</w:t>
      </w:r>
      <w:r w:rsidRPr="00181CF2">
        <w:rPr>
          <w:rFonts w:ascii="Arial" w:hAnsi="Arial" w:cs="Arial"/>
          <w:lang w:val="en-GB"/>
        </w:rPr>
        <w:t xml:space="preserve"> </w:t>
      </w:r>
      <w:r w:rsidRPr="00F86CD8">
        <w:rPr>
          <w:rFonts w:ascii="Arial" w:hAnsi="Arial" w:cs="Arial"/>
          <w:lang w:val="en-GB"/>
        </w:rPr>
        <w:t>HKLJ</w:t>
      </w:r>
      <w:r w:rsidRPr="00181CF2">
        <w:rPr>
          <w:rFonts w:ascii="Arial" w:hAnsi="Arial" w:cs="Arial"/>
          <w:lang w:val="en-GB"/>
        </w:rPr>
        <w:t xml:space="preserve"> 139, at 149 to 152.</w:t>
      </w:r>
    </w:p>
  </w:footnote>
  <w:footnote w:id="398">
    <w:p w:rsidR="0022178B" w:rsidRPr="00C57CE1" w:rsidRDefault="0022178B" w:rsidP="00451AB0">
      <w:pPr>
        <w:pStyle w:val="FootnoteText"/>
        <w:tabs>
          <w:tab w:val="left" w:pos="851"/>
        </w:tabs>
        <w:ind w:left="709" w:hanging="709"/>
        <w:jc w:val="both"/>
        <w:rPr>
          <w:rFonts w:ascii="Arial" w:hAnsi="Arial" w:cs="Arial"/>
          <w:lang w:val="en-GB" w:eastAsia="zh-TW"/>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Goodwin v The United Kingdom</w:t>
      </w:r>
      <w:r w:rsidRPr="0028108F">
        <w:rPr>
          <w:rFonts w:ascii="Arial" w:hAnsi="Arial" w:cs="Arial"/>
          <w:lang w:val="en-GB"/>
        </w:rPr>
        <w:t xml:space="preserve"> (2002) 35 </w:t>
      </w:r>
      <w:r w:rsidRPr="00F86CD8">
        <w:rPr>
          <w:rFonts w:ascii="Arial" w:hAnsi="Arial" w:cs="Arial"/>
          <w:lang w:val="en-GB"/>
        </w:rPr>
        <w:t>EHRR</w:t>
      </w:r>
      <w:r w:rsidRPr="0028108F">
        <w:rPr>
          <w:rFonts w:ascii="Arial" w:hAnsi="Arial" w:cs="Arial"/>
          <w:lang w:val="en-GB"/>
        </w:rPr>
        <w:t xml:space="preserve"> 18.</w:t>
      </w:r>
      <w:r w:rsidRPr="0028108F">
        <w:rPr>
          <w:rFonts w:ascii="Arial" w:hAnsi="Arial" w:cs="Arial"/>
          <w:lang w:val="en-GB" w:eastAsia="zh-TW"/>
        </w:rPr>
        <w:t xml:space="preserve">  The summary and discussion of this case can be found in Chapter 3, above, at paragraph </w:t>
      </w:r>
      <w:r w:rsidRPr="008813DE">
        <w:rPr>
          <w:rFonts w:ascii="Arial" w:hAnsi="Arial" w:cs="Arial"/>
          <w:lang w:val="en-GB" w:eastAsia="zh-TW"/>
        </w:rPr>
        <w:t>3.36</w:t>
      </w:r>
      <w:r w:rsidRPr="0028108F">
        <w:rPr>
          <w:rFonts w:ascii="Arial" w:hAnsi="Arial" w:cs="Arial"/>
          <w:i/>
          <w:lang w:val="en-GB" w:eastAsia="zh-TW"/>
        </w:rPr>
        <w:t xml:space="preserve"> et seq</w:t>
      </w:r>
      <w:r w:rsidRPr="00181CF2">
        <w:rPr>
          <w:rFonts w:ascii="Arial" w:hAnsi="Arial" w:cs="Arial"/>
          <w:lang w:val="en-GB" w:eastAsia="zh-TW"/>
        </w:rPr>
        <w:t>.</w:t>
      </w:r>
    </w:p>
  </w:footnote>
  <w:footnote w:id="399">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Goodwin v The United Kingdom</w:t>
      </w:r>
      <w:r w:rsidRPr="0028108F">
        <w:rPr>
          <w:rFonts w:ascii="Arial" w:hAnsi="Arial" w:cs="Arial"/>
          <w:lang w:val="en-GB"/>
        </w:rPr>
        <w:t xml:space="preserve"> (2002) 35 </w:t>
      </w:r>
      <w:r w:rsidRPr="00F86CD8">
        <w:rPr>
          <w:rFonts w:ascii="Arial" w:hAnsi="Arial" w:cs="Arial"/>
          <w:lang w:val="en-GB"/>
        </w:rPr>
        <w:t>EHRR</w:t>
      </w:r>
      <w:r w:rsidRPr="00181CF2">
        <w:rPr>
          <w:rFonts w:ascii="Arial" w:hAnsi="Arial" w:cs="Arial"/>
          <w:lang w:val="en-GB"/>
        </w:rPr>
        <w:t xml:space="preserve"> 18, at </w:t>
      </w:r>
      <w:r w:rsidRPr="0028108F">
        <w:rPr>
          <w:rFonts w:ascii="Arial" w:hAnsi="Arial" w:cs="Arial"/>
          <w:lang w:val="en-GB"/>
        </w:rPr>
        <w:t>paragraphs 82 and 100.</w:t>
      </w:r>
    </w:p>
  </w:footnote>
  <w:footnote w:id="400">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Fonts w:ascii="Arial" w:hAnsi="Arial" w:cs="Arial"/>
          <w:lang w:val="en-GB"/>
        </w:rPr>
        <w:tab/>
        <w:t xml:space="preserve">(1993) 43 FCR 299, at 325.  The same was quoted in </w:t>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paragraph 97.</w:t>
      </w:r>
    </w:p>
  </w:footnote>
  <w:footnote w:id="40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the UK Home Office, </w:t>
      </w:r>
      <w:r w:rsidRPr="0028108F">
        <w:rPr>
          <w:rFonts w:ascii="Arial" w:hAnsi="Arial" w:cs="Arial"/>
          <w:i/>
          <w:lang w:val="en-GB"/>
        </w:rPr>
        <w:t>Report of the Interdepartmental Working Group on Transsexual People</w:t>
      </w:r>
      <w:r w:rsidRPr="00181CF2">
        <w:rPr>
          <w:rFonts w:ascii="Arial" w:hAnsi="Arial" w:cs="Arial"/>
          <w:lang w:val="en-GB"/>
        </w:rPr>
        <w:t xml:space="preserve"> </w:t>
      </w:r>
      <w:r w:rsidRPr="00C57CE1">
        <w:rPr>
          <w:rFonts w:ascii="Arial" w:hAnsi="Arial" w:cs="Arial"/>
          <w:lang w:val="en-GB"/>
        </w:rPr>
        <w:t xml:space="preserve">(April 2000), at </w:t>
      </w:r>
      <w:r w:rsidRPr="0028108F">
        <w:rPr>
          <w:rFonts w:ascii="Arial" w:hAnsi="Arial" w:cs="Arial"/>
          <w:lang w:val="en-GB"/>
        </w:rPr>
        <w:t>paragraph 1.1.</w:t>
      </w:r>
    </w:p>
  </w:footnote>
  <w:footnote w:id="402">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paragraph 8.</w:t>
      </w:r>
    </w:p>
  </w:footnote>
  <w:footnote w:id="40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Same as above</w:t>
      </w:r>
      <w:r w:rsidRPr="00181CF2">
        <w:rPr>
          <w:rFonts w:ascii="Arial" w:hAnsi="Arial" w:cs="Arial"/>
          <w:lang w:val="en-GB"/>
        </w:rPr>
        <w:t xml:space="preserve">, at </w:t>
      </w:r>
      <w:r w:rsidRPr="0028108F">
        <w:rPr>
          <w:rFonts w:ascii="Arial" w:hAnsi="Arial" w:cs="Arial"/>
          <w:lang w:val="en-GB"/>
        </w:rPr>
        <w:t>paragraph 194.</w:t>
      </w:r>
    </w:p>
  </w:footnote>
  <w:footnote w:id="40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term is often used to denote people whose affirmed gender identity matches their assigned sex.</w:t>
      </w:r>
    </w:p>
  </w:footnote>
  <w:footnote w:id="405">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w:t>
      </w:r>
      <w:r w:rsidRPr="0028108F">
        <w:rPr>
          <w:rFonts w:ascii="Arial" w:hAnsi="Arial" w:cs="Arial"/>
          <w:lang w:val="en-GB" w:eastAsia="zh-TW"/>
        </w:rPr>
        <w:t>, eg,</w:t>
      </w:r>
      <w:r w:rsidRPr="0028108F">
        <w:rPr>
          <w:rFonts w:ascii="Arial" w:hAnsi="Arial" w:cs="Arial"/>
          <w:lang w:val="en-GB"/>
        </w:rPr>
        <w:t xml:space="preserve"> S Monstrey, G De Cuypere and R Ettner, “Surgery: General Principles”</w:t>
      </w:r>
      <w:r w:rsidRPr="00181CF2">
        <w:rPr>
          <w:rFonts w:ascii="Arial" w:hAnsi="Arial" w:cs="Arial"/>
          <w:lang w:val="en-GB"/>
        </w:rPr>
        <w:t>, Chapter 5 in R</w:t>
      </w:r>
      <w:r w:rsidRPr="0028108F">
        <w:rPr>
          <w:rFonts w:ascii="Arial" w:hAnsi="Arial" w:cs="Arial"/>
          <w:lang w:val="en-GB"/>
        </w:rPr>
        <w:t xml:space="preserve"> Ettner, S Monstrey, and A E Eyler. (eds), </w:t>
      </w:r>
      <w:r w:rsidRPr="00E51734">
        <w:rPr>
          <w:rFonts w:ascii="Arial" w:hAnsi="Arial" w:cs="Arial"/>
          <w:i/>
          <w:lang w:val="en-GB"/>
        </w:rPr>
        <w:t>Principles of Transgender Medicine and Surgery</w:t>
      </w:r>
      <w:r w:rsidRPr="00181CF2">
        <w:rPr>
          <w:rFonts w:ascii="Arial" w:hAnsi="Arial" w:cs="Arial"/>
          <w:lang w:val="en-GB"/>
        </w:rPr>
        <w:t xml:space="preserve"> (</w:t>
      </w:r>
      <w:r w:rsidRPr="0028108F">
        <w:rPr>
          <w:rFonts w:ascii="Arial" w:hAnsi="Arial" w:cs="Arial"/>
          <w:i/>
          <w:lang w:val="en-GB"/>
        </w:rPr>
        <w:t>New York: Haworth Press</w:t>
      </w:r>
      <w:r w:rsidRPr="00181CF2">
        <w:rPr>
          <w:rFonts w:ascii="Arial" w:hAnsi="Arial" w:cs="Arial"/>
          <w:lang w:val="en-GB"/>
        </w:rPr>
        <w:t>, 2007)</w:t>
      </w:r>
      <w:r w:rsidRPr="00C57CE1">
        <w:rPr>
          <w:rFonts w:ascii="Arial" w:hAnsi="Arial" w:cs="Arial"/>
          <w:lang w:val="en-GB" w:eastAsia="zh-TW"/>
        </w:rPr>
        <w:t xml:space="preserve">, at </w:t>
      </w:r>
      <w:r w:rsidRPr="0028108F">
        <w:rPr>
          <w:rFonts w:ascii="Arial" w:hAnsi="Arial" w:cs="Arial"/>
          <w:lang w:val="en-GB" w:eastAsia="zh-TW"/>
        </w:rPr>
        <w:t>89</w:t>
      </w:r>
      <w:r w:rsidRPr="0028108F">
        <w:rPr>
          <w:rFonts w:ascii="Arial" w:hAnsi="Arial" w:cs="Arial"/>
          <w:lang w:val="en-GB"/>
        </w:rPr>
        <w:t>.  For a review of some of the (controversial) therapies aimed at modifying children’s gender identity, see P Cohen-Kettenis and F Pfafflin, “Transgenderism and Intersexuality in Childhood and Adolescence: Making Choices”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i/>
          <w:lang w:val="en-GB"/>
        </w:rPr>
        <w:t>Thousand Oaks: Sage</w:t>
      </w:r>
      <w:r w:rsidRPr="00181CF2">
        <w:rPr>
          <w:rFonts w:ascii="Arial" w:hAnsi="Arial" w:cs="Arial"/>
          <w:lang w:val="en-GB"/>
        </w:rPr>
        <w:t xml:space="preserve">, 2003).  See also Gennaro Selvaggi &amp; James Bellringer, </w:t>
      </w:r>
      <w:r w:rsidRPr="00C57CE1">
        <w:rPr>
          <w:rFonts w:ascii="Arial" w:hAnsi="Arial" w:cs="Arial"/>
          <w:lang w:val="en-GB"/>
        </w:rPr>
        <w:t>“</w:t>
      </w:r>
      <w:r w:rsidRPr="0028108F">
        <w:rPr>
          <w:rFonts w:ascii="Arial" w:hAnsi="Arial" w:cs="Arial"/>
          <w:lang w:val="en-GB"/>
        </w:rPr>
        <w:t>Gender reassignment surgery: an overview”</w:t>
      </w:r>
      <w:r w:rsidRPr="00181CF2">
        <w:rPr>
          <w:rFonts w:ascii="Arial" w:hAnsi="Arial" w:cs="Arial"/>
          <w:lang w:val="en-GB"/>
        </w:rPr>
        <w:t xml:space="preserve">, </w:t>
      </w:r>
      <w:r w:rsidRPr="0028108F">
        <w:rPr>
          <w:rFonts w:ascii="Arial" w:hAnsi="Arial" w:cs="Arial"/>
          <w:i/>
          <w:lang w:val="en-GB"/>
        </w:rPr>
        <w:t>Nature Reviews Urology</w:t>
      </w:r>
      <w:r w:rsidRPr="00181CF2">
        <w:rPr>
          <w:rFonts w:ascii="Arial" w:hAnsi="Arial" w:cs="Arial"/>
          <w:lang w:val="en-GB"/>
        </w:rPr>
        <w:t> 8, 274-282 (May 2011), at 275.</w:t>
      </w:r>
    </w:p>
  </w:footnote>
  <w:footnote w:id="406">
    <w:p w:rsidR="0022178B" w:rsidRPr="0028108F" w:rsidRDefault="0022178B" w:rsidP="0028108F">
      <w:pPr>
        <w:pStyle w:val="FootnoteText"/>
        <w:tabs>
          <w:tab w:val="left" w:pos="851"/>
        </w:tabs>
        <w:ind w:left="709" w:hanging="709"/>
        <w:jc w:val="both"/>
        <w:rPr>
          <w:rFonts w:ascii="Arial" w:hAnsi="Arial" w:cs="Arial"/>
          <w:lang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color w:val="000000" w:themeColor="text1"/>
          <w:shd w:val="clear" w:color="auto" w:fill="FFFFFF"/>
        </w:rPr>
        <w:t xml:space="preserve">(1991) 13 </w:t>
      </w:r>
      <w:r w:rsidRPr="00F86CD8">
        <w:rPr>
          <w:rFonts w:ascii="Arial" w:hAnsi="Arial" w:cs="Arial"/>
          <w:color w:val="000000" w:themeColor="text1"/>
          <w:shd w:val="clear" w:color="auto" w:fill="FFFFFF"/>
        </w:rPr>
        <w:t>EHRR</w:t>
      </w:r>
      <w:r w:rsidRPr="0028108F">
        <w:rPr>
          <w:rFonts w:ascii="Arial" w:hAnsi="Arial" w:cs="Arial"/>
          <w:color w:val="000000" w:themeColor="text1"/>
          <w:shd w:val="clear" w:color="auto" w:fill="FFFFFF"/>
        </w:rPr>
        <w:t xml:space="preserve"> 622</w:t>
      </w:r>
      <w:r w:rsidRPr="0028108F">
        <w:rPr>
          <w:rFonts w:ascii="Arial" w:hAnsi="Arial" w:cs="Arial"/>
          <w:color w:val="000000" w:themeColor="text1"/>
          <w:lang w:val="en-GB"/>
        </w:rPr>
        <w:t>.</w:t>
      </w:r>
    </w:p>
  </w:footnote>
  <w:footnote w:id="407">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28108F">
        <w:rPr>
          <w:rFonts w:ascii="Arial" w:hAnsi="Arial" w:cs="Arial"/>
          <w:lang w:val="en-GB"/>
        </w:rPr>
        <w:t xml:space="preserve">paragraph 2.4 of the </w:t>
      </w:r>
      <w:r>
        <w:rPr>
          <w:rFonts w:ascii="Arial" w:hAnsi="Arial" w:cs="Arial"/>
          <w:lang w:val="en-GB"/>
        </w:rPr>
        <w:t xml:space="preserve">dissenting </w:t>
      </w:r>
      <w:r w:rsidRPr="0028108F">
        <w:rPr>
          <w:rFonts w:ascii="Arial" w:hAnsi="Arial" w:cs="Arial"/>
          <w:lang w:val="en-GB"/>
        </w:rPr>
        <w:t xml:space="preserve">judgment.  The remarks were quoted by Ma CJ and Ribeiro PJ in the CFA judgment in </w:t>
      </w:r>
      <w:r w:rsidRPr="0028108F">
        <w:rPr>
          <w:rFonts w:ascii="Arial" w:hAnsi="Arial" w:cs="Arial"/>
          <w:i/>
          <w:lang w:val="en-GB"/>
        </w:rPr>
        <w:t>W</w:t>
      </w:r>
      <w:r w:rsidRPr="0028108F">
        <w:rPr>
          <w:rFonts w:ascii="Arial" w:hAnsi="Arial" w:cs="Arial"/>
          <w:lang w:val="en-GB"/>
        </w:rPr>
        <w:t>’s</w:t>
      </w:r>
      <w:r w:rsidRPr="00181CF2">
        <w:rPr>
          <w:rFonts w:ascii="Arial" w:hAnsi="Arial" w:cs="Arial"/>
          <w:i/>
          <w:lang w:val="en-GB"/>
        </w:rPr>
        <w:t xml:space="preserve"> </w:t>
      </w:r>
      <w:r w:rsidRPr="00C57CE1">
        <w:rPr>
          <w:rFonts w:ascii="Arial" w:hAnsi="Arial" w:cs="Arial"/>
          <w:lang w:val="en-GB"/>
        </w:rPr>
        <w:t xml:space="preserve">case.  </w:t>
      </w:r>
    </w:p>
  </w:footnote>
  <w:footnote w:id="408">
    <w:p w:rsidR="0022178B" w:rsidRPr="00C57CE1" w:rsidRDefault="0022178B" w:rsidP="008A27C8">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example, the research conducted in 2013 on the acceptance of LGBT in the Netherlands revealed that this country is one of the most LGBT-friendly countries in Europe.  Ninety-three per cent of the Dutch were found to remain friends with somebody who decided to undergo sexual reassignment.  In</w:t>
      </w:r>
      <w:r>
        <w:rPr>
          <w:rFonts w:ascii="Arial" w:hAnsi="Arial" w:cs="Arial"/>
          <w:lang w:val="en-GB"/>
        </w:rPr>
        <w:t xml:space="preserve"> the Netherlands</w:t>
      </w:r>
      <w:r w:rsidRPr="0028108F">
        <w:rPr>
          <w:rFonts w:ascii="Arial" w:hAnsi="Arial" w:cs="Arial"/>
          <w:lang w:val="en-GB"/>
        </w:rPr>
        <w:t xml:space="preserve">, highly educated people, secular groups, women and people who vote for social or liberal political parties are </w:t>
      </w:r>
      <w:r>
        <w:rPr>
          <w:rFonts w:ascii="Arial" w:hAnsi="Arial" w:cs="Arial"/>
          <w:lang w:val="en-GB"/>
        </w:rPr>
        <w:t xml:space="preserve">generally </w:t>
      </w:r>
      <w:r w:rsidRPr="0028108F">
        <w:rPr>
          <w:rFonts w:ascii="Arial" w:hAnsi="Arial" w:cs="Arial"/>
          <w:lang w:val="en-GB"/>
        </w:rPr>
        <w:t>more positive about transgender people. Young males, people from immigrant backgrounds, lesser-educated people and strict religious groups tend to have a relatively negative view of transgender people.  See Saskia Keuzenkamp &amp; Lisette Kuyper, “Acceptance of lesbian, gay, bisexual and transgender individuals in the Netherlands 2013”</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The Netherlands Institute for Social Research</w:t>
      </w:r>
      <w:r w:rsidRPr="00181CF2">
        <w:rPr>
          <w:rFonts w:ascii="Arial" w:hAnsi="Arial" w:cs="Arial"/>
          <w:lang w:val="en-GB"/>
        </w:rPr>
        <w:t>, May 2013 (available at:</w:t>
      </w:r>
    </w:p>
    <w:p w:rsidR="0022178B" w:rsidRPr="0028108F" w:rsidRDefault="0022178B" w:rsidP="008A27C8">
      <w:pPr>
        <w:pStyle w:val="FootnoteText"/>
        <w:tabs>
          <w:tab w:val="left" w:pos="851"/>
        </w:tabs>
        <w:ind w:left="709" w:hanging="709"/>
        <w:jc w:val="both"/>
        <w:rPr>
          <w:rFonts w:ascii="Arial" w:hAnsi="Arial" w:cs="Arial"/>
          <w:lang w:val="en-US"/>
        </w:rPr>
      </w:pPr>
      <w:r w:rsidRPr="0028108F">
        <w:rPr>
          <w:rFonts w:ascii="Arial" w:hAnsi="Arial" w:cs="Arial"/>
          <w:lang w:val="en-GB"/>
        </w:rPr>
        <w:tab/>
      </w:r>
      <w:hyperlink r:id="rId47" w:history="1">
        <w:r w:rsidRPr="0028108F">
          <w:rPr>
            <w:rStyle w:val="Hyperlink"/>
            <w:rFonts w:ascii="Arial" w:hAnsi="Arial" w:cs="Arial"/>
            <w:lang w:val="en-US"/>
          </w:rPr>
          <w:t>https://www.scp.nl/english/Publications/Publications_by_year/Publications_2013/Acceptance_of_lesbian_gay_bisexual_and_transgender_individuals_in_the_Netherlands_2013</w:t>
        </w:r>
      </w:hyperlink>
      <w:r w:rsidRPr="0028108F">
        <w:rPr>
          <w:rFonts w:ascii="Arial" w:hAnsi="Arial" w:cs="Arial"/>
          <w:lang w:val="en-US"/>
        </w:rPr>
        <w:t xml:space="preserve">). </w:t>
      </w:r>
    </w:p>
  </w:footnote>
  <w:footnote w:id="409">
    <w:p w:rsidR="0022178B" w:rsidRPr="00C57CE1" w:rsidRDefault="0022178B" w:rsidP="00064BD8">
      <w:pPr>
        <w:pStyle w:val="FootnoteText"/>
        <w:tabs>
          <w:tab w:val="left" w:pos="851"/>
        </w:tabs>
        <w:ind w:left="709" w:hanging="709"/>
        <w:jc w:val="both"/>
        <w:rPr>
          <w:rFonts w:ascii="Arial" w:hAnsi="Arial" w:cs="Arial"/>
          <w:lang w:val="en-GB" w:eastAsia="zh-TW"/>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For example, this view can be found expressed in the course of the deliberations on the Irish Gender Recognition Act, which was passed on 15 July 2015.  See Transgender Equality Network Ireland, “Legal Gender Recognition in Ireland”</w:t>
      </w:r>
      <w:r w:rsidRPr="00181CF2">
        <w:rPr>
          <w:rFonts w:ascii="Arial" w:hAnsi="Arial" w:cs="Arial"/>
          <w:lang w:val="en-GB"/>
        </w:rPr>
        <w:t>, available a</w:t>
      </w:r>
      <w:r w:rsidRPr="00C57CE1">
        <w:rPr>
          <w:rFonts w:ascii="Arial" w:hAnsi="Arial" w:cs="Arial"/>
          <w:lang w:val="en-GB"/>
        </w:rPr>
        <w:t xml:space="preserve">t: </w:t>
      </w:r>
      <w:hyperlink r:id="rId48" w:history="1">
        <w:r w:rsidRPr="0028108F">
          <w:rPr>
            <w:rStyle w:val="Hyperlink"/>
            <w:rFonts w:ascii="Arial" w:hAnsi="Arial" w:cs="Arial"/>
            <w:lang w:val="en-GB"/>
          </w:rPr>
          <w:t>http://www.teni.ie/page.aspx?contentid=586</w:t>
        </w:r>
      </w:hyperlink>
      <w:r w:rsidRPr="00181CF2">
        <w:rPr>
          <w:rFonts w:ascii="Arial" w:hAnsi="Arial" w:cs="Arial"/>
          <w:lang w:val="en-GB"/>
        </w:rPr>
        <w:t>.</w:t>
      </w:r>
    </w:p>
  </w:footnote>
  <w:footnote w:id="410">
    <w:p w:rsidR="0022178B" w:rsidRPr="0028108F" w:rsidRDefault="0022178B" w:rsidP="00963DE3">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28108F">
        <w:rPr>
          <w:rFonts w:ascii="Arial" w:hAnsi="Arial" w:cs="Arial"/>
          <w:lang w:val="en-GB"/>
        </w:rPr>
        <w:t>Amnesty International, 2014, “</w:t>
      </w:r>
      <w:r w:rsidRPr="0028108F">
        <w:rPr>
          <w:rFonts w:ascii="Arial" w:hAnsi="Arial" w:cs="Arial"/>
          <w:color w:val="0D0D0D" w:themeColor="text1" w:themeTint="F2"/>
          <w:kern w:val="0"/>
          <w:lang w:val="en-GB"/>
        </w:rPr>
        <w:t>The State Decides Who I Am: Lack of Recognition For Transgender People”</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rPr>
        <w:t>at 20.  See also Michael Kirby, “Transgender Law Reform: Ten Commandments of Hong Kong”</w:t>
      </w:r>
      <w:r w:rsidRPr="00181CF2">
        <w:rPr>
          <w:rFonts w:ascii="Arial" w:hAnsi="Arial" w:cs="Arial"/>
          <w:lang w:val="en-GB"/>
        </w:rPr>
        <w:t>,</w:t>
      </w:r>
      <w:r w:rsidRPr="00C57CE1">
        <w:rPr>
          <w:rFonts w:ascii="Arial" w:hAnsi="Arial" w:cs="Arial"/>
          <w:lang w:val="en-GB"/>
        </w:rPr>
        <w:t xml:space="preserve"> </w:t>
      </w:r>
      <w:r w:rsidRPr="00181CF2">
        <w:rPr>
          <w:rFonts w:ascii="Arial" w:hAnsi="Arial" w:cs="Arial"/>
          <w:lang w:val="en-GB" w:eastAsia="zh-TW"/>
        </w:rPr>
        <w:t xml:space="preserve">unpublished, </w:t>
      </w:r>
      <w:r w:rsidRPr="0028108F">
        <w:rPr>
          <w:rFonts w:ascii="Arial" w:hAnsi="Arial" w:cs="Arial"/>
          <w:i/>
          <w:lang w:val="en-GB"/>
        </w:rPr>
        <w:t>United Nations Development Programme High-Level Roundtable on Gender Identity Rights and the Law in Asia and the Pacific, Hong Kong</w:t>
      </w:r>
      <w:r w:rsidRPr="00181CF2">
        <w:rPr>
          <w:rFonts w:ascii="Arial" w:hAnsi="Arial" w:cs="Arial"/>
          <w:lang w:val="en-GB"/>
        </w:rPr>
        <w:t>, 2 October 2014</w:t>
      </w:r>
      <w:r w:rsidRPr="00181CF2">
        <w:rPr>
          <w:rFonts w:ascii="Arial" w:hAnsi="Arial" w:cs="Arial"/>
          <w:lang w:val="en-GB" w:eastAsia="zh-TW"/>
        </w:rPr>
        <w:t xml:space="preserve"> (organised by the United Nations</w:t>
      </w:r>
      <w:r w:rsidRPr="00C57CE1">
        <w:rPr>
          <w:rFonts w:ascii="Arial" w:hAnsi="Arial" w:cs="Arial"/>
          <w:lang w:val="en-GB" w:eastAsia="zh-TW"/>
        </w:rPr>
        <w:t xml:space="preserve"> Development Programme and HKU Faculty of Law’s Centre for Comparative and Public Law)</w:t>
      </w:r>
      <w:r w:rsidRPr="0028108F">
        <w:rPr>
          <w:rFonts w:ascii="Arial" w:hAnsi="Arial" w:cs="Arial"/>
          <w:lang w:val="en-GB"/>
        </w:rPr>
        <w:t xml:space="preserve">, at 7 to 8.  See also the </w:t>
      </w:r>
      <w:r w:rsidRPr="0028108F">
        <w:rPr>
          <w:rFonts w:ascii="Arial" w:hAnsi="Arial" w:cs="Arial"/>
          <w:lang w:val="en-GB" w:eastAsia="zh-TW"/>
        </w:rPr>
        <w:t>brief summary of</w:t>
      </w:r>
      <w:r w:rsidRPr="0028108F">
        <w:rPr>
          <w:rFonts w:ascii="Arial" w:hAnsi="Arial" w:cs="Arial"/>
          <w:lang w:val="en-GB"/>
        </w:rPr>
        <w:t xml:space="preserve"> the said Roundtable programme at:</w:t>
      </w:r>
    </w:p>
    <w:p w:rsidR="0022178B" w:rsidRPr="0028108F" w:rsidRDefault="0022178B" w:rsidP="00064BD8">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49" w:history="1">
        <w:r w:rsidRPr="0028108F">
          <w:rPr>
            <w:rStyle w:val="Hyperlink"/>
            <w:rFonts w:ascii="Arial" w:hAnsi="Arial" w:cs="Arial"/>
            <w:lang w:val="en-GB"/>
          </w:rPr>
          <w:t>http://www.hivlawcommission.org/index.php/follow-up-stories/377-high-level-roundtable-on-gender-identity-rights-and-the-law</w:t>
        </w:r>
      </w:hyperlink>
      <w:r w:rsidRPr="0028108F">
        <w:rPr>
          <w:rFonts w:ascii="Arial" w:hAnsi="Arial" w:cs="Arial"/>
          <w:lang w:val="en-GB"/>
        </w:rPr>
        <w:t xml:space="preserve">. </w:t>
      </w:r>
    </w:p>
  </w:footnote>
  <w:footnote w:id="411">
    <w:p w:rsidR="0022178B" w:rsidRPr="00181CF2" w:rsidRDefault="0022178B" w:rsidP="00F43065">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 Winter, “Identity Recognition Without The Knife: Towards A Gender Recognition Ordinance For Hong Kong’s Transsexual People”</w:t>
      </w:r>
      <w:r w:rsidRPr="00181CF2">
        <w:rPr>
          <w:rFonts w:ascii="Arial" w:hAnsi="Arial" w:cs="Arial"/>
          <w:lang w:val="en-GB"/>
        </w:rPr>
        <w:t xml:space="preserve"> </w:t>
      </w:r>
      <w:r w:rsidRPr="00C57CE1">
        <w:rPr>
          <w:rFonts w:ascii="Arial" w:hAnsi="Arial" w:cs="Arial"/>
          <w:lang w:val="en-GB"/>
        </w:rPr>
        <w:t xml:space="preserve">(2014) </w:t>
      </w:r>
      <w:r>
        <w:rPr>
          <w:rFonts w:ascii="Arial" w:hAnsi="Arial" w:cs="Arial"/>
          <w:lang w:val="en-GB"/>
        </w:rPr>
        <w:t xml:space="preserve">44 </w:t>
      </w:r>
      <w:r w:rsidRPr="00F86CD8">
        <w:rPr>
          <w:rFonts w:ascii="Arial" w:hAnsi="Arial" w:cs="Arial"/>
          <w:lang w:val="en-GB"/>
        </w:rPr>
        <w:t>HKLJ</w:t>
      </w:r>
      <w:r w:rsidRPr="00181CF2">
        <w:rPr>
          <w:rFonts w:ascii="Arial" w:hAnsi="Arial" w:cs="Arial"/>
          <w:lang w:val="en-GB"/>
        </w:rPr>
        <w:t xml:space="preserve"> 115, at 123.</w:t>
      </w:r>
    </w:p>
  </w:footnote>
  <w:footnote w:id="412">
    <w:p w:rsidR="0022178B" w:rsidRPr="00C57CE1" w:rsidRDefault="0022178B" w:rsidP="0028108F">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Sam Winter, </w:t>
      </w:r>
      <w:r w:rsidRPr="00C57CE1">
        <w:rPr>
          <w:rFonts w:ascii="Arial" w:hAnsi="Arial" w:cs="Arial"/>
          <w:lang w:val="en-GB"/>
        </w:rPr>
        <w:t>“</w:t>
      </w:r>
      <w:r w:rsidRPr="0028108F">
        <w:rPr>
          <w:rFonts w:ascii="Arial" w:hAnsi="Arial" w:cs="Arial"/>
          <w:lang w:val="en-GB"/>
        </w:rPr>
        <w:t>Transgender Science: How Might It Shape The Way We Think About Transgender Rights?”</w:t>
      </w:r>
      <w:r w:rsidRPr="00181CF2">
        <w:rPr>
          <w:rFonts w:ascii="Arial" w:hAnsi="Arial" w:cs="Arial"/>
          <w:i/>
          <w:lang w:val="en-GB"/>
        </w:rPr>
        <w:t xml:space="preserve"> </w:t>
      </w:r>
      <w:r w:rsidRPr="00C57CE1">
        <w:rPr>
          <w:rFonts w:ascii="Arial" w:hAnsi="Arial" w:cs="Arial"/>
          <w:lang w:val="en-GB"/>
        </w:rPr>
        <w:t xml:space="preserve">(2011) </w:t>
      </w:r>
      <w:r>
        <w:rPr>
          <w:rFonts w:ascii="Arial" w:hAnsi="Arial" w:cs="Arial"/>
          <w:lang w:val="en-GB"/>
        </w:rPr>
        <w:t xml:space="preserve">41 </w:t>
      </w:r>
      <w:r w:rsidRPr="00F86CD8">
        <w:rPr>
          <w:rFonts w:ascii="Arial" w:hAnsi="Arial" w:cs="Arial"/>
          <w:lang w:val="en-GB"/>
        </w:rPr>
        <w:t>HKLJ</w:t>
      </w:r>
      <w:r w:rsidRPr="00181CF2">
        <w:rPr>
          <w:rFonts w:ascii="Arial" w:hAnsi="Arial" w:cs="Arial"/>
          <w:lang w:val="en-GB"/>
        </w:rPr>
        <w:t xml:space="preserve"> 139, at 148 to 149.</w:t>
      </w:r>
      <w:r w:rsidRPr="00C57CE1">
        <w:rPr>
          <w:rFonts w:ascii="Arial" w:hAnsi="Arial" w:cs="Arial"/>
          <w:lang w:val="en-GB"/>
        </w:rPr>
        <w:t xml:space="preserve">  See also Hong Kong Christian Institute, </w:t>
      </w:r>
      <w:r w:rsidRPr="0028108F">
        <w:rPr>
          <w:rFonts w:ascii="Arial" w:hAnsi="Arial" w:cs="Arial"/>
          <w:lang w:val="en-GB"/>
        </w:rPr>
        <w:t>Leslovestudy, Out</w:t>
      </w:r>
      <w:r>
        <w:rPr>
          <w:rFonts w:ascii="Arial" w:hAnsi="Arial" w:cs="Arial"/>
          <w:lang w:val="en-GB"/>
        </w:rPr>
        <w:t xml:space="preserve"> </w:t>
      </w:r>
      <w:r w:rsidRPr="0028108F">
        <w:rPr>
          <w:rFonts w:ascii="Arial" w:hAnsi="Arial" w:cs="Arial"/>
          <w:lang w:val="en-GB"/>
        </w:rPr>
        <w:t>and</w:t>
      </w:r>
      <w:r>
        <w:rPr>
          <w:rFonts w:ascii="Arial" w:hAnsi="Arial" w:cs="Arial"/>
          <w:lang w:val="en-GB"/>
        </w:rPr>
        <w:t xml:space="preserve"> </w:t>
      </w:r>
      <w:r w:rsidRPr="0028108F">
        <w:rPr>
          <w:rFonts w:ascii="Arial" w:hAnsi="Arial" w:cs="Arial"/>
          <w:lang w:val="en-GB"/>
        </w:rPr>
        <w:t>Vote and Queer Theology Academy (Collaborative), “</w:t>
      </w:r>
      <w:r w:rsidRPr="0028108F">
        <w:rPr>
          <w:rFonts w:ascii="Arial" w:hAnsi="Arial" w:cs="Arial"/>
          <w:lang w:val="en-GB"/>
        </w:rPr>
        <w:t>同志及跨性別平權報告</w:t>
      </w:r>
      <w:r w:rsidRPr="0028108F">
        <w:rPr>
          <w:rFonts w:ascii="Arial" w:hAnsi="Arial" w:cs="Arial"/>
          <w:lang w:val="en-GB"/>
        </w:rPr>
        <w:t xml:space="preserve">” </w:t>
      </w:r>
      <w:r w:rsidRPr="00181CF2">
        <w:rPr>
          <w:rFonts w:ascii="Arial" w:hAnsi="Arial" w:cs="Arial"/>
          <w:lang w:val="en-GB"/>
        </w:rPr>
        <w:t xml:space="preserve">(transliterated as </w:t>
      </w:r>
      <w:r w:rsidRPr="00C57CE1">
        <w:rPr>
          <w:rFonts w:ascii="Arial" w:hAnsi="Arial" w:cs="Arial"/>
          <w:lang w:val="en-GB"/>
        </w:rPr>
        <w:t>“</w:t>
      </w:r>
      <w:r w:rsidRPr="0028108F">
        <w:rPr>
          <w:rFonts w:ascii="Arial" w:hAnsi="Arial" w:cs="Arial"/>
          <w:lang w:val="en-GB"/>
        </w:rPr>
        <w:t>Tongzhi and Transgender Equality Report”</w:t>
      </w:r>
      <w:r w:rsidRPr="00181CF2">
        <w:rPr>
          <w:rFonts w:ascii="Arial" w:hAnsi="Arial" w:cs="Arial"/>
          <w:lang w:val="en-GB"/>
        </w:rPr>
        <w:t>), March 2014, available at:</w:t>
      </w:r>
    </w:p>
    <w:p w:rsidR="0022178B" w:rsidRPr="0028108F" w:rsidRDefault="0022178B" w:rsidP="0028108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50" w:history="1">
        <w:r w:rsidRPr="00C57CE1">
          <w:rPr>
            <w:rStyle w:val="Hyperlink"/>
            <w:rFonts w:ascii="Arial" w:hAnsi="Arial" w:cs="Arial"/>
            <w:lang w:val="en-GB"/>
          </w:rPr>
          <w:t>https://issuu.com/makmingyee/docs/____________</w:t>
        </w:r>
      </w:hyperlink>
      <w:r>
        <w:rPr>
          <w:rStyle w:val="Hyperlink"/>
          <w:rFonts w:ascii="Arial" w:hAnsi="Arial" w:cs="Arial"/>
          <w:lang w:val="en-GB"/>
        </w:rPr>
        <w:t>/1</w:t>
      </w:r>
      <w:r w:rsidRPr="00181CF2">
        <w:rPr>
          <w:rFonts w:ascii="Arial" w:hAnsi="Arial" w:cs="Arial"/>
          <w:lang w:val="en-GB"/>
        </w:rPr>
        <w:t xml:space="preserve">, at </w:t>
      </w:r>
      <w:r w:rsidRPr="0028108F">
        <w:rPr>
          <w:rFonts w:ascii="Arial" w:hAnsi="Arial" w:cs="Arial"/>
          <w:lang w:val="en-GB"/>
        </w:rPr>
        <w:t>1</w:t>
      </w:r>
      <w:r>
        <w:rPr>
          <w:rFonts w:ascii="Arial" w:hAnsi="Arial" w:cs="Arial"/>
          <w:lang w:val="en-GB"/>
        </w:rPr>
        <w:t>2</w:t>
      </w:r>
      <w:r w:rsidRPr="0028108F">
        <w:rPr>
          <w:rFonts w:ascii="Arial" w:hAnsi="Arial" w:cs="Arial"/>
          <w:lang w:val="en-GB"/>
        </w:rPr>
        <w:t>.</w:t>
      </w:r>
    </w:p>
  </w:footnote>
  <w:footnote w:id="413">
    <w:p w:rsidR="0022178B" w:rsidRPr="00C57CE1" w:rsidRDefault="0022178B" w:rsidP="00F43065">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Robyn Emerton</w:t>
      </w:r>
      <w:r w:rsidRPr="00C57CE1">
        <w:rPr>
          <w:rFonts w:ascii="Arial" w:hAnsi="Arial" w:cs="Arial"/>
          <w:lang w:val="en-GB"/>
        </w:rPr>
        <w:t xml:space="preserve"> </w:t>
      </w:r>
      <w:r w:rsidRPr="0028108F">
        <w:rPr>
          <w:rFonts w:ascii="Arial" w:hAnsi="Arial" w:cs="Arial"/>
          <w:lang w:val="en-GB"/>
        </w:rPr>
        <w:t>contended that, although transgender persons may be legally protected from certain types of discrimination under Hong Kong law such as the Disability Discrimination Ordinance (Cap 487)</w:t>
      </w:r>
      <w:r w:rsidRPr="00C57CE1">
        <w:rPr>
          <w:rFonts w:ascii="Arial" w:hAnsi="Arial" w:cs="Arial"/>
          <w:i/>
          <w:lang w:val="en-GB"/>
        </w:rPr>
        <w:t xml:space="preserve">, </w:t>
      </w:r>
      <w:r w:rsidRPr="0028108F">
        <w:rPr>
          <w:rFonts w:ascii="Arial" w:hAnsi="Arial" w:cs="Arial"/>
          <w:lang w:val="en-GB"/>
        </w:rPr>
        <w:t>bringing a claim under th</w:t>
      </w:r>
      <w:r>
        <w:rPr>
          <w:rFonts w:ascii="Arial" w:hAnsi="Arial" w:cs="Arial" w:hint="eastAsia"/>
          <w:lang w:val="en-GB" w:eastAsia="zh-TW"/>
        </w:rPr>
        <w:t xml:space="preserve">is Ordinance </w:t>
      </w:r>
      <w:r w:rsidRPr="0028108F">
        <w:rPr>
          <w:rFonts w:ascii="Arial" w:hAnsi="Arial" w:cs="Arial"/>
          <w:lang w:val="en-GB"/>
        </w:rPr>
        <w:t>“</w:t>
      </w:r>
      <w:r w:rsidRPr="0028108F">
        <w:rPr>
          <w:rFonts w:ascii="Arial" w:hAnsi="Arial" w:cs="Arial"/>
          <w:i/>
          <w:lang w:val="en-GB"/>
        </w:rPr>
        <w:t>presents somewhat of a dilemma, since it relies on the unpalatable argument that transgender people have a disability</w:t>
      </w:r>
      <w:r w:rsidRPr="0028108F">
        <w:rPr>
          <w:rFonts w:ascii="Arial" w:hAnsi="Arial" w:cs="Arial"/>
          <w:lang w:val="en-GB"/>
        </w:rPr>
        <w:t>”.  See Robyn Emerton, “Finding a voice, fighting for rights: the emergence of the transgender movement in Hong Kong”</w:t>
      </w:r>
      <w:r w:rsidRPr="00181CF2">
        <w:rPr>
          <w:rFonts w:ascii="Arial" w:hAnsi="Arial" w:cs="Arial"/>
          <w:lang w:val="en-GB"/>
        </w:rPr>
        <w:t xml:space="preserve">, </w:t>
      </w:r>
      <w:r w:rsidRPr="0028108F">
        <w:rPr>
          <w:rFonts w:ascii="Arial" w:hAnsi="Arial" w:cs="Arial"/>
          <w:i/>
          <w:lang w:val="en-GB"/>
        </w:rPr>
        <w:t>Inter-Asia Cultural Studies</w:t>
      </w:r>
      <w:r w:rsidRPr="00181CF2">
        <w:rPr>
          <w:rFonts w:ascii="Arial" w:hAnsi="Arial" w:cs="Arial"/>
          <w:lang w:val="en-GB"/>
        </w:rPr>
        <w:t xml:space="preserve">, Volume 7, Number 2, 2006, at </w:t>
      </w:r>
      <w:r w:rsidRPr="0028108F">
        <w:rPr>
          <w:rFonts w:ascii="Arial" w:hAnsi="Arial" w:cs="Arial"/>
          <w:lang w:val="en-GB" w:eastAsia="zh-TW"/>
        </w:rPr>
        <w:t xml:space="preserve">251 and </w:t>
      </w:r>
      <w:r w:rsidRPr="00181CF2">
        <w:rPr>
          <w:rFonts w:ascii="Arial" w:hAnsi="Arial" w:cs="Arial"/>
          <w:lang w:val="en-GB"/>
        </w:rPr>
        <w:t>2</w:t>
      </w:r>
      <w:r w:rsidRPr="00C57CE1">
        <w:rPr>
          <w:rFonts w:ascii="Arial" w:hAnsi="Arial" w:cs="Arial"/>
          <w:lang w:val="en-GB"/>
        </w:rPr>
        <w:t>55.</w:t>
      </w:r>
    </w:p>
  </w:footnote>
  <w:footnote w:id="414">
    <w:p w:rsidR="0022178B" w:rsidRPr="0028108F" w:rsidRDefault="0022178B" w:rsidP="00F43065">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lang w:val="en-GB"/>
        </w:rPr>
        <w:t xml:space="preserve">Sam Winter, </w:t>
      </w:r>
      <w:r w:rsidRPr="0028108F">
        <w:rPr>
          <w:rFonts w:ascii="Arial" w:hAnsi="Arial" w:cs="Arial"/>
          <w:lang w:val="en-GB"/>
        </w:rPr>
        <w:t>“Lost in Transition: Transpeople, Transprejudice and Pathology in Asia”</w:t>
      </w:r>
      <w:r w:rsidRPr="00181CF2">
        <w:rPr>
          <w:rFonts w:ascii="Arial" w:hAnsi="Arial" w:cs="Arial"/>
          <w:lang w:val="en-GB"/>
        </w:rPr>
        <w:t xml:space="preserve">, </w:t>
      </w:r>
      <w:r w:rsidRPr="0028108F">
        <w:rPr>
          <w:rFonts w:ascii="Arial" w:hAnsi="Arial" w:cs="Arial"/>
          <w:i/>
          <w:lang w:val="en-GB"/>
        </w:rPr>
        <w:t>International Journal of Human Rights</w:t>
      </w:r>
      <w:r w:rsidRPr="00181CF2">
        <w:rPr>
          <w:rFonts w:ascii="Arial" w:hAnsi="Arial" w:cs="Arial"/>
          <w:lang w:val="en-GB"/>
        </w:rPr>
        <w:t>, 13,</w:t>
      </w:r>
      <w:r>
        <w:rPr>
          <w:rFonts w:ascii="Arial" w:hAnsi="Arial" w:cs="Arial"/>
          <w:lang w:val="en-GB"/>
        </w:rPr>
        <w:t xml:space="preserve"> </w:t>
      </w:r>
      <w:r w:rsidRPr="00181CF2">
        <w:rPr>
          <w:rFonts w:ascii="Arial" w:hAnsi="Arial" w:cs="Arial"/>
          <w:lang w:val="en-GB"/>
        </w:rPr>
        <w:t xml:space="preserve">2/3: </w:t>
      </w:r>
      <w:r w:rsidRPr="0028108F">
        <w:rPr>
          <w:rFonts w:ascii="Arial" w:hAnsi="Arial" w:cs="Arial"/>
          <w:lang w:val="en-GB"/>
        </w:rPr>
        <w:t>365-390, 2009.</w:t>
      </w:r>
    </w:p>
  </w:footnote>
  <w:footnote w:id="415">
    <w:p w:rsidR="0022178B" w:rsidRPr="0028108F" w:rsidRDefault="0022178B" w:rsidP="00697450">
      <w:pPr>
        <w:pStyle w:val="FootnoteText"/>
        <w:tabs>
          <w:tab w:val="left" w:pos="851"/>
        </w:tabs>
        <w:ind w:left="709" w:hanging="709"/>
        <w:jc w:val="both"/>
        <w:rPr>
          <w:rFonts w:ascii="Arial" w:hAnsi="Arial" w:cs="Arial"/>
          <w:lang w:val="en-US"/>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eastAsia="細明體" w:hAnsi="Arial" w:cs="Arial"/>
          <w:color w:val="000000"/>
          <w:kern w:val="0"/>
          <w:lang w:val="en-GB"/>
        </w:rPr>
        <w:t>Community Business,</w:t>
      </w:r>
      <w:r w:rsidRPr="008813DE">
        <w:rPr>
          <w:rFonts w:ascii="Arial" w:eastAsia="細明體" w:hAnsi="Arial" w:cs="Arial"/>
          <w:iCs/>
          <w:color w:val="000000"/>
          <w:kern w:val="0"/>
          <w:lang w:val="en-GB"/>
        </w:rPr>
        <w:t xml:space="preserve"> </w:t>
      </w:r>
      <w:r>
        <w:rPr>
          <w:rFonts w:ascii="Arial" w:eastAsia="細明體" w:hAnsi="Arial" w:cs="Arial"/>
          <w:iCs/>
          <w:color w:val="000000"/>
          <w:kern w:val="0"/>
          <w:lang w:val="en-GB"/>
        </w:rPr>
        <w:t>“</w:t>
      </w:r>
      <w:r w:rsidRPr="008813DE">
        <w:rPr>
          <w:rFonts w:ascii="Arial" w:eastAsia="細明體" w:hAnsi="Arial" w:cs="Arial"/>
          <w:iCs/>
          <w:color w:val="000000"/>
          <w:kern w:val="0"/>
          <w:lang w:val="en-GB"/>
        </w:rPr>
        <w:t xml:space="preserve">Hong Kong LGBT Climate </w:t>
      </w:r>
      <w:r>
        <w:rPr>
          <w:rFonts w:ascii="Arial" w:eastAsia="細明體" w:hAnsi="Arial" w:cs="Arial"/>
          <w:iCs/>
          <w:color w:val="000000"/>
          <w:kern w:val="0"/>
          <w:lang w:val="en-GB"/>
        </w:rPr>
        <w:t>Study</w:t>
      </w:r>
      <w:r w:rsidRPr="008813DE">
        <w:rPr>
          <w:rFonts w:ascii="Arial" w:eastAsia="細明體" w:hAnsi="Arial" w:cs="Arial"/>
          <w:iCs/>
          <w:color w:val="000000"/>
          <w:kern w:val="0"/>
          <w:lang w:val="en-GB"/>
        </w:rPr>
        <w:t xml:space="preserve"> 2011</w:t>
      </w:r>
      <w:r>
        <w:rPr>
          <w:rFonts w:ascii="Arial" w:eastAsia="細明體" w:hAnsi="Arial" w:cs="Arial"/>
          <w:iCs/>
          <w:color w:val="000000"/>
          <w:kern w:val="0"/>
          <w:lang w:val="en-GB"/>
        </w:rPr>
        <w:t>-</w:t>
      </w:r>
      <w:r w:rsidRPr="008813DE">
        <w:rPr>
          <w:rFonts w:ascii="Arial" w:eastAsia="細明體" w:hAnsi="Arial" w:cs="Arial"/>
          <w:iCs/>
          <w:color w:val="000000"/>
          <w:kern w:val="0"/>
          <w:lang w:val="en-GB"/>
        </w:rPr>
        <w:t>12</w:t>
      </w:r>
      <w:r>
        <w:rPr>
          <w:rFonts w:ascii="Arial" w:eastAsia="細明體" w:hAnsi="Arial" w:cs="Arial"/>
          <w:iCs/>
          <w:color w:val="000000"/>
          <w:kern w:val="0"/>
          <w:lang w:val="en-GB"/>
        </w:rPr>
        <w:t>: Survey Report”</w:t>
      </w:r>
      <w:r w:rsidRPr="008813DE">
        <w:rPr>
          <w:rFonts w:ascii="Arial" w:eastAsia="細明體" w:hAnsi="Arial" w:cs="Arial"/>
          <w:iCs/>
          <w:color w:val="000000"/>
          <w:kern w:val="0"/>
          <w:lang w:val="en-GB"/>
        </w:rPr>
        <w:t xml:space="preserve"> </w:t>
      </w:r>
      <w:r w:rsidRPr="0028108F">
        <w:rPr>
          <w:rFonts w:ascii="Arial" w:eastAsia="細明體" w:hAnsi="Arial" w:cs="Arial"/>
          <w:color w:val="000000"/>
          <w:kern w:val="0"/>
          <w:lang w:val="en-GB"/>
        </w:rPr>
        <w:t xml:space="preserve">(2012), </w:t>
      </w:r>
      <w:r w:rsidRPr="0028108F">
        <w:rPr>
          <w:rFonts w:ascii="Arial" w:hAnsi="Arial" w:cs="Arial"/>
          <w:lang w:val="en-GB"/>
        </w:rPr>
        <w:t>at 6, 7 and 15.</w:t>
      </w:r>
    </w:p>
  </w:footnote>
  <w:footnote w:id="416">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t>Ro</w:t>
      </w:r>
      <w:r w:rsidRPr="0028108F">
        <w:rPr>
          <w:rFonts w:ascii="Arial" w:hAnsi="Arial" w:cs="Arial"/>
          <w:lang w:val="en-GB"/>
        </w:rPr>
        <w:t>byn Emerton, “Finding a voice, fighting for rights: the emergence of the transgender movement in Hong Kong”</w:t>
      </w:r>
      <w:r w:rsidRPr="00181CF2">
        <w:rPr>
          <w:rFonts w:ascii="Arial" w:hAnsi="Arial" w:cs="Arial"/>
          <w:lang w:val="en-GB"/>
        </w:rPr>
        <w:t xml:space="preserve">, </w:t>
      </w:r>
      <w:r w:rsidRPr="0028108F">
        <w:rPr>
          <w:rFonts w:ascii="Arial" w:hAnsi="Arial" w:cs="Arial"/>
          <w:i/>
          <w:lang w:val="en-GB"/>
        </w:rPr>
        <w:t>Inter-Asia Cultural Studies</w:t>
      </w:r>
      <w:r w:rsidRPr="00181CF2">
        <w:rPr>
          <w:rFonts w:ascii="Arial" w:hAnsi="Arial" w:cs="Arial"/>
          <w:lang w:val="en-GB"/>
        </w:rPr>
        <w:t>, Volume 7, Number 2, 2006, at 254.</w:t>
      </w:r>
    </w:p>
  </w:footnote>
  <w:footnote w:id="417">
    <w:p w:rsidR="0022178B" w:rsidRPr="00181CF2" w:rsidRDefault="0022178B" w:rsidP="004633AF">
      <w:pPr>
        <w:pStyle w:val="FootnoteText"/>
        <w:tabs>
          <w:tab w:val="left" w:pos="851"/>
        </w:tabs>
        <w:ind w:left="709" w:hanging="709"/>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Robyn Emerton, “Neither Here Nor There: The Current Status Of Transsexual And Other Transgender Persons Under Hong Kong Law”</w:t>
      </w:r>
      <w:r w:rsidRPr="00181CF2">
        <w:rPr>
          <w:rFonts w:ascii="Arial" w:hAnsi="Arial" w:cs="Arial"/>
          <w:lang w:val="en-GB"/>
        </w:rPr>
        <w:t xml:space="preserve"> (2004) </w:t>
      </w:r>
      <w:r>
        <w:rPr>
          <w:rFonts w:ascii="Arial" w:hAnsi="Arial" w:cs="Arial"/>
          <w:lang w:val="en-GB"/>
        </w:rPr>
        <w:t xml:space="preserve">34 </w:t>
      </w:r>
      <w:r w:rsidRPr="00F86CD8">
        <w:rPr>
          <w:rFonts w:ascii="Arial" w:hAnsi="Arial" w:cs="Arial"/>
          <w:lang w:val="en-GB"/>
        </w:rPr>
        <w:t>HKLJ</w:t>
      </w:r>
      <w:r w:rsidRPr="00181CF2">
        <w:rPr>
          <w:rFonts w:ascii="Arial" w:hAnsi="Arial" w:cs="Arial"/>
          <w:lang w:val="en-GB"/>
        </w:rPr>
        <w:t xml:space="preserve"> 245.</w:t>
      </w:r>
    </w:p>
  </w:footnote>
  <w:footnote w:id="418">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The Open Society Foundations,</w:t>
      </w:r>
      <w:r w:rsidRPr="00C57CE1">
        <w:rPr>
          <w:rFonts w:ascii="Arial" w:hAnsi="Arial" w:cs="Arial"/>
          <w:lang w:val="en-GB"/>
        </w:rPr>
        <w:t xml:space="preserve"> </w:t>
      </w:r>
      <w:r w:rsidRPr="0028108F">
        <w:rPr>
          <w:rFonts w:ascii="Arial" w:hAnsi="Arial" w:cs="Arial"/>
          <w:lang w:val="en-GB"/>
        </w:rPr>
        <w:t>“License To Be Yourself: Laws and Advocacy for Legal Gender Recognition of Trans People”</w:t>
      </w:r>
      <w:r w:rsidRPr="00181CF2">
        <w:rPr>
          <w:rFonts w:ascii="Arial" w:hAnsi="Arial" w:cs="Arial"/>
          <w:lang w:val="en-GB"/>
        </w:rPr>
        <w:t>,</w:t>
      </w:r>
      <w:r w:rsidRPr="00C57CE1">
        <w:rPr>
          <w:rFonts w:ascii="Arial" w:hAnsi="Arial" w:cs="Arial"/>
          <w:lang w:val="en-GB"/>
        </w:rPr>
        <w:t xml:space="preserve"> May 2014,</w:t>
      </w:r>
      <w:r w:rsidRPr="00181CF2">
        <w:rPr>
          <w:rFonts w:ascii="Arial" w:hAnsi="Arial" w:cs="Arial"/>
          <w:lang w:val="en-GB"/>
        </w:rPr>
        <w:t xml:space="preserve"> at </w:t>
      </w:r>
      <w:r w:rsidRPr="0028108F">
        <w:rPr>
          <w:rFonts w:ascii="Arial" w:hAnsi="Arial" w:cs="Arial"/>
          <w:lang w:val="en-GB"/>
        </w:rPr>
        <w:t>8.</w:t>
      </w:r>
    </w:p>
  </w:footnote>
  <w:footnote w:id="419">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only excep</w:t>
      </w:r>
      <w:r w:rsidRPr="00C57CE1">
        <w:rPr>
          <w:rFonts w:ascii="Arial" w:hAnsi="Arial" w:cs="Arial"/>
          <w:lang w:val="en-GB"/>
        </w:rPr>
        <w:t xml:space="preserve">tion was </w:t>
      </w:r>
      <w:r w:rsidRPr="0028108F">
        <w:rPr>
          <w:rFonts w:ascii="Arial" w:hAnsi="Arial" w:cs="Arial"/>
          <w:i/>
          <w:lang w:val="en-GB"/>
        </w:rPr>
        <w:t>B v France</w:t>
      </w:r>
      <w:r w:rsidRPr="0028108F">
        <w:rPr>
          <w:rFonts w:ascii="Arial" w:hAnsi="Arial" w:cs="Arial"/>
          <w:lang w:val="en-GB"/>
        </w:rPr>
        <w:t xml:space="preserve"> [1992] </w:t>
      </w:r>
      <w:r w:rsidRPr="00F86CD8">
        <w:rPr>
          <w:rFonts w:ascii="Arial" w:hAnsi="Arial" w:cs="Arial"/>
          <w:lang w:val="en-GB"/>
        </w:rPr>
        <w:t>ECHR</w:t>
      </w:r>
      <w:r w:rsidRPr="00181CF2">
        <w:rPr>
          <w:rFonts w:ascii="Arial" w:hAnsi="Arial" w:cs="Arial"/>
          <w:lang w:val="en-GB"/>
        </w:rPr>
        <w:t xml:space="preserve"> 40</w:t>
      </w:r>
      <w:r w:rsidRPr="0028108F">
        <w:rPr>
          <w:rFonts w:ascii="Arial" w:hAnsi="Arial" w:cs="Arial"/>
          <w:lang w:val="en-GB"/>
        </w:rPr>
        <w:t>, 25 March 1992.</w:t>
      </w:r>
    </w:p>
  </w:footnote>
  <w:footnote w:id="420">
    <w:p w:rsidR="0022178B" w:rsidRPr="0028108F" w:rsidRDefault="0022178B" w:rsidP="0028108F">
      <w:pPr>
        <w:pStyle w:val="FootnoteText"/>
        <w:tabs>
          <w:tab w:val="left" w:pos="851"/>
        </w:tabs>
        <w:ind w:left="709" w:hanging="709"/>
        <w:jc w:val="both"/>
        <w:rPr>
          <w:rFonts w:ascii="Arial" w:hAnsi="Arial" w:cs="Arial"/>
          <w:lang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[2006] </w:t>
      </w:r>
      <w:r w:rsidRPr="00F86CD8">
        <w:rPr>
          <w:rFonts w:ascii="Arial" w:hAnsi="Arial" w:cs="Arial"/>
          <w:lang w:val="en-GB"/>
        </w:rPr>
        <w:t>ECHR</w:t>
      </w:r>
      <w:r w:rsidRPr="0028108F">
        <w:rPr>
          <w:rFonts w:ascii="Arial" w:hAnsi="Arial" w:cs="Arial"/>
          <w:lang w:val="en-GB"/>
        </w:rPr>
        <w:t xml:space="preserve"> 548, (2007) 44 </w:t>
      </w:r>
      <w:r w:rsidRPr="00F86CD8">
        <w:rPr>
          <w:rFonts w:ascii="Arial" w:hAnsi="Arial" w:cs="Arial"/>
          <w:lang w:val="en-GB"/>
        </w:rPr>
        <w:t>EHRR</w:t>
      </w:r>
      <w:r w:rsidRPr="0028108F">
        <w:rPr>
          <w:rFonts w:ascii="Arial" w:hAnsi="Arial" w:cs="Arial"/>
          <w:lang w:val="en-GB"/>
        </w:rPr>
        <w:t xml:space="preserve"> 1.</w:t>
      </w:r>
    </w:p>
  </w:footnote>
  <w:footnote w:id="421">
    <w:p w:rsidR="0022178B" w:rsidRPr="0028108F" w:rsidRDefault="0022178B" w:rsidP="0028108F">
      <w:pPr>
        <w:pStyle w:val="FootnoteText"/>
        <w:tabs>
          <w:tab w:val="left" w:pos="851"/>
        </w:tabs>
        <w:ind w:left="709" w:hanging="709"/>
        <w:jc w:val="both"/>
        <w:rPr>
          <w:rFonts w:ascii="Arial" w:hAnsi="Arial" w:cs="Arial"/>
          <w:lang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Application No. 27527/03 (11 September 2007), ECHR 2007-IV.</w:t>
      </w:r>
    </w:p>
  </w:footnote>
  <w:footnote w:id="422">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eastAsia="zh-TW"/>
        </w:rPr>
        <w:t>For a brief introduction</w:t>
      </w:r>
      <w:r w:rsidRPr="00181CF2">
        <w:rPr>
          <w:rFonts w:ascii="Arial" w:hAnsi="Arial" w:cs="Arial"/>
          <w:lang w:val="en-GB" w:eastAsia="zh-TW"/>
        </w:rPr>
        <w:t xml:space="preserve"> to the Principles</w:t>
      </w:r>
      <w:r w:rsidRPr="0028108F">
        <w:rPr>
          <w:rFonts w:ascii="Arial" w:hAnsi="Arial" w:cs="Arial"/>
          <w:lang w:val="en-GB" w:eastAsia="zh-TW"/>
        </w:rPr>
        <w:t xml:space="preserve">, see paragraph </w:t>
      </w:r>
      <w:r w:rsidRPr="008813DE">
        <w:rPr>
          <w:rFonts w:ascii="Arial" w:hAnsi="Arial" w:cs="Arial"/>
          <w:lang w:val="en-GB" w:eastAsia="zh-TW"/>
        </w:rPr>
        <w:t>4.162</w:t>
      </w:r>
      <w:r w:rsidRPr="0028108F">
        <w:rPr>
          <w:rFonts w:ascii="Arial" w:hAnsi="Arial" w:cs="Arial"/>
          <w:lang w:val="en-GB" w:eastAsia="zh-TW"/>
        </w:rPr>
        <w:t xml:space="preserve"> of this Consultation Paper</w:t>
      </w:r>
      <w:r w:rsidRPr="00181CF2">
        <w:rPr>
          <w:rFonts w:ascii="Arial" w:hAnsi="Arial" w:cs="Arial"/>
          <w:lang w:val="en-GB"/>
        </w:rPr>
        <w:t xml:space="preserve">. </w:t>
      </w:r>
    </w:p>
  </w:footnote>
  <w:footnote w:id="423">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Report of the United Nations High </w:t>
      </w:r>
      <w:r w:rsidRPr="00C57CE1">
        <w:rPr>
          <w:rFonts w:ascii="Arial" w:hAnsi="Arial" w:cs="Arial"/>
          <w:lang w:val="en-GB"/>
        </w:rPr>
        <w:t xml:space="preserve">Commissioner for Human Rights, </w:t>
      </w:r>
      <w:r w:rsidRPr="0028108F">
        <w:rPr>
          <w:rFonts w:ascii="Arial" w:hAnsi="Arial" w:cs="Arial"/>
          <w:lang w:val="en-GB"/>
        </w:rPr>
        <w:t>“Discriminatory laws and practices and acts of violence against individuals based on their sexual orientation and gender identity”</w:t>
      </w:r>
      <w:r w:rsidRPr="00181CF2">
        <w:rPr>
          <w:rFonts w:ascii="Arial" w:hAnsi="Arial" w:cs="Arial"/>
          <w:lang w:val="en-GB"/>
        </w:rPr>
        <w:t xml:space="preserve">, </w:t>
      </w:r>
      <w:r w:rsidRPr="00C57CE1">
        <w:rPr>
          <w:rFonts w:ascii="Arial" w:hAnsi="Arial" w:cs="Arial"/>
          <w:lang w:val="en-GB"/>
        </w:rPr>
        <w:t>A/HRC/19/41, 17 November 20</w:t>
      </w:r>
      <w:r w:rsidRPr="0028108F">
        <w:rPr>
          <w:rFonts w:ascii="Arial" w:hAnsi="Arial" w:cs="Arial"/>
          <w:lang w:val="en-GB"/>
        </w:rPr>
        <w:t>11, paragraph 84(h).</w:t>
      </w:r>
    </w:p>
  </w:footnote>
  <w:footnote w:id="424">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Report of the United Nations High Commissioner for Human Rights, </w:t>
      </w:r>
      <w:r w:rsidRPr="00C57CE1">
        <w:rPr>
          <w:rFonts w:ascii="Arial" w:hAnsi="Arial" w:cs="Arial"/>
          <w:lang w:val="en-GB"/>
        </w:rPr>
        <w:t>“</w:t>
      </w:r>
      <w:r w:rsidRPr="0028108F">
        <w:rPr>
          <w:rFonts w:ascii="Arial" w:hAnsi="Arial" w:cs="Arial"/>
          <w:lang w:val="en-GB"/>
        </w:rPr>
        <w:t>Discrimination and violence against individuals based on their sexual orientation and gender identity”</w:t>
      </w:r>
      <w:r w:rsidRPr="00181CF2">
        <w:rPr>
          <w:rFonts w:ascii="Arial" w:hAnsi="Arial" w:cs="Arial"/>
          <w:lang w:val="en-GB"/>
        </w:rPr>
        <w:t>,</w:t>
      </w:r>
      <w:r w:rsidRPr="00C57CE1">
        <w:rPr>
          <w:rFonts w:ascii="Arial" w:hAnsi="Arial" w:cs="Arial"/>
          <w:lang w:val="en-GB"/>
        </w:rPr>
        <w:t xml:space="preserve"> A/HRC/29/23, 4 May 2015, </w:t>
      </w:r>
      <w:r w:rsidRPr="0028108F">
        <w:rPr>
          <w:rFonts w:ascii="Arial" w:hAnsi="Arial" w:cs="Arial"/>
          <w:lang w:val="en-GB"/>
        </w:rPr>
        <w:t>paragraph 79(i).</w:t>
      </w:r>
    </w:p>
  </w:footnote>
  <w:footnote w:id="425">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Style w:val="FootnoteReference"/>
          <w:rFonts w:ascii="Arial" w:hAnsi="Arial" w:cs="Arial"/>
          <w:vertAlign w:val="baseline"/>
          <w:lang w:val="en-GB"/>
        </w:rPr>
        <w:t xml:space="preserve"> </w:t>
      </w:r>
      <w:r w:rsidRPr="00C57CE1">
        <w:rPr>
          <w:rFonts w:ascii="Arial" w:hAnsi="Arial" w:cs="Arial"/>
          <w:lang w:val="en-GB"/>
        </w:rPr>
        <w:tab/>
        <w:t>See CCPR/</w:t>
      </w:r>
      <w:r w:rsidRPr="0028108F">
        <w:rPr>
          <w:rFonts w:ascii="Arial" w:hAnsi="Arial" w:cs="Arial"/>
          <w:lang w:val="en-GB"/>
        </w:rPr>
        <w:t>C/IRL/CO/3, 7-25 July 2008, at paragraph 8.</w:t>
      </w:r>
    </w:p>
  </w:footnote>
  <w:footnote w:id="426">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CCPR/C/GBR/CO/6, 7-25 July 2008, at </w:t>
      </w:r>
      <w:r w:rsidRPr="0028108F">
        <w:rPr>
          <w:rFonts w:ascii="Arial" w:hAnsi="Arial" w:cs="Arial"/>
          <w:lang w:val="en-GB"/>
        </w:rPr>
        <w:t>paragraph 5.</w:t>
      </w:r>
    </w:p>
  </w:footnote>
  <w:footnote w:id="427">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Family Tribunal No 1 of Quilmes, Argentina (30 April 2001).  In this case, the Family Tribunal held that since a transgender person’s personal id</w:t>
      </w:r>
      <w:r w:rsidRPr="00C57CE1">
        <w:rPr>
          <w:rFonts w:ascii="Arial" w:hAnsi="Arial" w:cs="Arial"/>
          <w:lang w:val="en-GB"/>
        </w:rPr>
        <w:t xml:space="preserve">entity included his/her acquired sex, the transgender person had the right to be issued new identification documents reflecting the changed sex. </w:t>
      </w:r>
    </w:p>
  </w:footnote>
  <w:footnote w:id="428">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Foy v An t-Ard Chláraitheoir</w:t>
      </w:r>
      <w:r w:rsidRPr="0028108F">
        <w:rPr>
          <w:rFonts w:ascii="Arial" w:hAnsi="Arial" w:cs="Arial"/>
          <w:lang w:val="en-GB"/>
        </w:rPr>
        <w:t xml:space="preserve"> [2007] </w:t>
      </w:r>
      <w:r w:rsidRPr="0028108F">
        <w:rPr>
          <w:rFonts w:ascii="Arial" w:hAnsi="Arial" w:cs="Arial"/>
          <w:i/>
          <w:lang w:val="en-GB"/>
        </w:rPr>
        <w:t>IEHC</w:t>
      </w:r>
      <w:r w:rsidRPr="00181CF2">
        <w:rPr>
          <w:rFonts w:ascii="Arial" w:hAnsi="Arial" w:cs="Arial"/>
          <w:lang w:val="en-GB"/>
        </w:rPr>
        <w:t xml:space="preserve"> 470.  In this Irish case, the High Court declared that certain pro</w:t>
      </w:r>
      <w:r w:rsidRPr="00C57CE1">
        <w:rPr>
          <w:rFonts w:ascii="Arial" w:hAnsi="Arial" w:cs="Arial"/>
          <w:lang w:val="en-GB"/>
        </w:rPr>
        <w:t>visions of the Civil Registration Act 2004 were incompatible with the plaintiff’s right to gender recognition flowing from Article 8 of the ECHR</w:t>
      </w:r>
      <w:r w:rsidRPr="0028108F">
        <w:rPr>
          <w:rFonts w:ascii="Arial" w:hAnsi="Arial" w:cs="Arial"/>
          <w:lang w:val="en-GB"/>
        </w:rPr>
        <w:t xml:space="preserve">, in that there were no provisions that would enable the acquired gender identity of transsexual persons to be legally recognised by the State.  The Court noted that for those who had undergone gender reassignment surgery, there seems to be a burning desire to have their new sexual identity recognised, not only socially but also legally.  This urge to have that identity fully and in all respects accepted by the law is at the core of the transsexuals’ plight.     </w:t>
      </w:r>
    </w:p>
  </w:footnote>
  <w:footnote w:id="429">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No A858-1452/2010, decided on 29 November 2010.  In this case decided by the Supreme Administrative Court of Lithuania, the applicant had to undergo gend</w:t>
      </w:r>
      <w:r w:rsidRPr="00C57CE1">
        <w:rPr>
          <w:rFonts w:ascii="Arial" w:hAnsi="Arial" w:cs="Arial"/>
          <w:lang w:val="en-GB"/>
        </w:rPr>
        <w:t>er reassignment surgery in Thailand because Lithuania had no laws governing the conditions and procedure on gender reassignment.  Although the applicant might apply for recognition of gender reassignment by invoking judicial procedure, the Court considered</w:t>
      </w:r>
      <w:r w:rsidRPr="0028108F">
        <w:rPr>
          <w:rFonts w:ascii="Arial" w:hAnsi="Arial" w:cs="Arial"/>
          <w:lang w:val="en-GB"/>
        </w:rPr>
        <w:t xml:space="preserve"> that such procedure caused additional inconvenience and was incompatible with the principle of equal rights.</w:t>
      </w:r>
    </w:p>
  </w:footnote>
  <w:footnote w:id="430">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In Serbia, the Constitutional Court held in 2012 that the Government had wrongly decided that it could not rule on the application to leg</w:t>
      </w:r>
      <w:r w:rsidRPr="00C57CE1">
        <w:rPr>
          <w:rFonts w:ascii="Arial" w:hAnsi="Arial" w:cs="Arial"/>
          <w:lang w:val="en-GB"/>
        </w:rPr>
        <w:t>ally change name and sex, and had therefore denied the applicant’s right to dignity and free development of personality.  See Uz-3238/2011, Constitutional Court of Serbia</w:t>
      </w:r>
      <w:r w:rsidRPr="0028108F" w:rsidDel="006E3A3D">
        <w:rPr>
          <w:rFonts w:ascii="Arial" w:hAnsi="Arial" w:cs="Arial"/>
          <w:lang w:val="en-GB"/>
        </w:rPr>
        <w:t xml:space="preserve"> </w:t>
      </w:r>
      <w:r w:rsidRPr="0028108F">
        <w:rPr>
          <w:rFonts w:ascii="Arial" w:hAnsi="Arial" w:cs="Arial"/>
          <w:lang w:val="en-GB"/>
        </w:rPr>
        <w:t>(21 March 2012).</w:t>
      </w:r>
    </w:p>
  </w:footnote>
  <w:footnote w:id="431">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 xml:space="preserve">National Legal Services Authority v Union of India </w:t>
      </w:r>
      <w:r w:rsidRPr="0028108F">
        <w:rPr>
          <w:rFonts w:ascii="Arial" w:hAnsi="Arial" w:cs="Arial"/>
          <w:lang w:val="en-GB"/>
        </w:rPr>
        <w:t xml:space="preserve">[2014] 4 LRC 629.  In this case, the Supreme Court of India (Civil Original Jurisdiction) held that values of privacy, self-identity, autonomy and personal integrity are fundamental rights guaranteed to members of the transgender community under Article 19(1)(a) of the Indian Constitution, which states that all citizens shall have the right to freedom of speech and expression, which includes one’s right to expression of his self-identified gender, and the State is bound to protect those rights.  As self-determination of gender is an integral part of personal autonomy and self-expression, it also falls within the realm of personal liberty guaranteed under Article 21 of the Constitution.  </w:t>
      </w:r>
    </w:p>
  </w:footnote>
  <w:footnote w:id="432">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lang w:val="en-GB"/>
        </w:rPr>
        <w:t>United Nations</w:t>
      </w:r>
      <w:r w:rsidRPr="0028108F">
        <w:rPr>
          <w:rFonts w:ascii="Arial" w:hAnsi="Arial" w:cs="Arial"/>
          <w:lang w:val="en-GB"/>
        </w:rPr>
        <w:t xml:space="preserve"> document A/2929, Chapter VI, section 97.</w:t>
      </w:r>
    </w:p>
  </w:footnote>
  <w:footnote w:id="433">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28108F">
        <w:rPr>
          <w:rFonts w:ascii="Arial" w:hAnsi="Arial" w:cs="Arial"/>
          <w:lang w:val="en-GB"/>
        </w:rPr>
        <w:t>Amnesty International, 2014, “</w:t>
      </w:r>
      <w:r w:rsidRPr="0028108F">
        <w:rPr>
          <w:rFonts w:ascii="Arial" w:hAnsi="Arial" w:cs="Arial"/>
          <w:color w:val="0D0D0D" w:themeColor="text1" w:themeTint="F2"/>
          <w:kern w:val="0"/>
          <w:lang w:val="en-GB"/>
        </w:rPr>
        <w:t>The State Decides Who I Am: Lack of Recognition For Transgender People”</w:t>
      </w:r>
      <w:r w:rsidRPr="00C57CE1">
        <w:rPr>
          <w:rFonts w:ascii="Arial" w:hAnsi="Arial" w:cs="Arial"/>
          <w:lang w:val="en-GB"/>
        </w:rPr>
        <w:t xml:space="preserve">, Chapter 1 (legal gender recognition and human rights), </w:t>
      </w:r>
      <w:r w:rsidRPr="0028108F">
        <w:rPr>
          <w:rFonts w:ascii="Arial" w:hAnsi="Arial" w:cs="Arial"/>
          <w:lang w:val="en-GB" w:eastAsia="zh-TW"/>
        </w:rPr>
        <w:t xml:space="preserve">at </w:t>
      </w:r>
      <w:r w:rsidRPr="00C57CE1">
        <w:rPr>
          <w:rFonts w:ascii="Arial" w:hAnsi="Arial" w:cs="Arial"/>
          <w:lang w:val="en-GB"/>
        </w:rPr>
        <w:t xml:space="preserve">21.  </w:t>
      </w:r>
    </w:p>
  </w:footnote>
  <w:footnote w:id="434">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Robyn Emerton,</w:t>
      </w:r>
      <w:r w:rsidRPr="00C57CE1">
        <w:rPr>
          <w:rFonts w:ascii="Arial" w:hAnsi="Arial" w:cs="Arial"/>
          <w:i/>
          <w:lang w:val="en-GB"/>
        </w:rPr>
        <w:t xml:space="preserve"> </w:t>
      </w:r>
      <w:r w:rsidRPr="0028108F">
        <w:rPr>
          <w:rFonts w:ascii="Arial" w:hAnsi="Arial" w:cs="Arial"/>
          <w:lang w:val="en-GB"/>
        </w:rPr>
        <w:t>“Time for Change: A Call For The Legal Recognition Of Transsexual And Other Transgender Persons In Hong Kong”</w:t>
      </w:r>
      <w:r w:rsidRPr="00181CF2">
        <w:rPr>
          <w:rFonts w:ascii="Arial" w:hAnsi="Arial" w:cs="Arial"/>
          <w:lang w:val="en-GB"/>
        </w:rPr>
        <w:t xml:space="preserve"> (2004) </w:t>
      </w:r>
      <w:r>
        <w:rPr>
          <w:rFonts w:ascii="Arial" w:hAnsi="Arial" w:cs="Arial"/>
          <w:lang w:val="en-GB"/>
        </w:rPr>
        <w:t xml:space="preserve">34 </w:t>
      </w:r>
      <w:r w:rsidRPr="00F86CD8">
        <w:rPr>
          <w:rFonts w:ascii="Arial" w:hAnsi="Arial" w:cs="Arial"/>
          <w:lang w:val="en-GB"/>
        </w:rPr>
        <w:t>HKLJ</w:t>
      </w:r>
      <w:r w:rsidRPr="00181CF2">
        <w:rPr>
          <w:rFonts w:ascii="Arial" w:hAnsi="Arial" w:cs="Arial"/>
          <w:lang w:val="en-GB"/>
        </w:rPr>
        <w:t xml:space="preserve"> 515</w:t>
      </w:r>
      <w:r w:rsidRPr="0028108F">
        <w:rPr>
          <w:rFonts w:ascii="Arial" w:hAnsi="Arial" w:cs="Arial"/>
          <w:lang w:val="en-GB" w:eastAsia="zh-TW"/>
        </w:rPr>
        <w:t>,</w:t>
      </w:r>
      <w:r w:rsidRPr="00181CF2">
        <w:rPr>
          <w:rFonts w:ascii="Arial" w:hAnsi="Arial" w:cs="Arial"/>
          <w:lang w:val="en-GB"/>
        </w:rPr>
        <w:t xml:space="preserve"> at 517.</w:t>
      </w:r>
    </w:p>
  </w:footnote>
  <w:footnote w:id="435">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Jens M</w:t>
      </w:r>
      <w:r w:rsidRPr="0028108F">
        <w:rPr>
          <w:rFonts w:ascii="Arial" w:hAnsi="Arial" w:cs="Arial"/>
          <w:lang w:val="en-GB"/>
        </w:rPr>
        <w:t xml:space="preserve"> Scherpe, “Changing One’s Legal Gender In Europe – The ‘</w:t>
      </w:r>
      <w:r w:rsidRPr="00181CF2">
        <w:rPr>
          <w:rFonts w:ascii="Arial" w:hAnsi="Arial" w:cs="Arial"/>
          <w:i/>
          <w:lang w:val="en-GB"/>
        </w:rPr>
        <w:t>W</w:t>
      </w:r>
      <w:r w:rsidRPr="0028108F">
        <w:rPr>
          <w:rFonts w:ascii="Arial" w:hAnsi="Arial" w:cs="Arial"/>
          <w:lang w:val="en-GB"/>
        </w:rPr>
        <w:t>’ Case In Comparative Perspective”</w:t>
      </w:r>
      <w:r w:rsidRPr="00181CF2">
        <w:rPr>
          <w:rFonts w:ascii="Arial" w:hAnsi="Arial" w:cs="Arial"/>
          <w:i/>
          <w:lang w:val="en-GB"/>
        </w:rPr>
        <w:t xml:space="preserve"> </w:t>
      </w:r>
      <w:r w:rsidRPr="00C57CE1">
        <w:rPr>
          <w:rFonts w:ascii="Arial" w:hAnsi="Arial" w:cs="Arial"/>
          <w:lang w:val="en-GB"/>
        </w:rPr>
        <w:t xml:space="preserve">(2011) </w:t>
      </w:r>
      <w:r>
        <w:rPr>
          <w:rFonts w:ascii="Arial" w:hAnsi="Arial" w:cs="Arial"/>
          <w:lang w:val="en-GB"/>
        </w:rPr>
        <w:t xml:space="preserve">41 </w:t>
      </w:r>
      <w:r w:rsidRPr="00F86CD8">
        <w:rPr>
          <w:rFonts w:ascii="Arial" w:hAnsi="Arial" w:cs="Arial"/>
          <w:lang w:val="en-GB"/>
        </w:rPr>
        <w:t>HKLJ</w:t>
      </w:r>
      <w:r w:rsidRPr="00181CF2">
        <w:rPr>
          <w:rFonts w:ascii="Arial" w:hAnsi="Arial" w:cs="Arial"/>
          <w:lang w:val="en-GB"/>
        </w:rPr>
        <w:t xml:space="preserve"> 109, at 123.</w:t>
      </w:r>
    </w:p>
  </w:footnote>
  <w:footnote w:id="436">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Same as above.</w:t>
      </w:r>
    </w:p>
  </w:footnote>
  <w:footnote w:id="437">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Robyn Emerton, </w:t>
      </w:r>
      <w:r w:rsidRPr="00C57CE1">
        <w:rPr>
          <w:rFonts w:ascii="Arial" w:hAnsi="Arial" w:cs="Arial"/>
          <w:lang w:val="en-GB"/>
        </w:rPr>
        <w:t>“</w:t>
      </w:r>
      <w:r w:rsidRPr="0028108F">
        <w:rPr>
          <w:rFonts w:ascii="Arial" w:hAnsi="Arial" w:cs="Arial"/>
          <w:lang w:val="en-GB"/>
        </w:rPr>
        <w:t>Time for Change: A Call For The Legal Recognition Of Transsexual And Other Transgender Persons In Hong Kong”</w:t>
      </w:r>
      <w:r w:rsidRPr="00181CF2">
        <w:rPr>
          <w:rFonts w:ascii="Arial" w:hAnsi="Arial" w:cs="Arial"/>
          <w:lang w:val="en-GB"/>
        </w:rPr>
        <w:t xml:space="preserve"> (2004) </w:t>
      </w:r>
      <w:r>
        <w:rPr>
          <w:rFonts w:ascii="Arial" w:hAnsi="Arial" w:cs="Arial"/>
          <w:lang w:val="en-GB"/>
        </w:rPr>
        <w:t xml:space="preserve">34 </w:t>
      </w:r>
      <w:r w:rsidRPr="00F86CD8">
        <w:rPr>
          <w:rFonts w:ascii="Arial" w:hAnsi="Arial" w:cs="Arial"/>
          <w:lang w:val="en-GB"/>
        </w:rPr>
        <w:t>HKLJ</w:t>
      </w:r>
      <w:r w:rsidRPr="00181CF2">
        <w:rPr>
          <w:rFonts w:ascii="Arial" w:hAnsi="Arial" w:cs="Arial"/>
          <w:lang w:val="en-GB"/>
        </w:rPr>
        <w:t xml:space="preserve"> 515</w:t>
      </w:r>
      <w:r w:rsidRPr="0028108F">
        <w:rPr>
          <w:rFonts w:ascii="Arial" w:hAnsi="Arial" w:cs="Arial"/>
          <w:lang w:val="en-GB" w:eastAsia="zh-TW"/>
        </w:rPr>
        <w:t>,</w:t>
      </w:r>
      <w:r w:rsidRPr="00181CF2">
        <w:rPr>
          <w:rFonts w:ascii="Arial" w:hAnsi="Arial" w:cs="Arial"/>
          <w:lang w:val="en-GB"/>
        </w:rPr>
        <w:t xml:space="preserve"> at </w:t>
      </w:r>
      <w:r w:rsidRPr="00C57CE1">
        <w:rPr>
          <w:rFonts w:ascii="Arial" w:hAnsi="Arial" w:cs="Arial"/>
          <w:lang w:val="en-GB"/>
        </w:rPr>
        <w:t>534.</w:t>
      </w:r>
    </w:p>
  </w:footnote>
  <w:footnote w:id="438">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Same as above.</w:t>
      </w:r>
    </w:p>
  </w:footnote>
  <w:footnote w:id="439">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ab/>
        <w:t xml:space="preserve">Same as above.  </w:t>
      </w:r>
    </w:p>
  </w:footnote>
  <w:footnote w:id="440">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t>Same as above, at 544 and 555.</w:t>
      </w:r>
    </w:p>
  </w:footnote>
  <w:footnote w:id="441">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181CF2">
        <w:rPr>
          <w:rFonts w:ascii="Arial" w:hAnsi="Arial" w:cs="Arial"/>
          <w:lang w:val="en-GB"/>
        </w:rPr>
        <w:t xml:space="preserve">, </w:t>
      </w:r>
      <w:r w:rsidRPr="008813DE">
        <w:rPr>
          <w:rFonts w:ascii="Arial" w:hAnsi="Arial" w:cs="Arial"/>
          <w:lang w:val="en-GB"/>
        </w:rPr>
        <w:t>HCAL</w:t>
      </w:r>
      <w:r w:rsidRPr="00181CF2">
        <w:rPr>
          <w:rFonts w:ascii="Arial" w:hAnsi="Arial" w:cs="Arial"/>
          <w:lang w:val="en-GB"/>
        </w:rPr>
        <w:t xml:space="preserve"> 120/2009</w:t>
      </w:r>
      <w:r>
        <w:rPr>
          <w:rFonts w:ascii="Arial" w:hAnsi="Arial" w:cs="Arial"/>
          <w:lang w:val="en-GB"/>
        </w:rPr>
        <w:t xml:space="preserve"> (CFI),</w:t>
      </w:r>
      <w:r w:rsidRPr="0018753F">
        <w:rPr>
          <w:rFonts w:ascii="Arial" w:hAnsi="Arial" w:cs="Arial"/>
          <w:lang w:val="en-GB"/>
        </w:rPr>
        <w:t xml:space="preserve"> </w:t>
      </w:r>
      <w:r w:rsidRPr="0028108F">
        <w:rPr>
          <w:rFonts w:ascii="Arial" w:hAnsi="Arial" w:cs="Arial"/>
          <w:lang w:val="en-GB"/>
        </w:rPr>
        <w:t>judgment of 5 October 20</w:t>
      </w:r>
      <w:r>
        <w:rPr>
          <w:rFonts w:ascii="Arial" w:hAnsi="Arial" w:cs="Arial"/>
          <w:lang w:val="en-GB"/>
        </w:rPr>
        <w:t>10</w:t>
      </w:r>
      <w:r w:rsidRPr="00181CF2">
        <w:rPr>
          <w:rFonts w:ascii="Arial" w:hAnsi="Arial" w:cs="Arial"/>
          <w:lang w:val="en-GB"/>
        </w:rPr>
        <w:t>,</w:t>
      </w:r>
      <w:r w:rsidRPr="00C57CE1">
        <w:rPr>
          <w:rFonts w:ascii="Arial" w:hAnsi="Arial" w:cs="Arial"/>
          <w:i/>
          <w:lang w:val="en-GB"/>
        </w:rPr>
        <w:t xml:space="preserve"> a</w:t>
      </w:r>
      <w:r w:rsidRPr="0028108F">
        <w:rPr>
          <w:rFonts w:ascii="Arial" w:hAnsi="Arial" w:cs="Arial"/>
          <w:lang w:val="en-GB"/>
        </w:rPr>
        <w:t>t paragraph 32.</w:t>
      </w:r>
    </w:p>
  </w:footnote>
  <w:footnote w:id="442">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UK Home Office made similar remarks in its </w:t>
      </w:r>
      <w:r w:rsidRPr="0028108F">
        <w:rPr>
          <w:rFonts w:ascii="Arial" w:hAnsi="Arial" w:cs="Arial"/>
          <w:i/>
          <w:lang w:val="en-GB"/>
        </w:rPr>
        <w:t>Report of the Interdepartmental Working Group on Transsexual People</w:t>
      </w:r>
      <w:r w:rsidRPr="0028108F">
        <w:rPr>
          <w:rFonts w:ascii="Arial" w:hAnsi="Arial" w:cs="Arial"/>
          <w:lang w:val="en-GB"/>
        </w:rPr>
        <w:t xml:space="preserve"> (April 2000), at paragraph 1.5, that: “</w:t>
      </w:r>
      <w:r w:rsidRPr="0028108F">
        <w:rPr>
          <w:rFonts w:ascii="Arial" w:hAnsi="Arial" w:cs="Arial"/>
          <w:i/>
          <w:lang w:val="en-GB"/>
        </w:rPr>
        <w:t xml:space="preserve">Gender reassignment is commonly termed a sex change, but in reality it is an alteration only in a person’s physical characteristics. </w:t>
      </w:r>
      <w:r w:rsidRPr="0028108F">
        <w:rPr>
          <w:rFonts w:ascii="Arial" w:hAnsi="Arial" w:cs="Arial"/>
          <w:i/>
          <w:lang w:val="en-GB" w:eastAsia="zh-TW"/>
        </w:rPr>
        <w:t xml:space="preserve"> </w:t>
      </w:r>
      <w:r w:rsidRPr="0028108F">
        <w:rPr>
          <w:rFonts w:ascii="Arial" w:hAnsi="Arial" w:cs="Arial"/>
          <w:i/>
          <w:lang w:val="en-GB"/>
        </w:rPr>
        <w:t>The biological sex of an individual is determined by their chromosomes, which cannot be changed.  What can be achieved through the transsexual person’s own efforts, and with counselling, drugs and surgery is social, hormonal and surgical reassignment.</w:t>
      </w:r>
      <w:r w:rsidRPr="00181CF2">
        <w:rPr>
          <w:rFonts w:ascii="Arial" w:hAnsi="Arial" w:cs="Arial"/>
          <w:lang w:val="en-GB"/>
        </w:rPr>
        <w:t>”</w:t>
      </w:r>
    </w:p>
  </w:footnote>
  <w:footnote w:id="443">
    <w:p w:rsidR="0022178B" w:rsidRPr="0028108F" w:rsidRDefault="0022178B">
      <w:pPr>
        <w:pStyle w:val="FootnoteText"/>
        <w:tabs>
          <w:tab w:val="left" w:pos="851"/>
        </w:tabs>
        <w:ind w:left="709" w:hanging="709"/>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RAJ Gagnon, “Transsexuality and Ordination</w:t>
      </w:r>
      <w:r w:rsidRPr="00181CF2">
        <w:rPr>
          <w:rFonts w:ascii="Arial" w:hAnsi="Arial" w:cs="Arial"/>
          <w:lang w:val="en-GB"/>
        </w:rPr>
        <w:t>”</w:t>
      </w:r>
      <w:r w:rsidRPr="0028108F">
        <w:rPr>
          <w:rFonts w:ascii="Arial" w:hAnsi="Arial" w:cs="Arial"/>
          <w:lang w:val="en-GB" w:eastAsia="zh-TW"/>
        </w:rPr>
        <w:t>,</w:t>
      </w:r>
      <w:r w:rsidRPr="0028108F">
        <w:rPr>
          <w:rFonts w:ascii="Arial" w:hAnsi="Arial" w:cs="Arial"/>
          <w:lang w:val="en-GB"/>
        </w:rPr>
        <w:t xml:space="preserve"> </w:t>
      </w:r>
      <w:r w:rsidRPr="0028108F">
        <w:rPr>
          <w:rFonts w:ascii="Arial" w:hAnsi="Arial" w:cs="Arial"/>
          <w:lang w:val="en-GB" w:eastAsia="zh-TW"/>
        </w:rPr>
        <w:t xml:space="preserve">August </w:t>
      </w:r>
      <w:r w:rsidRPr="0028108F">
        <w:rPr>
          <w:rFonts w:ascii="Arial" w:hAnsi="Arial" w:cs="Arial"/>
          <w:lang w:val="en-GB"/>
        </w:rPr>
        <w:t>2007</w:t>
      </w:r>
      <w:r w:rsidRPr="0028108F">
        <w:rPr>
          <w:rFonts w:ascii="Arial" w:hAnsi="Arial" w:cs="Arial"/>
          <w:lang w:val="en-GB" w:eastAsia="zh-TW"/>
        </w:rPr>
        <w:t xml:space="preserve"> (</w:t>
      </w:r>
      <w:r w:rsidRPr="0028108F">
        <w:rPr>
          <w:rFonts w:ascii="Arial" w:hAnsi="Arial" w:cs="Arial"/>
          <w:lang w:val="en-GB"/>
        </w:rPr>
        <w:t>quoted in Duncan Dormor, “Transgenderism and the Christian Church: An Overview”</w:t>
      </w:r>
      <w:r w:rsidRPr="00181CF2">
        <w:rPr>
          <w:rFonts w:ascii="Arial" w:hAnsi="Arial" w:cs="Arial"/>
          <w:i/>
          <w:lang w:val="en-GB"/>
        </w:rPr>
        <w:t xml:space="preserve">, </w:t>
      </w:r>
      <w:r w:rsidRPr="00C57CE1">
        <w:rPr>
          <w:rFonts w:ascii="Arial" w:hAnsi="Arial" w:cs="Arial"/>
          <w:lang w:val="en-GB"/>
        </w:rPr>
        <w:t xml:space="preserve">in </w:t>
      </w:r>
      <w:r w:rsidRPr="0028108F">
        <w:rPr>
          <w:rFonts w:ascii="Arial" w:hAnsi="Arial" w:cs="Arial"/>
          <w:lang w:val="en-GB"/>
        </w:rPr>
        <w:t xml:space="preserve">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31</w:t>
      </w:r>
      <w:r w:rsidRPr="0028108F">
        <w:rPr>
          <w:rFonts w:ascii="Arial" w:hAnsi="Arial" w:cs="Arial"/>
          <w:lang w:val="en-GB" w:eastAsia="zh-TW"/>
        </w:rPr>
        <w:t>)</w:t>
      </w:r>
      <w:r w:rsidRPr="0028108F">
        <w:rPr>
          <w:rFonts w:ascii="Arial" w:hAnsi="Arial" w:cs="Arial"/>
          <w:lang w:val="en-GB"/>
        </w:rPr>
        <w:t xml:space="preserve">.  </w:t>
      </w:r>
    </w:p>
  </w:footnote>
  <w:footnote w:id="44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O O’Donovan, “Transsexualism and Christian Marriage”</w:t>
      </w:r>
      <w:r w:rsidRPr="00181CF2">
        <w:rPr>
          <w:rFonts w:ascii="Arial" w:hAnsi="Arial" w:cs="Arial"/>
          <w:i/>
          <w:lang w:val="en-GB"/>
        </w:rPr>
        <w:t xml:space="preserve"> </w:t>
      </w:r>
      <w:r w:rsidRPr="00C57CE1">
        <w:rPr>
          <w:rFonts w:ascii="Arial" w:hAnsi="Arial" w:cs="Arial"/>
          <w:lang w:val="en-GB"/>
        </w:rPr>
        <w:t xml:space="preserve">(1983) 11(1), </w:t>
      </w:r>
      <w:r w:rsidRPr="0028108F">
        <w:rPr>
          <w:rFonts w:ascii="Arial" w:hAnsi="Arial" w:cs="Arial"/>
          <w:i/>
          <w:lang w:val="en-GB"/>
        </w:rPr>
        <w:t>Journal of Religious Ethics</w:t>
      </w:r>
      <w:r w:rsidRPr="00181CF2">
        <w:rPr>
          <w:rFonts w:ascii="Arial" w:hAnsi="Arial" w:cs="Arial"/>
          <w:lang w:val="en-GB"/>
        </w:rPr>
        <w:t xml:space="preserve"> 141, quoted in Jens M</w:t>
      </w:r>
      <w:r w:rsidRPr="0028108F">
        <w:rPr>
          <w:rFonts w:ascii="Arial" w:hAnsi="Arial" w:cs="Arial"/>
          <w:lang w:val="en-GB"/>
        </w:rPr>
        <w:t xml:space="preserve">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at 36.  Nevertheless, it has been observed that a small number of Christian communities have listened to the experience of transgender people, accepted that transgenderism is a ‘real’ phenomenon rather than a delusion, ordained and conducted wedding for post-operative transsexual persons and developed resources of advocacy and support.  See 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61.</w:t>
      </w:r>
    </w:p>
  </w:footnote>
  <w:footnote w:id="445">
    <w:p w:rsidR="0022178B" w:rsidRPr="0028108F" w:rsidRDefault="0022178B" w:rsidP="0028108F">
      <w:pPr>
        <w:pStyle w:val="FootnoteText"/>
        <w:tabs>
          <w:tab w:val="left" w:pos="755"/>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eastAsia="zh-TW"/>
        </w:rPr>
        <w:tab/>
      </w:r>
      <w:r w:rsidRPr="0028108F">
        <w:rPr>
          <w:rFonts w:ascii="Arial" w:hAnsi="Arial" w:cs="Arial"/>
          <w:lang w:val="en-GB"/>
        </w:rPr>
        <w:t xml:space="preserve">See </w:t>
      </w:r>
      <w:r w:rsidRPr="0028108F">
        <w:rPr>
          <w:rFonts w:ascii="Arial" w:hAnsi="Arial" w:cs="Arial"/>
          <w:lang w:val="en-GB" w:eastAsia="zh-TW"/>
        </w:rPr>
        <w:t xml:space="preserve">Duncan Dormor, </w:t>
      </w:r>
      <w:r w:rsidRPr="00181CF2">
        <w:rPr>
          <w:rFonts w:ascii="Arial" w:hAnsi="Arial" w:cs="Arial"/>
          <w:lang w:val="en-GB" w:eastAsia="zh-TW"/>
        </w:rPr>
        <w:t>“</w:t>
      </w:r>
      <w:r w:rsidRPr="0028108F">
        <w:rPr>
          <w:rFonts w:ascii="Arial" w:hAnsi="Arial" w:cs="Arial"/>
          <w:lang w:val="en-GB" w:eastAsia="zh-TW"/>
        </w:rPr>
        <w:t xml:space="preserve">Transgenderism And The Christian Church: An Overview”, in </w:t>
      </w:r>
      <w:r w:rsidRPr="00181CF2">
        <w:rPr>
          <w:rFonts w:ascii="Arial" w:hAnsi="Arial" w:cs="Arial"/>
          <w:lang w:val="en-GB"/>
        </w:rPr>
        <w:t>Jens M</w:t>
      </w:r>
      <w:r w:rsidRPr="0028108F">
        <w:rPr>
          <w:rFonts w:ascii="Arial" w:hAnsi="Arial" w:cs="Arial"/>
          <w:lang w:val="en-GB"/>
        </w:rPr>
        <w:t xml:space="preserve">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at 52.  </w:t>
      </w:r>
    </w:p>
  </w:footnote>
  <w:footnote w:id="446">
    <w:p w:rsidR="0022178B" w:rsidRPr="0028108F" w:rsidRDefault="0022178B" w:rsidP="0028108F">
      <w:pPr>
        <w:pStyle w:val="FootnoteText"/>
        <w:tabs>
          <w:tab w:val="left" w:pos="755"/>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eastAsia="zh-TW"/>
        </w:rPr>
        <w:t>Same as above</w:t>
      </w:r>
      <w:r w:rsidRPr="0028108F">
        <w:rPr>
          <w:rFonts w:ascii="Arial" w:hAnsi="Arial" w:cs="Arial"/>
          <w:lang w:val="en-GB"/>
        </w:rPr>
        <w:t xml:space="preserve">, at 37.  </w:t>
      </w:r>
    </w:p>
  </w:footnote>
  <w:footnote w:id="447">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M</w:t>
      </w:r>
      <w:r w:rsidRPr="0028108F">
        <w:rPr>
          <w:rFonts w:ascii="Arial" w:hAnsi="Arial" w:cs="Arial"/>
          <w:lang w:val="en-GB"/>
        </w:rPr>
        <w:t xml:space="preserve">A Case, “After Gender: The Destruction of Man? The Vatican’s Nightmare Vision of the </w:t>
      </w:r>
      <w:r>
        <w:rPr>
          <w:rFonts w:ascii="Arial" w:hAnsi="Arial" w:cs="Arial"/>
          <w:lang w:val="en-GB" w:eastAsia="zh-TW"/>
        </w:rPr>
        <w:t>‘</w:t>
      </w:r>
      <w:r w:rsidRPr="0028108F">
        <w:rPr>
          <w:rFonts w:ascii="Arial" w:hAnsi="Arial" w:cs="Arial"/>
          <w:lang w:val="en-GB"/>
        </w:rPr>
        <w:t>Gender Agenda</w:t>
      </w:r>
      <w:r>
        <w:rPr>
          <w:rFonts w:ascii="Arial" w:hAnsi="Arial" w:cs="Arial"/>
          <w:lang w:val="en-GB" w:eastAsia="zh-TW"/>
        </w:rPr>
        <w:t>’</w:t>
      </w:r>
      <w:r w:rsidRPr="0028108F">
        <w:rPr>
          <w:rFonts w:ascii="Arial" w:hAnsi="Arial" w:cs="Arial"/>
          <w:lang w:val="en-GB"/>
        </w:rPr>
        <w:t xml:space="preserve"> for Law”</w:t>
      </w:r>
      <w:r w:rsidRPr="00181CF2">
        <w:rPr>
          <w:rFonts w:ascii="Arial" w:hAnsi="Arial" w:cs="Arial"/>
          <w:i/>
          <w:lang w:val="en-GB"/>
        </w:rPr>
        <w:t xml:space="preserve"> </w:t>
      </w:r>
      <w:r w:rsidRPr="00C57CE1">
        <w:rPr>
          <w:rFonts w:ascii="Arial" w:hAnsi="Arial" w:cs="Arial"/>
          <w:lang w:val="en-GB"/>
        </w:rPr>
        <w:t xml:space="preserve">(2012) 31(3) </w:t>
      </w:r>
      <w:r w:rsidRPr="008813DE">
        <w:rPr>
          <w:rFonts w:ascii="Arial" w:hAnsi="Arial" w:cs="Arial"/>
          <w:lang w:val="en-GB"/>
        </w:rPr>
        <w:t>Pace Law Review</w:t>
      </w:r>
      <w:r w:rsidRPr="00181CF2">
        <w:rPr>
          <w:rFonts w:ascii="Arial" w:hAnsi="Arial" w:cs="Arial"/>
          <w:lang w:val="en-GB"/>
        </w:rPr>
        <w:t xml:space="preserve"> 802-817; J</w:t>
      </w:r>
      <w:r w:rsidRPr="0028108F">
        <w:rPr>
          <w:rFonts w:ascii="Arial" w:hAnsi="Arial" w:cs="Arial"/>
          <w:lang w:val="en-GB"/>
        </w:rPr>
        <w:t xml:space="preserve"> Samson, W Jansen and C Notermans, “The Gender Agenda: New Strategies in Catholic Fundamentalist Framing of Non-Heterosexuality in Europe”</w:t>
      </w:r>
      <w:r w:rsidRPr="00181CF2">
        <w:rPr>
          <w:rFonts w:ascii="Arial" w:hAnsi="Arial" w:cs="Arial"/>
          <w:lang w:val="en-GB"/>
        </w:rPr>
        <w:t xml:space="preserve"> (2011) 4 </w:t>
      </w:r>
      <w:r w:rsidRPr="008813DE">
        <w:rPr>
          <w:rFonts w:ascii="Arial" w:hAnsi="Arial" w:cs="Arial"/>
          <w:lang w:val="en-GB"/>
        </w:rPr>
        <w:t xml:space="preserve">Journal of Religion in Europe </w:t>
      </w:r>
      <w:r w:rsidRPr="00181CF2">
        <w:rPr>
          <w:rFonts w:ascii="Arial" w:hAnsi="Arial" w:cs="Arial"/>
          <w:lang w:val="en-GB"/>
        </w:rPr>
        <w:t xml:space="preserve">273-299.  </w:t>
      </w:r>
    </w:p>
  </w:footnote>
  <w:footnote w:id="448">
    <w:p w:rsidR="0022178B" w:rsidRPr="0028108F" w:rsidRDefault="0022178B" w:rsidP="0028108F">
      <w:pPr>
        <w:pStyle w:val="FootnoteText"/>
        <w:tabs>
          <w:tab w:val="left" w:pos="755"/>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lang w:val="en-GB"/>
        </w:rPr>
        <w:t xml:space="preserve">See </w:t>
      </w:r>
      <w:r w:rsidRPr="0028108F">
        <w:rPr>
          <w:rFonts w:ascii="Arial" w:hAnsi="Arial" w:cs="Arial"/>
          <w:lang w:val="en-GB" w:eastAsia="zh-TW"/>
        </w:rPr>
        <w:t xml:space="preserve">Duncan Dormor, </w:t>
      </w:r>
      <w:r w:rsidRPr="00181CF2">
        <w:rPr>
          <w:rFonts w:ascii="Arial" w:hAnsi="Arial" w:cs="Arial"/>
          <w:lang w:val="en-GB" w:eastAsia="zh-TW"/>
        </w:rPr>
        <w:t>“</w:t>
      </w:r>
      <w:r w:rsidRPr="0028108F">
        <w:rPr>
          <w:rFonts w:ascii="Arial" w:hAnsi="Arial" w:cs="Arial"/>
          <w:lang w:val="en-GB" w:eastAsia="zh-TW"/>
        </w:rPr>
        <w:t>Transgenderism And The Christian Church: An Overview”, in</w:t>
      </w:r>
      <w:r w:rsidRPr="00181CF2" w:rsidDel="00192F28">
        <w:rPr>
          <w:rFonts w:ascii="Arial" w:hAnsi="Arial" w:cs="Arial"/>
          <w:lang w:val="en-GB"/>
        </w:rPr>
        <w:t xml:space="preserve"> </w:t>
      </w:r>
      <w:r w:rsidRPr="0028108F">
        <w:rPr>
          <w:rFonts w:ascii="Arial" w:hAnsi="Arial" w:cs="Arial"/>
          <w:lang w:val="en-GB"/>
        </w:rPr>
        <w:t xml:space="preserve">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w:t>
      </w:r>
      <w:r w:rsidRPr="0028108F">
        <w:rPr>
          <w:rFonts w:ascii="Arial" w:hAnsi="Arial" w:cs="Arial"/>
          <w:lang w:val="en-GB" w:eastAsia="zh-TW"/>
        </w:rPr>
        <w:t xml:space="preserve">at </w:t>
      </w:r>
      <w:r w:rsidRPr="00181CF2">
        <w:rPr>
          <w:rFonts w:ascii="Arial" w:hAnsi="Arial" w:cs="Arial"/>
          <w:lang w:val="en-GB"/>
        </w:rPr>
        <w:t>36</w:t>
      </w:r>
      <w:r w:rsidRPr="0028108F">
        <w:rPr>
          <w:rFonts w:ascii="Arial" w:hAnsi="Arial" w:cs="Arial"/>
          <w:lang w:val="en-GB"/>
        </w:rPr>
        <w:t xml:space="preserve"> to 51.  </w:t>
      </w:r>
    </w:p>
  </w:footnote>
  <w:footnote w:id="449">
    <w:p w:rsidR="0022178B" w:rsidRPr="0028108F" w:rsidRDefault="0022178B" w:rsidP="00994399">
      <w:pPr>
        <w:pStyle w:val="FootnoteText"/>
        <w:tabs>
          <w:tab w:val="left" w:pos="755"/>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[1988] 17 NSWLR 158.  In this case, the issue before the New South Wales </w:t>
      </w:r>
      <w:r w:rsidRPr="0028108F">
        <w:rPr>
          <w:rFonts w:ascii="Arial" w:hAnsi="Arial" w:cs="Arial"/>
          <w:lang w:val="en-GB" w:eastAsia="zh-TW"/>
        </w:rPr>
        <w:t xml:space="preserve">Court of </w:t>
      </w:r>
      <w:r w:rsidRPr="00181CF2">
        <w:rPr>
          <w:rFonts w:ascii="Arial" w:hAnsi="Arial" w:cs="Arial"/>
          <w:lang w:val="en-GB"/>
        </w:rPr>
        <w:t>Criminal Appeal was whether the accused persons were male within the meaning of a particular statute that made certain conduct, if per</w:t>
      </w:r>
      <w:r w:rsidRPr="00C57CE1">
        <w:rPr>
          <w:rFonts w:ascii="Arial" w:hAnsi="Arial" w:cs="Arial"/>
          <w:lang w:val="en-GB"/>
        </w:rPr>
        <w:t>formed by a male person, an offence.  One of those accused was a transsexual person who had undergone full SRS from male to female, and the other was a pre-operative transsexual person.  The Court decided by a majority that the transsexual accused person</w:t>
      </w:r>
      <w:r w:rsidRPr="0028108F">
        <w:rPr>
          <w:rFonts w:ascii="Arial" w:hAnsi="Arial" w:cs="Arial"/>
          <w:lang w:val="en-GB"/>
        </w:rPr>
        <w:t xml:space="preserve"> who had undergone SRS was a female but the other accused person remained a male.</w:t>
      </w:r>
    </w:p>
  </w:footnote>
  <w:footnote w:id="450">
    <w:p w:rsidR="0022178B" w:rsidRPr="00181CF2" w:rsidRDefault="0022178B" w:rsidP="0028108F">
      <w:pPr>
        <w:pStyle w:val="FootnoteText"/>
        <w:tabs>
          <w:tab w:val="left" w:pos="851"/>
        </w:tabs>
        <w:ind w:left="709" w:hanging="709"/>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rPr>
        <w:t>American College of Pediatricians</w:t>
      </w:r>
      <w:r w:rsidRPr="0028108F">
        <w:rPr>
          <w:rFonts w:ascii="Arial" w:hAnsi="Arial" w:cs="Arial"/>
          <w:lang w:val="en-GB"/>
        </w:rPr>
        <w:t xml:space="preserve"> (a US organisation of pediatricians and other healthcare professionals), Aug 2016</w:t>
      </w:r>
      <w:r w:rsidRPr="0028108F">
        <w:rPr>
          <w:rFonts w:ascii="Arial" w:hAnsi="Arial" w:cs="Arial"/>
          <w:lang w:val="en-GB" w:eastAsia="zh-TW"/>
        </w:rPr>
        <w:t>,</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Gender Dysphoria in Children”</w:t>
      </w:r>
      <w:r w:rsidRPr="00181CF2">
        <w:rPr>
          <w:rFonts w:ascii="Arial" w:hAnsi="Arial" w:cs="Arial"/>
          <w:lang w:val="en-GB" w:eastAsia="zh-TW"/>
        </w:rPr>
        <w:t xml:space="preserve"> </w:t>
      </w:r>
      <w:r w:rsidRPr="0028108F">
        <w:rPr>
          <w:rFonts w:ascii="Arial" w:hAnsi="Arial" w:cs="Arial"/>
          <w:lang w:val="en-GB" w:eastAsia="zh-TW"/>
        </w:rPr>
        <w:t>(available at:</w:t>
      </w:r>
    </w:p>
    <w:p w:rsidR="0022178B" w:rsidRPr="0028108F" w:rsidRDefault="0022178B" w:rsidP="0028108F">
      <w:pPr>
        <w:pStyle w:val="FootnoteText"/>
        <w:tabs>
          <w:tab w:val="left" w:pos="851"/>
        </w:tabs>
        <w:ind w:left="709" w:hanging="709"/>
        <w:jc w:val="both"/>
        <w:rPr>
          <w:rFonts w:ascii="Arial" w:hAnsi="Arial" w:cs="Arial"/>
          <w:lang w:val="en-GB" w:eastAsia="zh-TW"/>
        </w:rPr>
      </w:pPr>
      <w:r w:rsidRPr="0028108F">
        <w:rPr>
          <w:rFonts w:ascii="Arial" w:hAnsi="Arial" w:cs="Arial"/>
          <w:lang w:val="en-GB" w:eastAsia="zh-TW"/>
        </w:rPr>
        <w:tab/>
      </w:r>
      <w:hyperlink r:id="rId51" w:history="1">
        <w:r w:rsidRPr="0028108F">
          <w:rPr>
            <w:rStyle w:val="Hyperlink"/>
            <w:rFonts w:ascii="Arial" w:hAnsi="Arial" w:cs="Arial"/>
            <w:lang w:val="en-GB"/>
          </w:rPr>
          <w:t>https://www.acpeds.org/the-college-speaks/position-statements/gender-dysphoria-in-children</w:t>
        </w:r>
      </w:hyperlink>
      <w:r w:rsidRPr="0028108F">
        <w:rPr>
          <w:rFonts w:ascii="Arial" w:hAnsi="Arial" w:cs="Arial"/>
          <w:lang w:val="en-GB" w:eastAsia="zh-TW"/>
        </w:rPr>
        <w:t>)</w:t>
      </w:r>
      <w:r w:rsidRPr="0028108F">
        <w:rPr>
          <w:rFonts w:ascii="Arial" w:hAnsi="Arial" w:cs="Arial"/>
          <w:lang w:val="en-GB"/>
        </w:rPr>
        <w:t>.</w:t>
      </w:r>
      <w:r w:rsidRPr="0028108F">
        <w:rPr>
          <w:rFonts w:ascii="Arial" w:hAnsi="Arial" w:cs="Arial"/>
          <w:lang w:val="en-GB" w:eastAsia="zh-TW"/>
        </w:rPr>
        <w:t xml:space="preserve"> </w:t>
      </w:r>
    </w:p>
  </w:footnote>
  <w:footnote w:id="451">
    <w:p w:rsidR="0022178B" w:rsidRPr="00181CF2" w:rsidRDefault="0022178B" w:rsidP="0028108F">
      <w:pPr>
        <w:pStyle w:val="FootnoteText"/>
        <w:tabs>
          <w:tab w:val="left" w:pos="851"/>
        </w:tabs>
        <w:ind w:left="709" w:hanging="709"/>
        <w:jc w:val="both"/>
        <w:rPr>
          <w:rFonts w:ascii="Arial" w:hAnsi="Arial" w:cs="Arial"/>
          <w:lang w:val="en-GB" w:eastAsia="zh-TW"/>
        </w:rPr>
      </w:pPr>
      <w:r w:rsidRPr="0028108F">
        <w:rPr>
          <w:rFonts w:ascii="Arial" w:hAnsi="Arial" w:cs="Arial"/>
          <w:lang w:val="en-GB"/>
        </w:rPr>
        <w:footnoteRef/>
      </w:r>
      <w:r w:rsidRPr="0028108F">
        <w:rPr>
          <w:rFonts w:ascii="Arial" w:hAnsi="Arial" w:cs="Arial"/>
          <w:i/>
          <w:lang w:val="en-GB"/>
        </w:rPr>
        <w:t xml:space="preserve"> </w:t>
      </w:r>
      <w:r w:rsidRPr="0028108F">
        <w:rPr>
          <w:rFonts w:ascii="Arial" w:hAnsi="Arial" w:cs="Arial"/>
          <w:i/>
          <w:lang w:val="en-GB"/>
        </w:rPr>
        <w:tab/>
      </w:r>
      <w:r w:rsidRPr="0028108F">
        <w:rPr>
          <w:rFonts w:ascii="Arial" w:hAnsi="Arial" w:cs="Arial"/>
          <w:lang w:val="en-GB"/>
        </w:rPr>
        <w:t>See, eg</w:t>
      </w:r>
      <w:r w:rsidRPr="0028108F">
        <w:rPr>
          <w:rFonts w:ascii="Arial" w:hAnsi="Arial" w:cs="Arial"/>
          <w:lang w:val="en-GB" w:eastAsia="zh-TW"/>
        </w:rPr>
        <w:t>,</w:t>
      </w:r>
      <w:r w:rsidRPr="0028108F">
        <w:rPr>
          <w:rFonts w:ascii="Arial" w:hAnsi="Arial" w:cs="Arial"/>
          <w:lang w:val="en-GB"/>
        </w:rPr>
        <w:t xml:space="preserve"> Mayer, LS, &amp; McHugh, PR (2016)</w:t>
      </w:r>
      <w:r w:rsidRPr="0028108F">
        <w:rPr>
          <w:rFonts w:ascii="Arial" w:hAnsi="Arial" w:cs="Arial"/>
          <w:lang w:val="en-GB" w:eastAsia="zh-TW"/>
        </w:rPr>
        <w:t xml:space="preserve">, </w:t>
      </w:r>
      <w:r w:rsidRPr="00181CF2">
        <w:rPr>
          <w:rFonts w:ascii="Arial" w:hAnsi="Arial" w:cs="Arial"/>
          <w:lang w:val="en-GB" w:eastAsia="zh-TW"/>
        </w:rPr>
        <w:t>“</w:t>
      </w:r>
      <w:r w:rsidRPr="0028108F">
        <w:rPr>
          <w:rFonts w:ascii="Arial" w:hAnsi="Arial" w:cs="Arial"/>
          <w:lang w:val="en-GB"/>
        </w:rPr>
        <w:t>Sexuality and Gender: Findings from the Biological, Psychological, and Social Sciences”</w:t>
      </w:r>
      <w:r w:rsidRPr="0028108F">
        <w:rPr>
          <w:rFonts w:ascii="Arial" w:hAnsi="Arial" w:cs="Arial"/>
          <w:lang w:val="en-GB" w:eastAsia="zh-TW"/>
        </w:rPr>
        <w:t>,</w:t>
      </w:r>
      <w:r w:rsidRPr="0028108F">
        <w:rPr>
          <w:rFonts w:ascii="Arial" w:hAnsi="Arial" w:cs="Arial"/>
          <w:lang w:val="en-GB"/>
        </w:rPr>
        <w:t xml:space="preserve"> </w:t>
      </w:r>
      <w:r w:rsidRPr="0028108F">
        <w:rPr>
          <w:rFonts w:ascii="Arial" w:hAnsi="Arial" w:cs="Arial"/>
          <w:i/>
          <w:lang w:val="en-GB"/>
        </w:rPr>
        <w:t>The New Atlantis</w:t>
      </w:r>
      <w:r w:rsidRPr="0028108F">
        <w:rPr>
          <w:rFonts w:ascii="Arial" w:hAnsi="Arial" w:cs="Arial"/>
          <w:lang w:val="en-GB"/>
        </w:rPr>
        <w:t>, No. 50</w:t>
      </w:r>
      <w:r w:rsidRPr="0028108F">
        <w:rPr>
          <w:rFonts w:ascii="Arial" w:hAnsi="Arial" w:cs="Arial"/>
          <w:lang w:val="en-GB" w:eastAsia="zh-TW"/>
        </w:rPr>
        <w:t xml:space="preserve"> (</w:t>
      </w:r>
      <w:r w:rsidRPr="00181CF2">
        <w:rPr>
          <w:rFonts w:ascii="Arial" w:hAnsi="Arial" w:cs="Arial"/>
          <w:lang w:val="en-GB" w:eastAsia="zh-TW"/>
        </w:rPr>
        <w:t>available</w:t>
      </w:r>
      <w:r w:rsidRPr="0028108F">
        <w:rPr>
          <w:rFonts w:ascii="Arial" w:hAnsi="Arial" w:cs="Arial"/>
          <w:lang w:val="en-GB" w:eastAsia="zh-TW"/>
        </w:rPr>
        <w:t xml:space="preserve"> at:</w:t>
      </w:r>
      <w:r>
        <w:rPr>
          <w:rFonts w:ascii="Arial" w:hAnsi="Arial" w:cs="Arial"/>
          <w:lang w:val="en-GB" w:eastAsia="zh-TW"/>
        </w:rPr>
        <w:t xml:space="preserve"> </w:t>
      </w:r>
      <w:hyperlink r:id="rId52" w:history="1">
        <w:r w:rsidRPr="0028108F">
          <w:rPr>
            <w:rStyle w:val="Hyperlink"/>
            <w:rFonts w:ascii="Arial" w:hAnsi="Arial" w:cs="Arial"/>
            <w:lang w:val="en-GB"/>
          </w:rPr>
          <w:t>http://www.thenewatlantis.com/publications/number-50-fall-2016</w:t>
        </w:r>
      </w:hyperlink>
      <w:r w:rsidRPr="0028108F">
        <w:rPr>
          <w:rFonts w:ascii="Arial" w:hAnsi="Arial" w:cs="Arial"/>
          <w:lang w:val="en-GB" w:eastAsia="zh-TW"/>
        </w:rPr>
        <w:t xml:space="preserve">).  </w:t>
      </w:r>
      <w:r>
        <w:rPr>
          <w:rFonts w:ascii="Arial" w:hAnsi="Arial" w:cs="Arial"/>
          <w:lang w:val="en-GB" w:eastAsia="zh-TW"/>
        </w:rPr>
        <w:t>For a different view</w:t>
      </w:r>
      <w:r w:rsidRPr="0028108F">
        <w:rPr>
          <w:rFonts w:ascii="Arial" w:hAnsi="Arial" w:cs="Arial"/>
          <w:lang w:val="en-GB" w:eastAsia="zh-TW"/>
        </w:rPr>
        <w:t xml:space="preserve">: see, eg, Warren Throckmorton, </w:t>
      </w:r>
      <w:r w:rsidRPr="00181CF2">
        <w:rPr>
          <w:rFonts w:ascii="Arial" w:hAnsi="Arial" w:cs="Arial"/>
          <w:lang w:val="en-GB" w:eastAsia="zh-TW"/>
        </w:rPr>
        <w:t>“</w:t>
      </w:r>
      <w:r w:rsidRPr="0028108F">
        <w:rPr>
          <w:rFonts w:ascii="Arial" w:hAnsi="Arial" w:cs="Arial"/>
          <w:lang w:val="en-GB" w:eastAsia="zh-TW"/>
        </w:rPr>
        <w:t xml:space="preserve">The Editor of The New Atlantis Responds to My Critique of the Mayer and McHugh Article”, 27 August 2016, </w:t>
      </w:r>
      <w:r w:rsidRPr="0028108F">
        <w:rPr>
          <w:rFonts w:ascii="Arial" w:hAnsi="Arial" w:cs="Arial"/>
          <w:i/>
          <w:lang w:val="en-GB" w:eastAsia="zh-TW"/>
        </w:rPr>
        <w:t>Patheos</w:t>
      </w:r>
      <w:r w:rsidRPr="0028108F">
        <w:rPr>
          <w:rFonts w:ascii="Arial" w:hAnsi="Arial" w:cs="Arial"/>
          <w:lang w:val="en-GB" w:eastAsia="zh-TW"/>
        </w:rPr>
        <w:t xml:space="preserve"> (available at:</w:t>
      </w:r>
    </w:p>
    <w:p w:rsidR="0022178B" w:rsidRPr="0028108F" w:rsidRDefault="0022178B" w:rsidP="0028108F">
      <w:pPr>
        <w:pStyle w:val="FootnoteText"/>
        <w:tabs>
          <w:tab w:val="left" w:pos="851"/>
        </w:tabs>
        <w:ind w:left="709" w:hanging="709"/>
        <w:jc w:val="both"/>
        <w:rPr>
          <w:rFonts w:ascii="Arial" w:hAnsi="Arial" w:cs="Arial"/>
          <w:lang w:eastAsia="zh-TW"/>
        </w:rPr>
      </w:pPr>
      <w:r w:rsidRPr="0028108F">
        <w:rPr>
          <w:rFonts w:ascii="Arial" w:hAnsi="Arial" w:cs="Arial"/>
          <w:lang w:val="en-GB" w:eastAsia="zh-TW"/>
        </w:rPr>
        <w:tab/>
      </w:r>
      <w:hyperlink r:id="rId53" w:history="1">
        <w:r w:rsidRPr="00C57CE1">
          <w:rPr>
            <w:rStyle w:val="Hyperlink"/>
            <w:rFonts w:ascii="Arial" w:hAnsi="Arial" w:cs="Arial"/>
            <w:lang w:val="en-GB" w:eastAsia="zh-TW"/>
          </w:rPr>
          <w:t>http://www.patheos.com/blogs/warrenthrockmorton/2016/08/27/editor-of-the</w:t>
        </w:r>
        <w:r w:rsidRPr="0028108F">
          <w:rPr>
            <w:rStyle w:val="Hyperlink"/>
            <w:rFonts w:ascii="Arial" w:hAnsi="Arial" w:cs="Arial"/>
            <w:lang w:val="en-GB" w:eastAsia="zh-TW"/>
          </w:rPr>
          <w:t>-new-atlantis-responds-to-my-critique-of-the-mayer-and-mchugh-article/</w:t>
        </w:r>
      </w:hyperlink>
      <w:r w:rsidRPr="0028108F">
        <w:rPr>
          <w:rFonts w:ascii="Arial" w:hAnsi="Arial" w:cs="Arial"/>
          <w:lang w:val="en-GB" w:eastAsia="zh-TW"/>
        </w:rPr>
        <w:t xml:space="preserve">). </w:t>
      </w:r>
      <w:r w:rsidRPr="0028108F">
        <w:rPr>
          <w:rFonts w:ascii="Arial" w:hAnsi="Arial" w:cs="Arial"/>
          <w:lang w:val="en-GB"/>
        </w:rPr>
        <w:t xml:space="preserve"> </w:t>
      </w:r>
      <w:r w:rsidRPr="0028108F">
        <w:rPr>
          <w:rFonts w:ascii="Arial" w:hAnsi="Arial" w:cs="Arial"/>
          <w:i/>
          <w:lang w:val="en-GB"/>
        </w:rPr>
        <w:t xml:space="preserve"> </w:t>
      </w:r>
      <w:r w:rsidRPr="0028108F">
        <w:rPr>
          <w:rFonts w:ascii="Arial" w:hAnsi="Arial" w:cs="Arial"/>
          <w:i/>
          <w:lang w:val="en-GB" w:eastAsia="zh-TW"/>
        </w:rPr>
        <w:t xml:space="preserve"> </w:t>
      </w:r>
    </w:p>
  </w:footnote>
  <w:footnote w:id="452">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paragraph 188.</w:t>
      </w:r>
    </w:p>
  </w:footnote>
  <w:footnote w:id="453">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C57CE1">
        <w:rPr>
          <w:rFonts w:ascii="Arial" w:hAnsi="Arial" w:cs="Arial"/>
          <w:lang w:val="en-GB"/>
        </w:rPr>
        <w:t xml:space="preserve">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181CF2">
        <w:rPr>
          <w:rFonts w:ascii="Arial" w:hAnsi="Arial" w:cs="Arial"/>
          <w:lang w:val="en-GB"/>
        </w:rPr>
        <w:t xml:space="preserve"> (</w:t>
      </w:r>
      <w:r w:rsidRPr="00C57CE1">
        <w:rPr>
          <w:rFonts w:ascii="Arial" w:hAnsi="Arial" w:cs="Arial"/>
          <w:lang w:val="en-GB"/>
        </w:rPr>
        <w:t>in Chinese, transliterated as “Homosexuality and Transsexualism – Commenting on Homosexual Movement and Transsexual Marriage”),</w:t>
      </w:r>
      <w:r w:rsidRPr="0028108F">
        <w:rPr>
          <w:rFonts w:ascii="Arial" w:hAnsi="Arial" w:cs="Arial"/>
          <w:lang w:val="en-GB"/>
        </w:rPr>
        <w:t xml:space="preserve"> June 2015, at 7.</w:t>
      </w:r>
    </w:p>
  </w:footnote>
  <w:footnote w:id="454">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181CF2">
        <w:rPr>
          <w:rFonts w:ascii="Arial" w:hAnsi="Arial" w:cs="Arial"/>
          <w:lang w:val="en-GB"/>
        </w:rPr>
        <w:t>C</w:t>
      </w:r>
      <w:r w:rsidRPr="00C57CE1">
        <w:rPr>
          <w:rFonts w:ascii="Arial" w:eastAsia="細明體" w:hAnsi="Arial" w:cs="Arial"/>
          <w:color w:val="000000"/>
          <w:kern w:val="0"/>
          <w:lang w:val="en-GB"/>
        </w:rPr>
        <w:t>ommunity Business,</w:t>
      </w:r>
      <w:r w:rsidRPr="0028108F">
        <w:rPr>
          <w:rFonts w:ascii="Arial" w:eastAsia="細明體" w:hAnsi="Arial" w:cs="Arial"/>
          <w:i/>
          <w:iCs/>
          <w:color w:val="000000"/>
          <w:kern w:val="0"/>
          <w:lang w:val="en-GB"/>
        </w:rPr>
        <w:t xml:space="preserve"> </w:t>
      </w:r>
      <w:r w:rsidRPr="0028108F">
        <w:rPr>
          <w:rFonts w:ascii="Arial" w:eastAsia="細明體" w:hAnsi="Arial" w:cs="Arial"/>
          <w:iCs/>
          <w:color w:val="000000"/>
          <w:kern w:val="0"/>
          <w:lang w:val="en-GB"/>
        </w:rPr>
        <w:t xml:space="preserve">“Hong Kong LGBT Climate </w:t>
      </w:r>
      <w:r>
        <w:rPr>
          <w:rFonts w:ascii="Arial" w:eastAsia="細明體" w:hAnsi="Arial" w:cs="Arial"/>
          <w:iCs/>
          <w:color w:val="000000"/>
          <w:kern w:val="0"/>
          <w:lang w:val="en-GB"/>
        </w:rPr>
        <w:t>Study</w:t>
      </w:r>
      <w:r w:rsidRPr="0028108F">
        <w:rPr>
          <w:rFonts w:ascii="Arial" w:eastAsia="細明體" w:hAnsi="Arial" w:cs="Arial"/>
          <w:iCs/>
          <w:color w:val="000000"/>
          <w:kern w:val="0"/>
          <w:lang w:val="en-GB"/>
        </w:rPr>
        <w:t xml:space="preserve"> 2011</w:t>
      </w:r>
      <w:r>
        <w:rPr>
          <w:rFonts w:ascii="Arial" w:eastAsia="細明體" w:hAnsi="Arial" w:cs="Arial"/>
          <w:iCs/>
          <w:color w:val="000000"/>
          <w:kern w:val="0"/>
          <w:lang w:val="en-GB"/>
        </w:rPr>
        <w:t>-</w:t>
      </w:r>
      <w:r w:rsidRPr="0028108F">
        <w:rPr>
          <w:rFonts w:ascii="Arial" w:eastAsia="細明體" w:hAnsi="Arial" w:cs="Arial"/>
          <w:iCs/>
          <w:color w:val="000000"/>
          <w:kern w:val="0"/>
          <w:lang w:val="en-GB"/>
        </w:rPr>
        <w:t>12</w:t>
      </w:r>
      <w:r>
        <w:rPr>
          <w:rFonts w:ascii="Arial" w:eastAsia="細明體" w:hAnsi="Arial" w:cs="Arial"/>
          <w:iCs/>
          <w:color w:val="000000"/>
          <w:kern w:val="0"/>
          <w:lang w:val="en-GB"/>
        </w:rPr>
        <w:t>: Survey Report</w:t>
      </w:r>
      <w:r w:rsidRPr="0028108F">
        <w:rPr>
          <w:rFonts w:ascii="Arial" w:eastAsia="細明體" w:hAnsi="Arial" w:cs="Arial"/>
          <w:iCs/>
          <w:color w:val="000000"/>
          <w:kern w:val="0"/>
          <w:lang w:val="en-GB"/>
        </w:rPr>
        <w:t>”</w:t>
      </w:r>
      <w:r w:rsidRPr="00181CF2">
        <w:rPr>
          <w:rFonts w:ascii="Arial" w:eastAsia="細明體" w:hAnsi="Arial" w:cs="Arial"/>
          <w:i/>
          <w:iCs/>
          <w:color w:val="000000"/>
          <w:kern w:val="0"/>
          <w:lang w:val="en-GB"/>
        </w:rPr>
        <w:t xml:space="preserve"> </w:t>
      </w:r>
      <w:r w:rsidRPr="00C57CE1">
        <w:rPr>
          <w:rFonts w:ascii="Arial" w:eastAsia="細明體" w:hAnsi="Arial" w:cs="Arial"/>
          <w:color w:val="000000"/>
          <w:kern w:val="0"/>
          <w:lang w:val="en-GB"/>
        </w:rPr>
        <w:t xml:space="preserve">(2012), </w:t>
      </w:r>
      <w:r w:rsidRPr="0028108F">
        <w:rPr>
          <w:rFonts w:ascii="Arial" w:hAnsi="Arial" w:cs="Arial"/>
          <w:lang w:val="en-GB"/>
        </w:rPr>
        <w:t xml:space="preserve">at </w:t>
      </w:r>
      <w:r w:rsidRPr="00C57CE1">
        <w:rPr>
          <w:rFonts w:ascii="Arial" w:hAnsi="Arial" w:cs="Arial"/>
          <w:lang w:val="en-GB"/>
        </w:rPr>
        <w:t>5,</w:t>
      </w:r>
      <w:r w:rsidRPr="0028108F">
        <w:rPr>
          <w:rFonts w:ascii="Arial" w:hAnsi="Arial" w:cs="Arial"/>
          <w:lang w:val="en-GB"/>
        </w:rPr>
        <w:t xml:space="preserve"> 10</w:t>
      </w:r>
      <w:r w:rsidRPr="00181CF2">
        <w:rPr>
          <w:rFonts w:ascii="Arial" w:hAnsi="Arial" w:cs="Arial"/>
          <w:lang w:val="en-GB"/>
        </w:rPr>
        <w:t xml:space="preserve">, </w:t>
      </w:r>
      <w:r w:rsidRPr="00C57CE1">
        <w:rPr>
          <w:rFonts w:ascii="Arial" w:hAnsi="Arial" w:cs="Arial"/>
          <w:lang w:val="en-GB"/>
        </w:rPr>
        <w:t>14 and 15</w:t>
      </w:r>
      <w:r w:rsidRPr="0028108F">
        <w:rPr>
          <w:rFonts w:ascii="Arial" w:hAnsi="Arial" w:cs="Arial"/>
          <w:lang w:val="en-GB"/>
        </w:rPr>
        <w:t>.</w:t>
      </w:r>
    </w:p>
  </w:footnote>
  <w:footnote w:id="455">
    <w:p w:rsidR="0022178B" w:rsidRPr="0028108F" w:rsidRDefault="0022178B" w:rsidP="00FC3F76">
      <w:pPr>
        <w:pStyle w:val="FootnoteText"/>
        <w:tabs>
          <w:tab w:val="left" w:pos="851"/>
        </w:tabs>
        <w:ind w:left="709" w:hanging="709"/>
        <w:jc w:val="both"/>
        <w:rPr>
          <w:rFonts w:ascii="Arial" w:hAnsi="Arial" w:cs="Arial"/>
          <w:lang w:val="en-US"/>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r>
      <w:r>
        <w:rPr>
          <w:rFonts w:ascii="Arial" w:hAnsi="Arial" w:cs="Arial"/>
          <w:lang w:val="en-GB"/>
        </w:rPr>
        <w:t>Same as above</w:t>
      </w:r>
      <w:r w:rsidRPr="00181CF2">
        <w:rPr>
          <w:rFonts w:ascii="Arial" w:eastAsia="細明體" w:hAnsi="Arial" w:cs="Arial"/>
          <w:color w:val="000000"/>
          <w:kern w:val="0"/>
          <w:lang w:val="en-GB"/>
        </w:rPr>
        <w:t xml:space="preserve">, </w:t>
      </w:r>
      <w:r w:rsidRPr="00C57CE1">
        <w:rPr>
          <w:rFonts w:ascii="Arial" w:hAnsi="Arial" w:cs="Arial"/>
          <w:lang w:val="en-GB"/>
        </w:rPr>
        <w:t xml:space="preserve">at </w:t>
      </w:r>
      <w:r w:rsidRPr="0028108F">
        <w:rPr>
          <w:rFonts w:ascii="Arial" w:hAnsi="Arial" w:cs="Arial"/>
          <w:lang w:val="en-GB"/>
        </w:rPr>
        <w:t>5 and 6.</w:t>
      </w:r>
    </w:p>
  </w:footnote>
  <w:footnote w:id="456">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t>See the definition of “</w:t>
      </w:r>
      <w:r w:rsidRPr="0028108F">
        <w:rPr>
          <w:rFonts w:ascii="Arial" w:hAnsi="Arial" w:cs="Arial"/>
          <w:i/>
          <w:lang w:val="en-GB"/>
        </w:rPr>
        <w:t>disability</w:t>
      </w:r>
      <w:r w:rsidRPr="00181CF2">
        <w:rPr>
          <w:rFonts w:ascii="Arial" w:hAnsi="Arial" w:cs="Arial"/>
          <w:lang w:val="en-GB"/>
        </w:rPr>
        <w:t xml:space="preserve">” under section 2 of </w:t>
      </w:r>
      <w:r w:rsidRPr="00181CF2">
        <w:rPr>
          <w:rFonts w:ascii="Arial" w:hAnsi="Arial" w:cs="Arial"/>
          <w:szCs w:val="24"/>
          <w:lang w:val="en-GB"/>
        </w:rPr>
        <w:t>Disability Discrimination Ordinance</w:t>
      </w:r>
      <w:r>
        <w:rPr>
          <w:rFonts w:ascii="Arial" w:hAnsi="Arial" w:cs="Arial" w:hint="eastAsia"/>
          <w:szCs w:val="24"/>
          <w:lang w:val="en-GB" w:eastAsia="zh-TW"/>
        </w:rPr>
        <w:t xml:space="preserve"> (Cap 487)</w:t>
      </w:r>
      <w:r w:rsidRPr="00181CF2">
        <w:rPr>
          <w:rFonts w:ascii="Arial" w:hAnsi="Arial" w:cs="Arial"/>
          <w:lang w:val="en-GB"/>
        </w:rPr>
        <w:t>.</w:t>
      </w:r>
    </w:p>
  </w:footnote>
  <w:footnote w:id="457">
    <w:p w:rsidR="0022178B" w:rsidRPr="0028108F" w:rsidRDefault="0022178B" w:rsidP="0028108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181CF2">
        <w:rPr>
          <w:rFonts w:ascii="Arial" w:hAnsi="Arial" w:cs="Arial"/>
          <w:lang w:val="en-GB"/>
        </w:rPr>
        <w:tab/>
      </w:r>
      <w:r>
        <w:rPr>
          <w:rFonts w:ascii="Arial" w:hAnsi="Arial" w:cs="Arial"/>
          <w:lang w:val="en-GB"/>
        </w:rPr>
        <w:t>See Articles 25 and 39 of the Basic Law and Articles 1(1) and 22 of the Hong Kong Bill of Rights.</w:t>
      </w:r>
    </w:p>
  </w:footnote>
  <w:footnote w:id="458">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 xml:space="preserve">Gender identity is increasingly being recognised as a ground </w:t>
      </w:r>
      <w:r w:rsidRPr="0028108F">
        <w:rPr>
          <w:rFonts w:ascii="Arial" w:hAnsi="Arial" w:cs="Arial"/>
          <w:lang w:val="en-GB"/>
        </w:rPr>
        <w:t xml:space="preserve">on which discrimination is prohibited. </w:t>
      </w:r>
      <w:r w:rsidRPr="00181CF2">
        <w:rPr>
          <w:rFonts w:ascii="Arial" w:hAnsi="Arial" w:cs="Arial"/>
          <w:lang w:val="en-GB"/>
        </w:rPr>
        <w:t xml:space="preserve"> </w:t>
      </w:r>
      <w:r w:rsidRPr="0028108F">
        <w:rPr>
          <w:rFonts w:ascii="Arial" w:hAnsi="Arial" w:cs="Arial"/>
          <w:lang w:val="en-GB"/>
        </w:rPr>
        <w:t>See United Nations Committee on Economic, Social and Cultural Rights</w:t>
      </w:r>
      <w:r w:rsidRPr="0028108F">
        <w:rPr>
          <w:rFonts w:ascii="Arial" w:hAnsi="Arial" w:cs="Arial"/>
          <w:i/>
          <w:lang w:val="en-GB"/>
        </w:rPr>
        <w:t xml:space="preserve">, </w:t>
      </w:r>
      <w:r w:rsidRPr="00181CF2">
        <w:rPr>
          <w:rFonts w:ascii="Arial" w:hAnsi="Arial" w:cs="Arial"/>
          <w:lang w:val="en-GB" w:eastAsia="zh-TW"/>
        </w:rPr>
        <w:t>“</w:t>
      </w:r>
      <w:r w:rsidRPr="0028108F">
        <w:rPr>
          <w:rFonts w:ascii="Arial" w:hAnsi="Arial" w:cs="Arial"/>
          <w:lang w:val="en-GB"/>
        </w:rPr>
        <w:t>General Comment 20</w:t>
      </w:r>
      <w:r w:rsidRPr="00181CF2">
        <w:rPr>
          <w:rFonts w:ascii="Arial" w:hAnsi="Arial" w:cs="Arial"/>
          <w:lang w:val="en-GB" w:eastAsia="zh-TW"/>
        </w:rPr>
        <w:t>”</w:t>
      </w:r>
      <w:r w:rsidRPr="0028108F">
        <w:rPr>
          <w:rFonts w:ascii="Arial" w:hAnsi="Arial" w:cs="Arial"/>
          <w:lang w:val="en-GB"/>
        </w:rPr>
        <w:t>,</w:t>
      </w:r>
      <w:r w:rsidRPr="00181CF2">
        <w:rPr>
          <w:rFonts w:ascii="Arial" w:hAnsi="Arial" w:cs="Arial"/>
          <w:lang w:val="en-GB"/>
        </w:rPr>
        <w:t xml:space="preserve"> </w:t>
      </w:r>
      <w:r w:rsidRPr="0028108F">
        <w:rPr>
          <w:rFonts w:ascii="Arial" w:hAnsi="Arial" w:cs="Arial"/>
          <w:lang w:val="en-GB"/>
        </w:rPr>
        <w:t>E/C.12/GC/20, para</w:t>
      </w:r>
      <w:r>
        <w:rPr>
          <w:rFonts w:ascii="Arial" w:hAnsi="Arial" w:cs="Arial"/>
          <w:lang w:val="en-GB"/>
        </w:rPr>
        <w:t>graph</w:t>
      </w:r>
      <w:r w:rsidRPr="0028108F">
        <w:rPr>
          <w:rFonts w:ascii="Arial" w:hAnsi="Arial" w:cs="Arial"/>
          <w:lang w:val="en-GB"/>
        </w:rPr>
        <w:t xml:space="preserve"> 32.</w:t>
      </w:r>
      <w:r w:rsidRPr="00181CF2">
        <w:rPr>
          <w:rFonts w:ascii="Arial" w:hAnsi="Arial" w:cs="Arial"/>
          <w:lang w:val="en-GB"/>
        </w:rPr>
        <w:t xml:space="preserve">  See also </w:t>
      </w:r>
      <w:r w:rsidRPr="00C57CE1">
        <w:rPr>
          <w:rFonts w:ascii="Arial" w:hAnsi="Arial" w:cs="Arial"/>
          <w:lang w:val="en-GB"/>
        </w:rPr>
        <w:t>Human Rights Council,</w:t>
      </w:r>
      <w:r w:rsidRPr="0028108F">
        <w:rPr>
          <w:rFonts w:ascii="Arial" w:hAnsi="Arial" w:cs="Arial"/>
          <w:lang w:val="en-GB"/>
        </w:rPr>
        <w:t xml:space="preserve"> seventeenth session, 14 July 2011, A/HRC/RES/17/19 (adoption of a resolution on gender identity).</w:t>
      </w:r>
    </w:p>
  </w:footnote>
  <w:footnote w:id="459">
    <w:p w:rsidR="0022178B" w:rsidRPr="0028108F" w:rsidRDefault="0022178B" w:rsidP="00F604EE">
      <w:pPr>
        <w:pStyle w:val="FootnoteText"/>
        <w:tabs>
          <w:tab w:val="left" w:pos="851"/>
        </w:tabs>
        <w:ind w:left="709" w:hanging="709"/>
        <w:jc w:val="both"/>
        <w:rPr>
          <w:rFonts w:ascii="Arial" w:hAnsi="Arial" w:cs="Arial"/>
          <w:lang w:val="en-US"/>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See</w:t>
      </w:r>
      <w:r w:rsidRPr="00FC03AF">
        <w:rPr>
          <w:rFonts w:ascii="Arial" w:hAnsi="Arial" w:cs="Arial"/>
          <w:kern w:val="0"/>
          <w:lang w:val="en-GB"/>
        </w:rPr>
        <w:t xml:space="preserve"> </w:t>
      </w:r>
      <w:r>
        <w:rPr>
          <w:rFonts w:ascii="Arial" w:hAnsi="Arial" w:cs="Arial"/>
          <w:kern w:val="0"/>
          <w:lang w:val="en-GB"/>
        </w:rPr>
        <w:t>Suen, Y.T., Wong, A.W.C., Barrow, A., Wong, M.Y., Mak, W.S., Choi, P.K., Lam, C.M., Lau, T.F.</w:t>
      </w:r>
      <w:r w:rsidRPr="0028108F">
        <w:rPr>
          <w:rFonts w:ascii="Arial" w:hAnsi="Arial" w:cs="Arial"/>
          <w:lang w:val="en-GB"/>
        </w:rPr>
        <w:t xml:space="preserve">, </w:t>
      </w:r>
      <w:r w:rsidRPr="0028108F">
        <w:rPr>
          <w:rFonts w:ascii="Arial" w:hAnsi="Arial" w:cs="Arial"/>
          <w:i/>
          <w:lang w:val="en-GB"/>
        </w:rPr>
        <w:t>Report on Study on Legislation against Discrimination on the Grounds of Sexual Orientation, Gender Identity and Intersex Status</w:t>
      </w:r>
      <w:r w:rsidRPr="00181CF2">
        <w:rPr>
          <w:rFonts w:ascii="Arial" w:hAnsi="Arial" w:cs="Arial"/>
          <w:lang w:val="en-GB"/>
        </w:rPr>
        <w:t xml:space="preserve">, </w:t>
      </w:r>
      <w:r>
        <w:rPr>
          <w:rFonts w:ascii="Arial" w:hAnsi="Arial" w:cs="Arial"/>
          <w:kern w:val="0"/>
          <w:lang w:val="en-GB"/>
        </w:rPr>
        <w:t>Equal Opportunities Commission and Gender Research Centre of the Chinese University of Hong Kong</w:t>
      </w:r>
      <w:r>
        <w:rPr>
          <w:rFonts w:ascii="Arial" w:hAnsi="Arial" w:cs="Arial"/>
          <w:lang w:val="en-GB"/>
        </w:rPr>
        <w:t xml:space="preserve">, </w:t>
      </w:r>
      <w:r w:rsidRPr="00181CF2">
        <w:rPr>
          <w:rFonts w:ascii="Arial" w:hAnsi="Arial" w:cs="Arial"/>
          <w:lang w:val="en-GB"/>
        </w:rPr>
        <w:t>January 2016, at paragraph 1.5.3.</w:t>
      </w:r>
    </w:p>
  </w:footnote>
  <w:footnote w:id="460">
    <w:p w:rsidR="0022178B" w:rsidRPr="0028108F" w:rsidRDefault="0022178B" w:rsidP="00D13A08">
      <w:pPr>
        <w:pStyle w:val="FootnoteText"/>
        <w:tabs>
          <w:tab w:val="left" w:pos="851"/>
        </w:tabs>
        <w:ind w:left="709" w:hanging="709"/>
        <w:jc w:val="both"/>
        <w:rPr>
          <w:rFonts w:ascii="Arial" w:hAnsi="Arial" w:cs="Arial"/>
          <w:lang w:val="en-US"/>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r>
      <w:r w:rsidRPr="0028108F">
        <w:rPr>
          <w:rFonts w:ascii="Arial" w:hAnsi="Arial" w:cs="Arial"/>
          <w:lang w:val="en-GB"/>
        </w:rPr>
        <w:t>Same as above, at paragraph 4.5.3.</w:t>
      </w:r>
    </w:p>
  </w:footnote>
  <w:footnote w:id="461">
    <w:p w:rsidR="0022178B" w:rsidRPr="0028108F" w:rsidRDefault="0022178B" w:rsidP="00326569">
      <w:pPr>
        <w:pStyle w:val="FootnoteText"/>
        <w:tabs>
          <w:tab w:val="left" w:pos="851"/>
        </w:tabs>
        <w:ind w:left="709" w:hanging="709"/>
        <w:jc w:val="both"/>
        <w:rPr>
          <w:rFonts w:ascii="Arial" w:hAnsi="Arial" w:cs="Arial"/>
          <w:lang w:val="en-US"/>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r>
      <w:r w:rsidRPr="0028108F">
        <w:rPr>
          <w:rFonts w:ascii="Arial" w:hAnsi="Arial" w:cs="Arial"/>
          <w:lang w:val="en-GB"/>
        </w:rPr>
        <w:t>Same as above, at paragraph 4.4.3.</w:t>
      </w:r>
    </w:p>
  </w:footnote>
  <w:footnote w:id="462">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More information about the Advisory Group can be found in: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54" w:history="1">
        <w:r w:rsidRPr="0028108F">
          <w:rPr>
            <w:rStyle w:val="Hyperlink"/>
            <w:rFonts w:ascii="Arial" w:hAnsi="Arial" w:cs="Arial"/>
            <w:lang w:val="en-GB"/>
          </w:rPr>
          <w:t>http://www.cmab.gov.hk/en/issues/equal_advisory_group.htm</w:t>
        </w:r>
      </w:hyperlink>
      <w:r w:rsidRPr="0028108F">
        <w:rPr>
          <w:rFonts w:ascii="Arial" w:hAnsi="Arial" w:cs="Arial"/>
          <w:lang w:val="en-GB"/>
        </w:rPr>
        <w:t>.</w:t>
      </w:r>
    </w:p>
  </w:footnote>
  <w:footnote w:id="46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 report of the Advisory Group is at:</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55" w:history="1">
        <w:r w:rsidRPr="0028108F">
          <w:rPr>
            <w:rStyle w:val="Hyperlink"/>
            <w:rFonts w:ascii="Arial" w:hAnsi="Arial" w:cs="Arial"/>
            <w:lang w:val="en-GB"/>
          </w:rPr>
          <w:t>http://www.cmab.gov.hk/doc/issues/full_report_e.pdf</w:t>
        </w:r>
      </w:hyperlink>
      <w:r w:rsidRPr="0028108F">
        <w:rPr>
          <w:rFonts w:ascii="Arial" w:hAnsi="Arial" w:cs="Arial"/>
          <w:lang w:val="en-GB"/>
        </w:rPr>
        <w:t>.</w:t>
      </w:r>
    </w:p>
  </w:footnote>
  <w:footnote w:id="464">
    <w:p w:rsidR="0022178B" w:rsidRPr="0028108F" w:rsidRDefault="0022178B" w:rsidP="00AE4B3E">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Walt Heyer, </w:t>
      </w:r>
      <w:r w:rsidRPr="008813DE">
        <w:rPr>
          <w:rFonts w:ascii="Arial" w:hAnsi="Arial" w:cs="Arial"/>
          <w:i/>
          <w:lang w:val="en-GB"/>
        </w:rPr>
        <w:t>Paper Genders: Pulling the Mask Off the Transgender Phenomenon</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Make Waves Publishing</w:t>
      </w:r>
      <w:r w:rsidRPr="00181CF2">
        <w:rPr>
          <w:rFonts w:ascii="Arial" w:hAnsi="Arial" w:cs="Arial"/>
          <w:lang w:val="en-GB"/>
        </w:rPr>
        <w:t xml:space="preserve">, 2nd printing, June 2011, at </w:t>
      </w:r>
      <w:r w:rsidRPr="0028108F">
        <w:rPr>
          <w:rFonts w:ascii="Arial" w:hAnsi="Arial" w:cs="Arial"/>
          <w:lang w:val="en-GB"/>
        </w:rPr>
        <w:t>10.</w:t>
      </w:r>
    </w:p>
  </w:footnote>
  <w:footnote w:id="465">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C57CE1">
        <w:rPr>
          <w:rFonts w:ascii="Arial" w:hAnsi="Arial" w:cs="Arial"/>
          <w:lang w:val="en-GB"/>
        </w:rPr>
        <w:t xml:space="preserve">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8813DE">
        <w:rPr>
          <w:rFonts w:ascii="Arial" w:hAnsi="Arial" w:cs="Arial"/>
          <w:i/>
          <w:lang w:val="en-GB"/>
        </w:rPr>
        <w:t xml:space="preserve"> </w:t>
      </w:r>
      <w:r w:rsidRPr="00181CF2">
        <w:rPr>
          <w:rFonts w:ascii="Arial" w:hAnsi="Arial" w:cs="Arial"/>
          <w:lang w:val="en-GB"/>
        </w:rPr>
        <w:t>(</w:t>
      </w:r>
      <w:r w:rsidRPr="00C57CE1">
        <w:rPr>
          <w:rFonts w:ascii="Arial" w:hAnsi="Arial" w:cs="Arial"/>
          <w:lang w:val="en-GB"/>
        </w:rPr>
        <w:t>in Chinese, transliter</w:t>
      </w:r>
      <w:r w:rsidRPr="0028108F">
        <w:rPr>
          <w:rFonts w:ascii="Arial" w:hAnsi="Arial" w:cs="Arial"/>
          <w:lang w:val="en-GB"/>
        </w:rPr>
        <w:t>ated as “Homosexuality and Transsexualism – Commenting on Homosexual Movement and Transsexual Marriage”), June 2015, at 281 to 283.</w:t>
      </w:r>
    </w:p>
  </w:footnote>
  <w:footnote w:id="466">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lang w:val="en-GB" w:eastAsia="zh-TW"/>
        </w:rPr>
        <w:t>eg</w:t>
      </w:r>
      <w:r w:rsidRPr="0028108F">
        <w:rPr>
          <w:rFonts w:ascii="Arial" w:hAnsi="Arial" w:cs="Arial"/>
          <w:lang w:val="en-GB"/>
        </w:rPr>
        <w:t xml:space="preserve">, the Legislative Council’s Report of the Bills Committee on Marriage (Amendment) Bill 2014 (LC Paper No. CB(2)1962/13-14, 3 July 2014), at </w:t>
      </w:r>
      <w:r w:rsidRPr="00181CF2">
        <w:rPr>
          <w:rFonts w:ascii="Arial" w:hAnsi="Arial" w:cs="Arial"/>
          <w:lang w:val="en-GB"/>
        </w:rPr>
        <w:t>paragraph</w:t>
      </w:r>
      <w:r w:rsidRPr="0028108F">
        <w:rPr>
          <w:rFonts w:ascii="Arial" w:hAnsi="Arial" w:cs="Arial"/>
          <w:lang w:val="en-GB"/>
        </w:rPr>
        <w:t xml:space="preserve"> 11; Pink Alliance’s Submission to the Legislative Council on the said Bill (LC Paper No. CB(2)1309/13-14(12)). </w:t>
      </w:r>
    </w:p>
  </w:footnote>
  <w:footnote w:id="467">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C57CE1">
        <w:rPr>
          <w:rFonts w:ascii="Arial" w:hAnsi="Arial" w:cs="Arial"/>
          <w:lang w:val="en-GB"/>
        </w:rPr>
        <w:t xml:space="preserve">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8813DE">
        <w:rPr>
          <w:rFonts w:ascii="Arial" w:hAnsi="Arial" w:cs="Arial"/>
          <w:i/>
          <w:lang w:val="en-GB"/>
        </w:rPr>
        <w:t xml:space="preserve"> </w:t>
      </w:r>
      <w:r w:rsidRPr="00181CF2">
        <w:rPr>
          <w:rFonts w:ascii="Arial" w:hAnsi="Arial" w:cs="Arial"/>
          <w:lang w:val="en-GB"/>
        </w:rPr>
        <w:t>(</w:t>
      </w:r>
      <w:r w:rsidRPr="00C57CE1">
        <w:rPr>
          <w:rFonts w:ascii="Arial" w:hAnsi="Arial" w:cs="Arial"/>
          <w:lang w:val="en-GB"/>
        </w:rPr>
        <w:t>in Chi</w:t>
      </w:r>
      <w:r w:rsidRPr="0028108F">
        <w:rPr>
          <w:rFonts w:ascii="Arial" w:hAnsi="Arial" w:cs="Arial"/>
          <w:lang w:val="en-GB"/>
        </w:rPr>
        <w:t>nese, transliterated as “Homosexuality and Transsexualism – Commenting on Homosexual Movement and Transsexual Marriage”), June 2015, at 243 to 244.</w:t>
      </w:r>
    </w:p>
  </w:footnote>
  <w:footnote w:id="468">
    <w:p w:rsidR="0022178B" w:rsidRPr="0028108F" w:rsidRDefault="0022178B">
      <w:pPr>
        <w:pStyle w:val="FootnoteText"/>
        <w:tabs>
          <w:tab w:val="left" w:pos="851"/>
        </w:tabs>
        <w:ind w:left="709" w:hanging="709"/>
        <w:jc w:val="both"/>
        <w:rPr>
          <w:rFonts w:ascii="Arial" w:hAnsi="Arial" w:cs="Arial"/>
          <w:lang w:val="en-GB" w:eastAsia="zh-TW"/>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See Hong Kong Sex Culture Society Limited</w:t>
      </w:r>
      <w:r w:rsidRPr="0028108F">
        <w:rPr>
          <w:rFonts w:ascii="Arial" w:hAnsi="Arial" w:cs="Arial"/>
          <w:lang w:val="en-GB"/>
        </w:rPr>
        <w:t>,</w:t>
      </w:r>
      <w:r w:rsidRPr="0028108F">
        <w:rPr>
          <w:rFonts w:ascii="Arial" w:hAnsi="Arial" w:cs="Arial"/>
          <w:i/>
          <w:lang w:val="en-GB"/>
        </w:rPr>
        <w:t xml:space="preserve"> </w:t>
      </w:r>
      <w:r w:rsidRPr="0028108F">
        <w:rPr>
          <w:rFonts w:ascii="Arial" w:hAnsi="Arial" w:cs="Arial"/>
          <w:lang w:val="en-GB"/>
        </w:rPr>
        <w:t>“</w:t>
      </w:r>
      <w:r w:rsidRPr="0028108F">
        <w:rPr>
          <w:rFonts w:ascii="Arial" w:hAnsi="Arial" w:cs="Arial"/>
          <w:lang w:val="en-GB"/>
        </w:rPr>
        <w:t>回顧逾二百文獻</w:t>
      </w:r>
      <w:r>
        <w:rPr>
          <w:rFonts w:ascii="Arial" w:hAnsi="Arial" w:cs="Arial" w:hint="eastAsia"/>
          <w:lang w:val="en-GB" w:eastAsia="zh-TW"/>
        </w:rPr>
        <w:t xml:space="preserve"> </w:t>
      </w:r>
      <w:r w:rsidRPr="0028108F">
        <w:rPr>
          <w:rFonts w:ascii="Arial" w:hAnsi="Arial" w:cs="Arial"/>
          <w:lang w:val="en-GB"/>
        </w:rPr>
        <w:t>–</w:t>
      </w:r>
      <w:r>
        <w:rPr>
          <w:rFonts w:ascii="Arial" w:hAnsi="Arial" w:cs="Arial" w:hint="eastAsia"/>
          <w:lang w:val="en-GB" w:eastAsia="zh-TW"/>
        </w:rPr>
        <w:t xml:space="preserve"> </w:t>
      </w:r>
      <w:r w:rsidRPr="0028108F">
        <w:rPr>
          <w:rFonts w:ascii="Arial" w:hAnsi="Arial" w:cs="Arial"/>
          <w:lang w:val="en-GB"/>
        </w:rPr>
        <w:t>重量級報告歸納指性傾向及性別認同非天生不可改變</w:t>
      </w:r>
      <w:r w:rsidRPr="0028108F">
        <w:rPr>
          <w:rFonts w:ascii="Arial" w:hAnsi="Arial" w:cs="Arial"/>
          <w:lang w:val="en-GB"/>
        </w:rPr>
        <w:t>”</w:t>
      </w:r>
      <w:r w:rsidRPr="00181CF2">
        <w:rPr>
          <w:rFonts w:ascii="Arial" w:hAnsi="Arial" w:cs="Arial"/>
          <w:lang w:val="en-GB" w:eastAsia="zh-TW"/>
        </w:rPr>
        <w:t>,</w:t>
      </w:r>
      <w:r w:rsidRPr="0028108F">
        <w:rPr>
          <w:rFonts w:ascii="Arial" w:hAnsi="Arial" w:cs="Arial"/>
          <w:lang w:val="en-GB" w:eastAsia="zh-TW"/>
        </w:rPr>
        <w:t xml:space="preserve"> 26 September 2016, in Chinese</w:t>
      </w:r>
      <w:r w:rsidRPr="0028108F">
        <w:rPr>
          <w:rFonts w:ascii="Arial" w:hAnsi="Arial" w:cs="Arial"/>
          <w:lang w:val="en-GB"/>
        </w:rPr>
        <w:t>.</w:t>
      </w:r>
      <w:r w:rsidRPr="0028108F">
        <w:rPr>
          <w:rFonts w:ascii="Arial" w:hAnsi="Arial" w:cs="Arial"/>
          <w:lang w:val="en-GB" w:eastAsia="zh-TW"/>
        </w:rPr>
        <w:t xml:space="preserve"> </w:t>
      </w:r>
    </w:p>
  </w:footnote>
  <w:footnote w:id="469">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181CF2">
        <w:rPr>
          <w:rFonts w:ascii="Arial" w:hAnsi="Arial" w:cs="Arial"/>
          <w:lang w:val="en-GB"/>
        </w:rPr>
        <w:t xml:space="preserve"> (</w:t>
      </w:r>
      <w:r w:rsidRPr="00C57CE1">
        <w:rPr>
          <w:rFonts w:ascii="Arial" w:hAnsi="Arial" w:cs="Arial"/>
          <w:lang w:val="en-GB"/>
        </w:rPr>
        <w:t>in Chinese, tran</w:t>
      </w:r>
      <w:r w:rsidRPr="0028108F">
        <w:rPr>
          <w:rFonts w:ascii="Arial" w:hAnsi="Arial" w:cs="Arial"/>
          <w:lang w:val="en-GB"/>
        </w:rPr>
        <w:t>sliterated as “Homosexuality and Transsexualism – Commenting on Homosexual Movement and Transsexual Marriage”), June 2015, at 282 to 283.</w:t>
      </w:r>
    </w:p>
  </w:footnote>
  <w:footnote w:id="470">
    <w:p w:rsidR="0022178B" w:rsidRPr="0028108F" w:rsidRDefault="0022178B" w:rsidP="00604960">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CA7C66">
        <w:rPr>
          <w:rFonts w:ascii="Arial" w:hAnsi="Arial" w:cs="Arial"/>
          <w:lang w:val="en-GB"/>
        </w:rPr>
        <w:t xml:space="preserve">FACV </w:t>
      </w:r>
      <w:r w:rsidRPr="00181CF2">
        <w:rPr>
          <w:rFonts w:ascii="Arial" w:hAnsi="Arial" w:cs="Arial"/>
          <w:lang w:val="en-GB"/>
        </w:rPr>
        <w:t xml:space="preserve">4/2012 (13 May 2013), at </w:t>
      </w:r>
      <w:r w:rsidRPr="0028108F">
        <w:rPr>
          <w:rFonts w:ascii="Arial" w:hAnsi="Arial" w:cs="Arial"/>
          <w:lang w:val="en-GB"/>
        </w:rPr>
        <w:t>paragraph 5.</w:t>
      </w:r>
    </w:p>
  </w:footnote>
  <w:footnote w:id="471">
    <w:p w:rsidR="0022178B" w:rsidRPr="0028108F" w:rsidRDefault="0022178B" w:rsidP="00C73C97">
      <w:pPr>
        <w:pStyle w:val="FootnoteText"/>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lang w:val="en-GB"/>
        </w:rPr>
        <w:t>See the definition of</w:t>
      </w:r>
      <w:r w:rsidRPr="0028108F">
        <w:rPr>
          <w:rFonts w:ascii="Arial" w:hAnsi="Arial" w:cs="Arial"/>
          <w:lang w:val="en-GB"/>
        </w:rPr>
        <w:t xml:space="preserve"> “cross-dressing” by the WPATH in its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 xml:space="preserve">version </w:t>
      </w:r>
      <w:r w:rsidRPr="0028108F">
        <w:rPr>
          <w:rFonts w:ascii="Arial" w:hAnsi="Arial" w:cs="Arial"/>
          <w:lang w:val="en-GB"/>
        </w:rPr>
        <w:t>(2012), at 95.</w:t>
      </w:r>
    </w:p>
  </w:footnote>
  <w:footnote w:id="472">
    <w:p w:rsidR="0022178B" w:rsidRPr="0028108F" w:rsidRDefault="0022178B" w:rsidP="00604960">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Lisa Fishbayn, “Not Quite One Gender or the Other: Marriage Law and the Containment of Gender Trouble in the United Kingdom”</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American University Journal of Gender, Social Policy &amp; the Law</w:t>
      </w:r>
      <w:r w:rsidRPr="00181CF2">
        <w:rPr>
          <w:rFonts w:ascii="Arial" w:hAnsi="Arial" w:cs="Arial"/>
          <w:lang w:val="en-GB"/>
        </w:rPr>
        <w:t>. 15, no. 3 (2007): 413-441, at 440.  Yet, Fishbayn deemed that to pathologise transsexual</w:t>
      </w:r>
      <w:r w:rsidRPr="00C57CE1">
        <w:rPr>
          <w:rFonts w:ascii="Arial" w:hAnsi="Arial" w:cs="Arial"/>
          <w:lang w:val="en-GB"/>
        </w:rPr>
        <w:t>s like what the UK GRA did was to perform “t</w:t>
      </w:r>
      <w:r w:rsidRPr="0028108F">
        <w:rPr>
          <w:rFonts w:ascii="Arial" w:hAnsi="Arial" w:cs="Arial"/>
          <w:i/>
          <w:lang w:val="en-GB"/>
        </w:rPr>
        <w:t>he neat trick of recognizing the reality of transsexual embodiment but strictly confirming the significance of this recognition.</w:t>
      </w:r>
      <w:r w:rsidRPr="0028108F">
        <w:rPr>
          <w:rFonts w:ascii="Arial" w:hAnsi="Arial" w:cs="Arial"/>
          <w:lang w:val="en-GB"/>
        </w:rPr>
        <w:t>”</w:t>
      </w:r>
    </w:p>
  </w:footnote>
  <w:footnote w:id="473">
    <w:p w:rsidR="0022178B" w:rsidRPr="0028108F" w:rsidRDefault="0022178B" w:rsidP="009F1E1B">
      <w:pPr>
        <w:pStyle w:val="FootnoteText"/>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ICD-10 provides the diagnostic guidelines for gender identity disorder.  </w:t>
      </w:r>
      <w:r>
        <w:rPr>
          <w:rFonts w:ascii="Arial" w:hAnsi="Arial" w:cs="Arial" w:hint="eastAsia"/>
          <w:lang w:val="en-GB" w:eastAsia="zh-TW"/>
        </w:rPr>
        <w:t>Separately, u</w:t>
      </w:r>
      <w:r w:rsidRPr="0028108F">
        <w:rPr>
          <w:rFonts w:ascii="Arial" w:hAnsi="Arial" w:cs="Arial"/>
          <w:lang w:val="en-GB"/>
        </w:rPr>
        <w:t xml:space="preserve">nder DSM-5, the diagnostic criteria for gender dysphoria in children are different from that in adolescents and adults.  The details of those diagnostic criteria are set out in paragraphs </w:t>
      </w:r>
      <w:r w:rsidRPr="008813DE">
        <w:rPr>
          <w:rFonts w:ascii="Arial" w:hAnsi="Arial" w:cs="Arial"/>
          <w:lang w:val="en-GB"/>
        </w:rPr>
        <w:t>2.39 to 2.4</w:t>
      </w:r>
      <w:r>
        <w:rPr>
          <w:rFonts w:ascii="Arial" w:hAnsi="Arial" w:cs="Arial"/>
          <w:lang w:val="en-GB"/>
        </w:rPr>
        <w:t>2</w:t>
      </w:r>
      <w:r w:rsidRPr="0028108F">
        <w:rPr>
          <w:rFonts w:ascii="Arial" w:hAnsi="Arial" w:cs="Arial"/>
          <w:lang w:val="en-GB"/>
        </w:rPr>
        <w:t xml:space="preserve"> of this Consultation Paper. </w:t>
      </w:r>
    </w:p>
  </w:footnote>
  <w:footnote w:id="474">
    <w:p w:rsidR="0022178B" w:rsidRPr="0028108F" w:rsidRDefault="0022178B" w:rsidP="00604960">
      <w:pPr>
        <w:pStyle w:val="FootnoteText"/>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 xml:space="preserve">version </w:t>
      </w:r>
      <w:r w:rsidRPr="0028108F">
        <w:rPr>
          <w:rFonts w:ascii="Arial" w:hAnsi="Arial" w:cs="Arial"/>
          <w:lang w:val="en-GB"/>
        </w:rPr>
        <w:t>(2012), at 5.</w:t>
      </w:r>
    </w:p>
  </w:footnote>
  <w:footnote w:id="475">
    <w:p w:rsidR="0022178B" w:rsidRPr="0028108F" w:rsidRDefault="0022178B" w:rsidP="00F47842">
      <w:pPr>
        <w:pStyle w:val="FootnoteText"/>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Pr>
          <w:rFonts w:ascii="Arial" w:hAnsi="Arial" w:cs="Arial" w:hint="eastAsia"/>
          <w:lang w:val="en-GB" w:eastAsia="zh-TW"/>
        </w:rPr>
        <w:t>Same as above</w:t>
      </w:r>
      <w:r w:rsidRPr="0028108F">
        <w:rPr>
          <w:rFonts w:ascii="Arial" w:hAnsi="Arial" w:cs="Arial"/>
          <w:lang w:val="en-GB"/>
        </w:rPr>
        <w:t>, at 6.</w:t>
      </w:r>
    </w:p>
  </w:footnote>
  <w:footnote w:id="476">
    <w:p w:rsidR="0022178B" w:rsidRPr="0028108F" w:rsidRDefault="0022178B" w:rsidP="00F47842">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Lisa Fishbayn, </w:t>
      </w:r>
      <w:r w:rsidRPr="00C57CE1">
        <w:rPr>
          <w:rFonts w:ascii="Arial" w:hAnsi="Arial" w:cs="Arial"/>
          <w:lang w:val="en-GB"/>
        </w:rPr>
        <w:t>“</w:t>
      </w:r>
      <w:r w:rsidRPr="0028108F">
        <w:rPr>
          <w:rFonts w:ascii="Arial" w:hAnsi="Arial" w:cs="Arial"/>
          <w:lang w:val="en-GB"/>
        </w:rPr>
        <w:t>‘Not Quite One Gender or the Other: Marriage Law and the Containment of Gender Trouble in the United Kingdom,</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American University Journal of Gender, Social Policy &amp; the Law</w:t>
      </w:r>
      <w:r w:rsidRPr="00181CF2">
        <w:rPr>
          <w:rFonts w:ascii="Arial" w:hAnsi="Arial" w:cs="Arial"/>
          <w:lang w:val="en-GB"/>
        </w:rPr>
        <w:t>. 15, no</w:t>
      </w:r>
      <w:r w:rsidRPr="0028108F">
        <w:rPr>
          <w:rFonts w:ascii="Arial" w:hAnsi="Arial" w:cs="Arial"/>
          <w:lang w:val="en-GB"/>
        </w:rPr>
        <w:t xml:space="preserve"> 3 (2007): 413-441, at 437.</w:t>
      </w:r>
    </w:p>
  </w:footnote>
  <w:footnote w:id="477">
    <w:p w:rsidR="0022178B" w:rsidRPr="0028108F" w:rsidRDefault="0022178B" w:rsidP="00C652F7">
      <w:pPr>
        <w:pStyle w:val="FootnoteText"/>
        <w:tabs>
          <w:tab w:val="left" w:pos="709"/>
        </w:tabs>
        <w:ind w:left="708" w:hangingChars="354" w:hanging="708"/>
        <w:jc w:val="both"/>
        <w:rPr>
          <w:rFonts w:ascii="Arial" w:hAnsi="Arial" w:cs="Arial"/>
          <w:i/>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Pr>
          <w:rFonts w:ascii="Arial" w:hAnsi="Arial" w:cs="Arial"/>
          <w:lang w:val="en-GB"/>
        </w:rPr>
        <w:t xml:space="preserve">Herculine Barbin and </w:t>
      </w:r>
      <w:r w:rsidRPr="00181CF2">
        <w:rPr>
          <w:rFonts w:ascii="Arial" w:hAnsi="Arial" w:cs="Arial"/>
          <w:lang w:val="en-GB"/>
        </w:rPr>
        <w:t xml:space="preserve">Michel Foucault, </w:t>
      </w:r>
      <w:r w:rsidRPr="00C57CE1">
        <w:rPr>
          <w:rFonts w:ascii="Arial" w:hAnsi="Arial" w:cs="Arial"/>
          <w:i/>
          <w:lang w:val="en-GB"/>
        </w:rPr>
        <w:t xml:space="preserve">Herculine Barbin: Being The Recently Discovered Memoirs of a Nineteenth Century French Hermaphrodite </w:t>
      </w:r>
      <w:r>
        <w:rPr>
          <w:rFonts w:ascii="Arial" w:hAnsi="Arial" w:cs="Arial"/>
          <w:lang w:val="en-GB"/>
        </w:rPr>
        <w:t>(</w:t>
      </w:r>
      <w:r w:rsidRPr="0028108F">
        <w:rPr>
          <w:rFonts w:ascii="Arial" w:hAnsi="Arial" w:cs="Arial"/>
          <w:lang w:val="en-GB"/>
        </w:rPr>
        <w:t>1980)</w:t>
      </w:r>
      <w:r>
        <w:rPr>
          <w:rFonts w:ascii="Arial" w:hAnsi="Arial" w:cs="Arial"/>
          <w:lang w:val="en-GB"/>
        </w:rPr>
        <w:t>, at paragraph viii</w:t>
      </w:r>
      <w:r w:rsidRPr="0028108F">
        <w:rPr>
          <w:rFonts w:ascii="Arial" w:hAnsi="Arial" w:cs="Arial"/>
          <w:lang w:val="en-GB"/>
        </w:rPr>
        <w:t>.</w:t>
      </w:r>
    </w:p>
  </w:footnote>
  <w:footnote w:id="478">
    <w:p w:rsidR="0022178B" w:rsidRPr="00181CF2" w:rsidRDefault="0022178B" w:rsidP="00C652F7">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See, e</w:t>
      </w:r>
      <w:r w:rsidRPr="0028108F">
        <w:rPr>
          <w:rFonts w:ascii="Arial" w:hAnsi="Arial" w:cs="Arial"/>
          <w:lang w:val="en-GB"/>
        </w:rPr>
        <w:t>g</w:t>
      </w:r>
      <w:r w:rsidRPr="0028108F">
        <w:rPr>
          <w:rFonts w:ascii="Arial" w:hAnsi="Arial" w:cs="Arial"/>
          <w:lang w:val="en-GB" w:eastAsia="zh-TW"/>
        </w:rPr>
        <w:t>,</w:t>
      </w:r>
      <w:r w:rsidRPr="00181CF2">
        <w:rPr>
          <w:rFonts w:ascii="Arial" w:hAnsi="Arial" w:cs="Arial"/>
          <w:lang w:val="en-GB"/>
        </w:rPr>
        <w:t xml:space="preserve"> Judith Bu</w:t>
      </w:r>
      <w:r w:rsidRPr="0028108F">
        <w:rPr>
          <w:rFonts w:ascii="Arial" w:hAnsi="Arial" w:cs="Arial"/>
          <w:lang w:val="en-GB"/>
        </w:rPr>
        <w:t xml:space="preserve">tler, </w:t>
      </w:r>
      <w:r w:rsidRPr="0028108F">
        <w:rPr>
          <w:rFonts w:ascii="Arial" w:hAnsi="Arial" w:cs="Arial"/>
          <w:i/>
          <w:lang w:val="en-GB"/>
        </w:rPr>
        <w:t>Gender Trouble: Feminism and The Subversion of Identity</w:t>
      </w:r>
      <w:r w:rsidRPr="0028108F">
        <w:rPr>
          <w:rFonts w:ascii="Arial" w:hAnsi="Arial" w:cs="Arial"/>
          <w:lang w:val="en-GB"/>
        </w:rPr>
        <w:t xml:space="preserve"> </w:t>
      </w:r>
      <w:r w:rsidRPr="00181CF2">
        <w:rPr>
          <w:rFonts w:ascii="Arial" w:hAnsi="Arial" w:cs="Arial"/>
          <w:lang w:val="en-GB"/>
        </w:rPr>
        <w:t>(1990) (describing the tension between conceding gender transition as an expression of personal autonomy and needing to shape the narrative of transition in ways acceptable to medical experts).</w:t>
      </w:r>
    </w:p>
  </w:footnote>
  <w:footnote w:id="479">
    <w:p w:rsidR="0022178B" w:rsidRDefault="0022178B" w:rsidP="0028108F">
      <w:pPr>
        <w:pStyle w:val="FootnoteText"/>
        <w:tabs>
          <w:tab w:val="left" w:pos="709"/>
        </w:tabs>
        <w:ind w:left="708" w:hangingChars="354" w:hanging="708"/>
        <w:jc w:val="both"/>
        <w:rPr>
          <w:rFonts w:ascii="Arial" w:hAnsi="Arial" w:cs="Arial"/>
          <w:lang w:val="en-GB" w:eastAsia="zh-TW"/>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The WHO stated in the IC</w:t>
      </w:r>
      <w:r w:rsidRPr="00C57CE1">
        <w:rPr>
          <w:rFonts w:ascii="Arial" w:hAnsi="Arial" w:cs="Arial"/>
          <w:lang w:val="en-GB"/>
        </w:rPr>
        <w:t>D-10 guidelines that</w:t>
      </w:r>
      <w:r w:rsidRPr="0028108F">
        <w:rPr>
          <w:rFonts w:ascii="Arial" w:hAnsi="Arial" w:cs="Arial"/>
          <w:lang w:val="en-GB"/>
        </w:rPr>
        <w:t>: “</w:t>
      </w:r>
      <w:r w:rsidRPr="0028108F">
        <w:rPr>
          <w:rFonts w:ascii="Arial" w:hAnsi="Arial" w:cs="Arial"/>
          <w:i/>
          <w:lang w:val="en-GB"/>
        </w:rPr>
        <w:t>The ICD-10 proposals … were produced in the hope that they will serve as a strong support to the work of the many who are concerned with caring for the mentally ill and their families, worldwide.  No classification is ever perfect: further improvements and simplifications should become possible with increases in our knowledge and as experience with the classification accumulates. The task of collecting and digesting comments and results of tests of the classification will remain largely on the shoulders of the centres that collaborated with WHO in the development of the classification</w:t>
      </w:r>
      <w:r w:rsidRPr="0028108F">
        <w:rPr>
          <w:rFonts w:ascii="Arial" w:hAnsi="Arial" w:cs="Arial"/>
          <w:lang w:val="en-GB"/>
        </w:rPr>
        <w:t xml:space="preserve">.”  Regarding the DSM-5, the American Psychiatric Association claimed that it: </w:t>
      </w:r>
      <w:r w:rsidRPr="00181CF2">
        <w:rPr>
          <w:rFonts w:ascii="Arial" w:hAnsi="Arial" w:cs="Arial"/>
          <w:i/>
          <w:lang w:val="en-GB"/>
        </w:rPr>
        <w:t>“is the authoritative guide to the diagnosis of mental disorders for health</w:t>
      </w:r>
      <w:r w:rsidRPr="00C57CE1">
        <w:rPr>
          <w:rFonts w:ascii="Arial" w:hAnsi="Arial" w:cs="Arial"/>
          <w:i/>
          <w:lang w:val="en-GB"/>
        </w:rPr>
        <w:t xml:space="preserve"> care professionals around the world. </w:t>
      </w:r>
      <w:r w:rsidRPr="0028108F">
        <w:rPr>
          <w:rFonts w:ascii="Arial" w:hAnsi="Arial" w:cs="Arial"/>
          <w:i/>
          <w:lang w:val="en-GB"/>
        </w:rPr>
        <w:t xml:space="preserve"> In the United States alone, it influences the care that millions of people of all ages receive for mental health issues. Clinicians use DSM to accurately and consistently diagnose disorders affecting mood, personality, identity, cognition, and more. The manual does not address treatment or medications.</w:t>
      </w:r>
      <w:r w:rsidRPr="0028108F">
        <w:rPr>
          <w:rFonts w:ascii="Arial" w:hAnsi="Arial" w:cs="Arial"/>
          <w:lang w:val="en-GB"/>
        </w:rPr>
        <w:t xml:space="preserve">”  See the Fact Sheet published by the </w:t>
      </w:r>
      <w:r>
        <w:rPr>
          <w:rFonts w:ascii="Arial" w:hAnsi="Arial" w:cs="Arial" w:hint="eastAsia"/>
          <w:lang w:val="en-GB" w:eastAsia="zh-TW"/>
        </w:rPr>
        <w:t xml:space="preserve">American Psychiatric </w:t>
      </w:r>
      <w:r w:rsidRPr="0028108F">
        <w:rPr>
          <w:rFonts w:ascii="Arial" w:hAnsi="Arial" w:cs="Arial"/>
          <w:lang w:val="en-GB"/>
        </w:rPr>
        <w:t>Association, available at:</w:t>
      </w:r>
    </w:p>
    <w:p w:rsidR="0022178B" w:rsidRPr="00181CF2" w:rsidRDefault="0022178B" w:rsidP="0028108F">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56" w:history="1">
        <w:r w:rsidRPr="00C57CE1">
          <w:rPr>
            <w:rStyle w:val="Hyperlink"/>
            <w:rFonts w:ascii="Arial" w:hAnsi="Arial" w:cs="Arial"/>
            <w:lang w:val="en-GB"/>
          </w:rPr>
          <w:t>https://www.psychiatry.org/File%20Library/Psychiatrists/Practice/DSM/APA_DSM-Development-of-DSM-5.pdf</w:t>
        </w:r>
      </w:hyperlink>
      <w:r w:rsidRPr="00181CF2">
        <w:rPr>
          <w:rFonts w:ascii="Arial" w:hAnsi="Arial" w:cs="Arial"/>
          <w:lang w:val="en-GB"/>
        </w:rPr>
        <w:t xml:space="preserve">. </w:t>
      </w:r>
    </w:p>
  </w:footnote>
  <w:footnote w:id="480">
    <w:p w:rsidR="0022178B" w:rsidRPr="008813DE" w:rsidRDefault="0022178B" w:rsidP="008813DE">
      <w:pPr>
        <w:pStyle w:val="FootnoteText"/>
        <w:tabs>
          <w:tab w:val="left" w:pos="709"/>
        </w:tabs>
        <w:ind w:left="708" w:hangingChars="354" w:hanging="708"/>
        <w:jc w:val="both"/>
        <w:rPr>
          <w:rFonts w:ascii="Arial" w:hAnsi="Arial" w:cs="Arial"/>
          <w:lang w:val="en-US"/>
        </w:rPr>
      </w:pPr>
      <w:r w:rsidRPr="008813DE">
        <w:rPr>
          <w:rStyle w:val="FootnoteReference"/>
          <w:rFonts w:ascii="Arial" w:hAnsi="Arial" w:cs="Arial"/>
          <w:vertAlign w:val="baseline"/>
        </w:rPr>
        <w:footnoteRef/>
      </w:r>
      <w:r w:rsidRPr="008813DE">
        <w:rPr>
          <w:rFonts w:ascii="Arial" w:hAnsi="Arial" w:cs="Arial"/>
        </w:rPr>
        <w:t xml:space="preserve"> </w:t>
      </w:r>
      <w:r w:rsidRPr="008813DE">
        <w:rPr>
          <w:rFonts w:ascii="Arial" w:hAnsi="Arial" w:cs="Arial"/>
          <w:lang w:val="en-US"/>
        </w:rPr>
        <w:tab/>
      </w:r>
      <w:r w:rsidRPr="00C517CF">
        <w:rPr>
          <w:rFonts w:ascii="Arial" w:hAnsi="Arial" w:cs="Arial"/>
          <w:lang w:val="en-GB"/>
        </w:rPr>
        <w:t>Application nos. 79885/12, 52471/13 and 52596/13, 6 April 2017.  The concerned requirements for medical diagnosis of gender identity disorder and medical examination have been abolished since the amendment of the French law on 1 January 2017: see Article 61 of the French Civil Code as summarised in Annex B of this Consultation Paper.</w:t>
      </w:r>
    </w:p>
  </w:footnote>
  <w:footnote w:id="481">
    <w:p w:rsidR="0022178B" w:rsidRPr="0028108F" w:rsidRDefault="0022178B" w:rsidP="00604960">
      <w:pPr>
        <w:pStyle w:val="FootnoteText"/>
        <w:tabs>
          <w:tab w:val="left" w:pos="709"/>
        </w:tabs>
        <w:ind w:left="708" w:hangingChars="354" w:hanging="708"/>
        <w:jc w:val="both"/>
        <w:rPr>
          <w:rFonts w:ascii="Arial" w:hAnsi="Arial" w:cs="Arial"/>
          <w:lang w:val="en-GB" w:eastAsia="zh-TW"/>
        </w:rPr>
      </w:pPr>
      <w:r w:rsidRPr="00181CF2">
        <w:rPr>
          <w:rFonts w:ascii="Arial" w:hAnsi="Arial" w:cs="Arial"/>
          <w:lang w:val="en-GB"/>
        </w:rPr>
        <w:footnoteRef/>
      </w:r>
      <w:r w:rsidRPr="00C57CE1">
        <w:rPr>
          <w:rFonts w:ascii="Arial" w:hAnsi="Arial" w:cs="Arial"/>
          <w:lang w:val="en-GB"/>
        </w:rPr>
        <w:t xml:space="preserve"> </w:t>
      </w:r>
      <w:r w:rsidRPr="0028108F">
        <w:rPr>
          <w:rFonts w:ascii="Arial" w:hAnsi="Arial" w:cs="Arial"/>
          <w:lang w:val="en-GB"/>
        </w:rPr>
        <w:tab/>
      </w:r>
      <w:r w:rsidRPr="0028108F">
        <w:rPr>
          <w:rFonts w:ascii="Arial" w:hAnsi="Arial" w:cs="Arial"/>
          <w:lang w:val="en-GB" w:eastAsia="zh-TW"/>
        </w:rPr>
        <w:t xml:space="preserve">See Jesse </w:t>
      </w:r>
      <w:r w:rsidRPr="0028108F">
        <w:rPr>
          <w:rFonts w:ascii="Arial" w:hAnsi="Arial" w:cs="Arial"/>
          <w:lang w:val="en-GB"/>
        </w:rPr>
        <w:t>Singal (</w:t>
      </w:r>
      <w:r w:rsidRPr="0028108F">
        <w:rPr>
          <w:rFonts w:ascii="Arial" w:eastAsiaTheme="minorEastAsia" w:hAnsi="Arial" w:cs="Arial"/>
          <w:color w:val="000000" w:themeColor="text1"/>
          <w:kern w:val="0"/>
          <w:lang w:val="en-GB"/>
        </w:rPr>
        <w:t>a New-York-based journalist, referring to observations made by Dr James Barrett)</w:t>
      </w:r>
      <w:r w:rsidRPr="0028108F">
        <w:rPr>
          <w:rFonts w:ascii="Arial" w:hAnsi="Arial" w:cs="Arial"/>
          <w:lang w:val="en-GB"/>
        </w:rPr>
        <w:t xml:space="preserve"> (</w:t>
      </w:r>
      <w:r w:rsidRPr="0028108F">
        <w:rPr>
          <w:rFonts w:ascii="Arial" w:hAnsi="Arial" w:cs="Arial"/>
          <w:lang w:val="en-GB" w:eastAsia="zh-TW"/>
        </w:rPr>
        <w:t xml:space="preserve">25 July </w:t>
      </w:r>
      <w:r w:rsidRPr="0028108F">
        <w:rPr>
          <w:rFonts w:ascii="Arial" w:hAnsi="Arial" w:cs="Arial"/>
          <w:lang w:val="en-GB"/>
        </w:rPr>
        <w:t>2016)</w:t>
      </w:r>
      <w:r w:rsidRPr="0028108F">
        <w:rPr>
          <w:rFonts w:ascii="Arial" w:hAnsi="Arial" w:cs="Arial"/>
          <w:lang w:val="en-GB" w:eastAsia="zh-TW"/>
        </w:rPr>
        <w:t>,</w:t>
      </w:r>
      <w:r w:rsidRPr="0028108F">
        <w:rPr>
          <w:rFonts w:ascii="Arial" w:hAnsi="Arial" w:cs="Arial"/>
          <w:lang w:val="en-GB"/>
        </w:rPr>
        <w:t xml:space="preserve"> “What’s Missing From the Conversation About Transgender Kids”</w:t>
      </w:r>
      <w:r w:rsidRPr="00181CF2">
        <w:rPr>
          <w:rFonts w:ascii="Arial" w:hAnsi="Arial" w:cs="Arial"/>
          <w:lang w:val="en-GB" w:eastAsia="zh-TW"/>
        </w:rPr>
        <w:t>,</w:t>
      </w:r>
      <w:r w:rsidRPr="00C57CE1">
        <w:rPr>
          <w:rFonts w:ascii="Arial" w:hAnsi="Arial" w:cs="Arial"/>
          <w:lang w:val="en-GB"/>
        </w:rPr>
        <w:t xml:space="preserve"> </w:t>
      </w:r>
      <w:r w:rsidRPr="0028108F">
        <w:rPr>
          <w:rFonts w:ascii="Arial" w:hAnsi="Arial" w:cs="Arial"/>
          <w:lang w:val="en-GB" w:eastAsia="zh-TW"/>
        </w:rPr>
        <w:t xml:space="preserve">published on the website of </w:t>
      </w:r>
      <w:r w:rsidRPr="0028108F">
        <w:rPr>
          <w:rFonts w:ascii="Arial" w:hAnsi="Arial" w:cs="Arial"/>
          <w:i/>
          <w:lang w:val="en-GB"/>
        </w:rPr>
        <w:t>Science of Us</w:t>
      </w:r>
      <w:r w:rsidRPr="0028108F">
        <w:rPr>
          <w:rFonts w:ascii="Arial" w:hAnsi="Arial" w:cs="Arial"/>
          <w:lang w:val="en-GB" w:eastAsia="zh-TW"/>
        </w:rPr>
        <w:t xml:space="preserve"> (available at:</w:t>
      </w:r>
    </w:p>
    <w:p w:rsidR="0022178B" w:rsidRPr="0028108F" w:rsidRDefault="0022178B" w:rsidP="00604960">
      <w:pPr>
        <w:pStyle w:val="FootnoteText"/>
        <w:tabs>
          <w:tab w:val="left" w:pos="709"/>
        </w:tabs>
        <w:ind w:left="708" w:hangingChars="354" w:hanging="708"/>
        <w:jc w:val="both"/>
        <w:rPr>
          <w:rFonts w:ascii="Arial" w:hAnsi="Arial" w:cs="Arial"/>
          <w:lang w:eastAsia="zh-TW"/>
        </w:rPr>
      </w:pPr>
      <w:r w:rsidRPr="0028108F">
        <w:rPr>
          <w:rFonts w:ascii="Arial" w:hAnsi="Arial" w:cs="Arial"/>
          <w:lang w:val="en-GB" w:eastAsia="zh-TW"/>
        </w:rPr>
        <w:tab/>
      </w:r>
      <w:hyperlink r:id="rId57" w:history="1">
        <w:r w:rsidRPr="0028108F">
          <w:rPr>
            <w:rStyle w:val="Hyperlink"/>
            <w:rFonts w:ascii="Arial" w:hAnsi="Arial" w:cs="Arial"/>
            <w:lang w:val="en-GB"/>
          </w:rPr>
          <w:t>http://nymag.com/scienceofus/2016/07/whats-missing-from-the-conversation-about-transgender-kids.html</w:t>
        </w:r>
      </w:hyperlink>
      <w:r w:rsidRPr="0028108F">
        <w:rPr>
          <w:rFonts w:ascii="Arial" w:hAnsi="Arial" w:cs="Arial"/>
          <w:lang w:val="en-GB" w:eastAsia="zh-TW"/>
        </w:rPr>
        <w:t xml:space="preserve">). </w:t>
      </w:r>
      <w:r w:rsidRPr="0028108F">
        <w:rPr>
          <w:rFonts w:ascii="Arial" w:hAnsi="Arial" w:cs="Arial"/>
          <w:lang w:val="en-GB"/>
        </w:rPr>
        <w:t xml:space="preserve">  </w:t>
      </w:r>
    </w:p>
  </w:footnote>
  <w:footnote w:id="482">
    <w:p w:rsidR="0022178B" w:rsidRPr="00181CF2" w:rsidRDefault="0022178B" w:rsidP="0028108F">
      <w:pPr>
        <w:pStyle w:val="FootnoteText"/>
        <w:tabs>
          <w:tab w:val="left" w:pos="709"/>
        </w:tabs>
        <w:ind w:left="708" w:hangingChars="354" w:hanging="708"/>
        <w:jc w:val="both"/>
        <w:rPr>
          <w:rFonts w:ascii="Arial" w:hAnsi="Arial" w:cs="Arial"/>
          <w:lang w:val="en-GB" w:eastAsia="zh-TW"/>
        </w:rPr>
      </w:pPr>
      <w:r w:rsidRPr="0028108F">
        <w:rPr>
          <w:rFonts w:ascii="Arial" w:hAnsi="Arial" w:cs="Arial"/>
          <w:lang w:val="en-GB" w:eastAsia="zh-TW"/>
        </w:rPr>
        <w:footnoteRef/>
      </w:r>
      <w:r w:rsidRPr="0028108F">
        <w:rPr>
          <w:rFonts w:ascii="Arial" w:hAnsi="Arial" w:cs="Arial"/>
          <w:lang w:val="en-GB" w:eastAsia="zh-TW"/>
        </w:rPr>
        <w:t xml:space="preserve"> </w:t>
      </w:r>
      <w:r w:rsidRPr="0028108F">
        <w:rPr>
          <w:rFonts w:ascii="Arial" w:hAnsi="Arial" w:cs="Arial"/>
          <w:lang w:val="en-GB" w:eastAsia="zh-TW"/>
        </w:rPr>
        <w:tab/>
        <w:t xml:space="preserve">Thomas Steensma, </w:t>
      </w:r>
      <w:r w:rsidRPr="00181CF2">
        <w:rPr>
          <w:rFonts w:ascii="Arial" w:hAnsi="Arial" w:cs="Arial"/>
          <w:lang w:val="en-GB" w:eastAsia="zh-TW"/>
        </w:rPr>
        <w:t>“</w:t>
      </w:r>
      <w:r w:rsidRPr="0028108F">
        <w:rPr>
          <w:rFonts w:ascii="Arial" w:hAnsi="Arial" w:cs="Arial"/>
          <w:lang w:val="en-GB" w:eastAsia="zh-TW"/>
        </w:rPr>
        <w:t>Factors Associated With Desistance and Persistence of Childhood Gender Dysphoria: A Quantitative Follow-Up Study</w:t>
      </w:r>
      <w:r w:rsidRPr="00181CF2">
        <w:rPr>
          <w:rFonts w:ascii="Arial" w:hAnsi="Arial" w:cs="Arial"/>
          <w:lang w:val="en-GB" w:eastAsia="zh-TW"/>
        </w:rPr>
        <w:t>”</w:t>
      </w:r>
      <w:r w:rsidRPr="0028108F">
        <w:rPr>
          <w:rFonts w:ascii="Arial" w:hAnsi="Arial" w:cs="Arial"/>
          <w:lang w:val="en-GB" w:eastAsia="zh-TW"/>
        </w:rPr>
        <w:t>, 2013, Journal of the American Academy of Child and Adolescent Psychiatry</w:t>
      </w:r>
      <w:r w:rsidRPr="0028108F">
        <w:rPr>
          <w:rFonts w:ascii="Arial" w:hAnsi="Arial" w:cs="Arial"/>
          <w:lang w:val="en-GB"/>
        </w:rPr>
        <w:t xml:space="preserve">; Devita Singh, </w:t>
      </w:r>
      <w:r w:rsidRPr="00181CF2">
        <w:rPr>
          <w:rFonts w:ascii="Arial" w:hAnsi="Arial" w:cs="Arial"/>
          <w:lang w:val="en-GB"/>
        </w:rPr>
        <w:t>“</w:t>
      </w:r>
      <w:r w:rsidRPr="0028108F">
        <w:rPr>
          <w:rFonts w:ascii="Arial" w:hAnsi="Arial" w:cs="Arial"/>
          <w:lang w:val="en-GB"/>
        </w:rPr>
        <w:t>A Follow-up Study of Boys With Gender Identity Disorder”, 2012, available at:</w:t>
      </w:r>
    </w:p>
    <w:p w:rsidR="0022178B" w:rsidRPr="0028108F" w:rsidRDefault="0022178B" w:rsidP="0028108F">
      <w:pPr>
        <w:pStyle w:val="FootnoteText"/>
        <w:tabs>
          <w:tab w:val="left" w:pos="709"/>
        </w:tabs>
        <w:ind w:left="708" w:hangingChars="354" w:hanging="708"/>
        <w:jc w:val="both"/>
        <w:rPr>
          <w:rFonts w:ascii="Arial" w:hAnsi="Arial" w:cs="Arial"/>
          <w:lang w:eastAsia="zh-TW"/>
        </w:rPr>
      </w:pPr>
      <w:r w:rsidRPr="0028108F">
        <w:rPr>
          <w:rFonts w:ascii="Arial" w:hAnsi="Arial" w:cs="Arial"/>
          <w:lang w:val="en-GB" w:eastAsia="zh-TW"/>
        </w:rPr>
        <w:tab/>
      </w:r>
      <w:hyperlink r:id="rId58" w:history="1">
        <w:r w:rsidRPr="0028108F">
          <w:rPr>
            <w:rStyle w:val="Hyperlink"/>
            <w:rFonts w:ascii="Arial" w:hAnsi="Arial" w:cs="Arial"/>
            <w:lang w:val="en-GB"/>
          </w:rPr>
          <w:t>http://images.nymag.com/images/2/daily/2016/01/SINGH-DISSERTATION.pdf</w:t>
        </w:r>
      </w:hyperlink>
      <w:r w:rsidRPr="0028108F">
        <w:rPr>
          <w:rFonts w:ascii="Arial" w:hAnsi="Arial" w:cs="Arial"/>
          <w:lang w:val="en-GB"/>
        </w:rPr>
        <w:t xml:space="preserve">. </w:t>
      </w:r>
      <w:r w:rsidRPr="0028108F">
        <w:rPr>
          <w:rFonts w:ascii="Arial" w:hAnsi="Arial" w:cs="Arial"/>
          <w:lang w:val="en-GB" w:eastAsia="zh-TW"/>
        </w:rPr>
        <w:t xml:space="preserve"> </w:t>
      </w:r>
    </w:p>
  </w:footnote>
  <w:footnote w:id="483">
    <w:p w:rsidR="0022178B" w:rsidRPr="00181CF2" w:rsidRDefault="0022178B" w:rsidP="0028108F">
      <w:pPr>
        <w:pStyle w:val="FootnoteText"/>
        <w:tabs>
          <w:tab w:val="left" w:pos="709"/>
        </w:tabs>
        <w:ind w:left="708" w:hangingChars="354" w:hanging="708"/>
        <w:jc w:val="both"/>
        <w:rPr>
          <w:rFonts w:ascii="Arial" w:hAnsi="Arial" w:cs="Arial"/>
          <w:lang w:val="en-GB" w:eastAsia="zh-TW"/>
        </w:rPr>
      </w:pPr>
      <w:r w:rsidRPr="0028108F">
        <w:rPr>
          <w:rFonts w:ascii="Arial" w:hAnsi="Arial" w:cs="Arial"/>
          <w:lang w:val="en-GB" w:eastAsia="zh-TW"/>
        </w:rPr>
        <w:footnoteRef/>
      </w:r>
      <w:r w:rsidRPr="0028108F">
        <w:rPr>
          <w:rFonts w:ascii="Arial" w:hAnsi="Arial" w:cs="Arial"/>
          <w:lang w:val="en-GB" w:eastAsia="zh-TW"/>
        </w:rPr>
        <w:t xml:space="preserve"> </w:t>
      </w:r>
      <w:r w:rsidRPr="0028108F">
        <w:rPr>
          <w:rFonts w:ascii="Arial" w:hAnsi="Arial" w:cs="Arial"/>
          <w:lang w:val="en-GB" w:eastAsia="zh-TW"/>
        </w:rPr>
        <w:tab/>
        <w:t xml:space="preserve">Dr James Cantor, 11 January 2016, </w:t>
      </w:r>
      <w:r w:rsidRPr="00181CF2">
        <w:rPr>
          <w:rFonts w:ascii="Arial" w:hAnsi="Arial" w:cs="Arial"/>
          <w:lang w:val="en-GB" w:eastAsia="zh-TW"/>
        </w:rPr>
        <w:t>“</w:t>
      </w:r>
      <w:r w:rsidRPr="0028108F">
        <w:rPr>
          <w:rFonts w:ascii="Arial" w:hAnsi="Arial" w:cs="Arial"/>
          <w:lang w:val="en-GB" w:eastAsia="zh-TW"/>
        </w:rPr>
        <w:t>Do trans- kids stay trans- when they grow up?”</w:t>
      </w:r>
      <w:r w:rsidRPr="00181CF2">
        <w:rPr>
          <w:rFonts w:ascii="Arial" w:hAnsi="Arial" w:cs="Arial"/>
          <w:lang w:val="en-GB" w:eastAsia="zh-TW"/>
        </w:rPr>
        <w:t>,</w:t>
      </w:r>
      <w:r w:rsidRPr="0028108F">
        <w:rPr>
          <w:rFonts w:ascii="Arial" w:hAnsi="Arial" w:cs="Arial"/>
          <w:i/>
          <w:lang w:val="en-GB" w:eastAsia="zh-TW"/>
        </w:rPr>
        <w:t xml:space="preserve"> </w:t>
      </w:r>
      <w:r w:rsidRPr="0028108F">
        <w:rPr>
          <w:rFonts w:ascii="Arial" w:hAnsi="Arial" w:cs="Arial"/>
          <w:lang w:val="en-GB" w:eastAsia="zh-TW"/>
        </w:rPr>
        <w:t xml:space="preserve">published on </w:t>
      </w:r>
      <w:r w:rsidRPr="0028108F">
        <w:rPr>
          <w:rFonts w:ascii="Arial" w:hAnsi="Arial" w:cs="Arial"/>
          <w:i/>
          <w:lang w:val="en-GB" w:eastAsia="zh-TW"/>
        </w:rPr>
        <w:t>Dr Cantor’s blog called Sexology Today</w:t>
      </w:r>
      <w:r w:rsidRPr="0028108F">
        <w:rPr>
          <w:rFonts w:ascii="Arial" w:hAnsi="Arial" w:cs="Arial"/>
          <w:lang w:val="en-GB" w:eastAsia="zh-TW"/>
        </w:rPr>
        <w:t xml:space="preserve"> (available at:</w:t>
      </w:r>
    </w:p>
    <w:p w:rsidR="0022178B" w:rsidRPr="0028108F" w:rsidRDefault="0022178B" w:rsidP="0028108F">
      <w:pPr>
        <w:pStyle w:val="FootnoteText"/>
        <w:tabs>
          <w:tab w:val="left" w:pos="709"/>
        </w:tabs>
        <w:ind w:left="708" w:hangingChars="354" w:hanging="708"/>
        <w:jc w:val="both"/>
        <w:rPr>
          <w:rFonts w:ascii="Arial" w:hAnsi="Arial" w:cs="Arial"/>
          <w:lang w:eastAsia="zh-TW"/>
        </w:rPr>
      </w:pPr>
      <w:r w:rsidRPr="0028108F">
        <w:rPr>
          <w:rFonts w:ascii="Arial" w:hAnsi="Arial" w:cs="Arial"/>
          <w:lang w:val="en-GB" w:eastAsia="zh-TW"/>
        </w:rPr>
        <w:tab/>
      </w:r>
      <w:hyperlink r:id="rId59" w:history="1">
        <w:r w:rsidRPr="0028108F">
          <w:rPr>
            <w:rStyle w:val="Hyperlink"/>
            <w:rFonts w:ascii="Arial" w:hAnsi="Arial" w:cs="Arial"/>
            <w:lang w:val="en-GB" w:eastAsia="zh-TW"/>
          </w:rPr>
          <w:t>http://www.sexologytoday.org/2016/01/do-trans-kids-stay-trans-when-they-grow_99.html</w:t>
        </w:r>
      </w:hyperlink>
      <w:r w:rsidRPr="0028108F">
        <w:rPr>
          <w:rFonts w:ascii="Arial" w:hAnsi="Arial" w:cs="Arial"/>
          <w:lang w:val="en-GB" w:eastAsia="zh-TW"/>
        </w:rPr>
        <w:t xml:space="preserve">).  </w:t>
      </w:r>
    </w:p>
  </w:footnote>
  <w:footnote w:id="484">
    <w:p w:rsidR="0022178B" w:rsidRPr="0028108F" w:rsidRDefault="0022178B" w:rsidP="00363352">
      <w:pPr>
        <w:pStyle w:val="FootnoteText"/>
        <w:tabs>
          <w:tab w:val="left" w:pos="851"/>
        </w:tabs>
        <w:ind w:left="709" w:hanging="709"/>
        <w:jc w:val="both"/>
        <w:rPr>
          <w:rFonts w:ascii="Arial" w:hAnsi="Arial" w:cs="Arial"/>
          <w:lang w:val="en-GB" w:eastAsia="zh-TW"/>
        </w:rPr>
      </w:pPr>
      <w:r w:rsidRPr="00181CF2">
        <w:rPr>
          <w:rFonts w:ascii="Arial" w:hAnsi="Arial" w:cs="Arial"/>
          <w:lang w:val="en-GB"/>
        </w:rPr>
        <w:footnoteRef/>
      </w:r>
      <w:r w:rsidRPr="00C57CE1">
        <w:rPr>
          <w:rFonts w:ascii="Arial" w:hAnsi="Arial" w:cs="Arial"/>
          <w:lang w:val="en-GB"/>
        </w:rPr>
        <w:t xml:space="preserve"> </w:t>
      </w:r>
      <w:r w:rsidRPr="0028108F">
        <w:rPr>
          <w:rFonts w:ascii="Arial" w:hAnsi="Arial" w:cs="Arial"/>
          <w:lang w:val="en-GB"/>
        </w:rPr>
        <w:tab/>
        <w:t>American College of Pediatricians</w:t>
      </w:r>
      <w:r w:rsidRPr="0028108F">
        <w:rPr>
          <w:rFonts w:ascii="Arial" w:hAnsi="Arial" w:cs="Arial"/>
          <w:lang w:val="en-GB" w:eastAsia="zh-TW"/>
        </w:rPr>
        <w:t xml:space="preserve"> (Aug 2016),</w:t>
      </w:r>
      <w:r w:rsidRPr="0028108F">
        <w:rPr>
          <w:rFonts w:ascii="Arial" w:hAnsi="Arial" w:cs="Arial"/>
          <w:lang w:val="en-GB"/>
        </w:rPr>
        <w:t xml:space="preserve"> “Gender Dysphoria in Children”</w:t>
      </w:r>
      <w:r w:rsidRPr="00181CF2">
        <w:rPr>
          <w:rFonts w:ascii="Arial" w:hAnsi="Arial" w:cs="Arial"/>
          <w:lang w:val="en-GB" w:eastAsia="zh-TW"/>
        </w:rPr>
        <w:t xml:space="preserve"> </w:t>
      </w:r>
      <w:r w:rsidRPr="0028108F">
        <w:rPr>
          <w:rFonts w:ascii="Arial" w:hAnsi="Arial" w:cs="Arial"/>
          <w:lang w:val="en-GB" w:eastAsia="zh-TW"/>
        </w:rPr>
        <w:t>(available at:</w:t>
      </w:r>
    </w:p>
    <w:p w:rsidR="0022178B" w:rsidRPr="0028108F" w:rsidRDefault="0022178B" w:rsidP="00363352">
      <w:pPr>
        <w:pStyle w:val="FootnoteText"/>
        <w:tabs>
          <w:tab w:val="left" w:pos="851"/>
        </w:tabs>
        <w:ind w:left="709" w:hanging="709"/>
        <w:jc w:val="both"/>
        <w:rPr>
          <w:rFonts w:ascii="Arial" w:hAnsi="Arial" w:cs="Arial"/>
          <w:lang w:val="en-GB" w:eastAsia="zh-TW"/>
        </w:rPr>
      </w:pPr>
      <w:r w:rsidRPr="0028108F">
        <w:rPr>
          <w:rFonts w:ascii="Arial" w:hAnsi="Arial" w:cs="Arial"/>
          <w:lang w:val="en-GB" w:eastAsia="zh-TW"/>
        </w:rPr>
        <w:tab/>
      </w:r>
      <w:hyperlink r:id="rId60" w:history="1">
        <w:r w:rsidRPr="0028108F">
          <w:rPr>
            <w:rStyle w:val="Hyperlink"/>
            <w:rFonts w:ascii="Arial" w:hAnsi="Arial" w:cs="Arial"/>
            <w:lang w:val="en-GB"/>
          </w:rPr>
          <w:t>https://www.acpeds.org/the-college-speaks/position-statements/gender-dysphoria-in-children</w:t>
        </w:r>
      </w:hyperlink>
      <w:r w:rsidRPr="0028108F">
        <w:rPr>
          <w:rFonts w:ascii="Arial" w:hAnsi="Arial" w:cs="Arial"/>
          <w:lang w:val="en-GB" w:eastAsia="zh-TW"/>
        </w:rPr>
        <w:t>)</w:t>
      </w:r>
      <w:r w:rsidRPr="0028108F">
        <w:rPr>
          <w:rFonts w:ascii="Arial" w:hAnsi="Arial" w:cs="Arial"/>
          <w:lang w:val="en-GB"/>
        </w:rPr>
        <w:t>.</w:t>
      </w:r>
      <w:r w:rsidRPr="0028108F">
        <w:rPr>
          <w:rFonts w:ascii="Arial" w:hAnsi="Arial" w:cs="Arial"/>
          <w:lang w:val="en-GB" w:eastAsia="zh-TW"/>
        </w:rPr>
        <w:t xml:space="preserve"> </w:t>
      </w:r>
    </w:p>
  </w:footnote>
  <w:footnote w:id="485">
    <w:p w:rsidR="0022178B" w:rsidRPr="0028108F" w:rsidRDefault="0022178B" w:rsidP="0028108F">
      <w:pPr>
        <w:pStyle w:val="FootnoteText"/>
        <w:tabs>
          <w:tab w:val="left" w:pos="709"/>
        </w:tabs>
        <w:ind w:left="708" w:hangingChars="354" w:hanging="708"/>
        <w:jc w:val="both"/>
        <w:rPr>
          <w:rFonts w:ascii="Arial" w:hAnsi="Arial" w:cs="Arial"/>
          <w:lang w:val="en-US" w:eastAsia="zh-TW"/>
        </w:rPr>
      </w:pPr>
      <w:r w:rsidRPr="0028108F">
        <w:rPr>
          <w:rStyle w:val="FootnoteReference"/>
          <w:rFonts w:ascii="Arial" w:hAnsi="Arial" w:cs="Arial"/>
          <w:vertAlign w:val="baseline"/>
        </w:rPr>
        <w:footnoteRef/>
      </w:r>
      <w:r w:rsidRPr="0028108F">
        <w:rPr>
          <w:rFonts w:ascii="Arial" w:hAnsi="Arial" w:cs="Arial"/>
        </w:rPr>
        <w:t xml:space="preserve"> </w:t>
      </w:r>
      <w:r w:rsidRPr="0028108F">
        <w:rPr>
          <w:rFonts w:ascii="Arial" w:hAnsi="Arial" w:cs="Arial"/>
          <w:lang w:eastAsia="zh-TW"/>
        </w:rPr>
        <w:tab/>
      </w:r>
      <w:r w:rsidRPr="0028108F">
        <w:rPr>
          <w:rFonts w:ascii="Arial" w:hAnsi="Arial" w:cs="Arial"/>
          <w:lang w:val="en-GB"/>
        </w:rPr>
        <w:t>Jesse</w:t>
      </w:r>
      <w:r w:rsidRPr="0028108F">
        <w:rPr>
          <w:rFonts w:ascii="Arial" w:hAnsi="Arial" w:cs="Arial"/>
          <w:lang w:eastAsia="zh-TW"/>
        </w:rPr>
        <w:t xml:space="preserve"> Singal’s article was cited by Dr Kwan Kai Man in his article where he </w:t>
      </w:r>
      <w:r w:rsidRPr="00181CF2">
        <w:rPr>
          <w:rFonts w:ascii="Arial" w:hAnsi="Arial" w:cs="Arial"/>
          <w:lang w:val="en-US" w:eastAsia="zh-TW"/>
        </w:rPr>
        <w:t>argued</w:t>
      </w:r>
      <w:r w:rsidRPr="0028108F">
        <w:rPr>
          <w:rFonts w:ascii="Arial" w:hAnsi="Arial" w:cs="Arial"/>
          <w:lang w:eastAsia="zh-TW"/>
        </w:rPr>
        <w:t xml:space="preserve"> against a non-SRS type gender recognition scheme: see Kwan Kai Man, </w:t>
      </w:r>
      <w:r w:rsidRPr="00181CF2">
        <w:rPr>
          <w:rFonts w:ascii="Arial" w:hAnsi="Arial" w:cs="Arial"/>
          <w:lang w:val="en-US" w:eastAsia="zh-TW"/>
        </w:rPr>
        <w:t>“</w:t>
      </w:r>
      <w:r w:rsidRPr="0028108F">
        <w:rPr>
          <w:rFonts w:ascii="Arial" w:hAnsi="Arial" w:cs="Arial"/>
          <w:lang w:eastAsia="zh-TW"/>
        </w:rPr>
        <w:t>向政治凌駕科學說不</w:t>
      </w:r>
      <w:r w:rsidRPr="0028108F">
        <w:rPr>
          <w:rFonts w:ascii="Arial" w:hAnsi="Arial" w:cs="Arial"/>
          <w:lang w:eastAsia="zh-TW"/>
        </w:rPr>
        <w:t>—</w:t>
      </w:r>
      <w:r w:rsidRPr="0028108F">
        <w:rPr>
          <w:rFonts w:ascii="Arial" w:hAnsi="Arial" w:cs="Arial"/>
          <w:lang w:eastAsia="zh-TW"/>
        </w:rPr>
        <w:t>探討跨性別兒童的科學研究</w:t>
      </w:r>
      <w:r w:rsidRPr="00181CF2">
        <w:rPr>
          <w:rFonts w:ascii="Arial" w:hAnsi="Arial" w:cs="Arial"/>
          <w:lang w:val="en-US" w:eastAsia="zh-TW"/>
        </w:rPr>
        <w:t>”</w:t>
      </w:r>
      <w:r w:rsidRPr="0028108F">
        <w:rPr>
          <w:rFonts w:ascii="Arial" w:hAnsi="Arial" w:cs="Arial"/>
          <w:lang w:eastAsia="zh-TW"/>
        </w:rPr>
        <w:t xml:space="preserve"> (in Chinese), 22 September 2016, available at: </w:t>
      </w:r>
    </w:p>
    <w:p w:rsidR="0022178B" w:rsidRPr="0028108F" w:rsidRDefault="0022178B" w:rsidP="0028108F">
      <w:pPr>
        <w:pStyle w:val="FootnoteText"/>
        <w:tabs>
          <w:tab w:val="left" w:pos="709"/>
        </w:tabs>
        <w:ind w:left="708" w:hangingChars="354" w:hanging="708"/>
        <w:jc w:val="both"/>
        <w:rPr>
          <w:rFonts w:ascii="Arial" w:hAnsi="Arial" w:cs="Arial"/>
          <w:lang w:eastAsia="zh-TW"/>
        </w:rPr>
      </w:pPr>
      <w:r w:rsidRPr="00181CF2">
        <w:rPr>
          <w:rFonts w:ascii="Arial" w:hAnsi="Arial" w:cs="Arial"/>
          <w:lang w:eastAsia="zh-TW"/>
        </w:rPr>
        <w:tab/>
      </w:r>
      <w:hyperlink r:id="rId61" w:history="1">
        <w:r w:rsidRPr="0028108F">
          <w:rPr>
            <w:rStyle w:val="Hyperlink"/>
            <w:rFonts w:ascii="Arial" w:hAnsi="Arial" w:cs="Arial"/>
            <w:lang w:eastAsia="zh-TW"/>
          </w:rPr>
          <w:t>https://hkscsblog.wordpress.com/2016/09/22/%E5%90%91%E6%94%BF%E6%B2%BB%E5%87%8C%E9%A7%95%E7%A7%91%E5%AD%B8%E8%AA%AA%E4%B8%8D-%E6%8E%A2%E8%A8%8E%E8%B7%A8%E6%80%A7%E5%88%A5%E5%85%92%E7%AB%A5%E7%9A%84%E7%A7%91%E5%AD%B8%E7%A0%94%E7%A9%B6/</w:t>
        </w:r>
      </w:hyperlink>
      <w:r w:rsidRPr="0028108F">
        <w:rPr>
          <w:rFonts w:ascii="Arial" w:hAnsi="Arial" w:cs="Arial"/>
          <w:lang w:eastAsia="zh-TW"/>
        </w:rPr>
        <w:t xml:space="preserve">. </w:t>
      </w:r>
    </w:p>
  </w:footnote>
  <w:footnote w:id="486">
    <w:p w:rsidR="0022178B" w:rsidRPr="0028108F" w:rsidRDefault="0022178B" w:rsidP="00604960">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r>
      <w:r w:rsidRPr="0028108F">
        <w:rPr>
          <w:rFonts w:ascii="Arial" w:hAnsi="Arial" w:cs="Arial"/>
          <w:lang w:val="en-GB"/>
        </w:rPr>
        <w:t xml:space="preserve">WPATH, </w:t>
      </w:r>
      <w:r w:rsidRPr="0028108F">
        <w:rPr>
          <w:rFonts w:ascii="Arial" w:hAnsi="Arial" w:cs="Arial"/>
          <w:i/>
          <w:lang w:val="en-GB"/>
        </w:rPr>
        <w:t>Standards of Care for the Health of Transsexual, Transgender, and Gender-Nonconforming People</w:t>
      </w:r>
      <w:r w:rsidRPr="00181CF2">
        <w:rPr>
          <w:rFonts w:ascii="Arial" w:hAnsi="Arial" w:cs="Arial"/>
          <w:lang w:val="en-GB"/>
        </w:rPr>
        <w:t>,</w:t>
      </w:r>
      <w:r w:rsidRPr="00C57CE1">
        <w:rPr>
          <w:rFonts w:ascii="Arial" w:hAnsi="Arial" w:cs="Arial"/>
          <w:lang w:val="en-GB"/>
        </w:rPr>
        <w:t xml:space="preserve"> 7th </w:t>
      </w:r>
      <w:r>
        <w:rPr>
          <w:rFonts w:ascii="Arial" w:hAnsi="Arial" w:cs="Arial"/>
          <w:lang w:val="en-GB"/>
        </w:rPr>
        <w:t>version</w:t>
      </w:r>
      <w:r w:rsidRPr="00C57CE1">
        <w:rPr>
          <w:rFonts w:ascii="Arial" w:hAnsi="Arial" w:cs="Arial"/>
          <w:lang w:val="en-GB"/>
        </w:rPr>
        <w:t xml:space="preserve"> (2012), at </w:t>
      </w:r>
      <w:r w:rsidRPr="0028108F">
        <w:rPr>
          <w:rFonts w:ascii="Arial" w:hAnsi="Arial" w:cs="Arial"/>
          <w:lang w:val="en-GB"/>
        </w:rPr>
        <w:t>13.</w:t>
      </w:r>
    </w:p>
  </w:footnote>
  <w:footnote w:id="487">
    <w:p w:rsidR="0022178B" w:rsidRPr="0028108F" w:rsidRDefault="0022178B" w:rsidP="0028108F">
      <w:pPr>
        <w:pStyle w:val="FootnoteText"/>
        <w:tabs>
          <w:tab w:val="left" w:pos="709"/>
        </w:tabs>
        <w:ind w:left="708" w:hangingChars="354" w:hanging="708"/>
        <w:jc w:val="both"/>
        <w:rPr>
          <w:rFonts w:ascii="Arial" w:hAnsi="Arial" w:cs="Arial"/>
          <w:lang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Zucker K</w:t>
      </w:r>
      <w:r w:rsidRPr="00181CF2">
        <w:rPr>
          <w:rFonts w:ascii="Arial" w:hAnsi="Arial" w:cs="Arial"/>
          <w:lang w:val="en-GB"/>
        </w:rPr>
        <w:t>,</w:t>
      </w:r>
      <w:r w:rsidRPr="0028108F">
        <w:rPr>
          <w:rFonts w:ascii="Arial" w:hAnsi="Arial" w:cs="Arial"/>
          <w:lang w:val="en-GB"/>
        </w:rPr>
        <w:t xml:space="preserve"> Wood H</w:t>
      </w:r>
      <w:r w:rsidRPr="00181CF2">
        <w:rPr>
          <w:rFonts w:ascii="Arial" w:hAnsi="Arial" w:cs="Arial"/>
          <w:lang w:val="en-GB"/>
        </w:rPr>
        <w:t>,</w:t>
      </w:r>
      <w:r w:rsidRPr="0028108F">
        <w:rPr>
          <w:rFonts w:ascii="Arial" w:hAnsi="Arial" w:cs="Arial"/>
          <w:lang w:val="en-GB"/>
        </w:rPr>
        <w:t xml:space="preserve"> </w:t>
      </w:r>
      <w:r w:rsidRPr="0028108F">
        <w:rPr>
          <w:rFonts w:ascii="Arial" w:hAnsi="Arial" w:cs="Arial"/>
          <w:i/>
          <w:lang w:val="en-GB"/>
        </w:rPr>
        <w:t>e.al</w:t>
      </w:r>
      <w:r w:rsidRPr="0028108F">
        <w:rPr>
          <w:rFonts w:ascii="Arial" w:hAnsi="Arial" w:cs="Arial"/>
          <w:lang w:val="en-GB"/>
        </w:rPr>
        <w:t xml:space="preserve"> (2012)</w:t>
      </w:r>
      <w:r w:rsidRPr="0028108F">
        <w:rPr>
          <w:rFonts w:ascii="Arial" w:hAnsi="Arial" w:cs="Arial"/>
          <w:lang w:val="en-GB" w:eastAsia="zh-TW"/>
        </w:rPr>
        <w:t xml:space="preserve">, </w:t>
      </w:r>
      <w:r w:rsidRPr="00181CF2">
        <w:rPr>
          <w:rFonts w:ascii="Arial" w:hAnsi="Arial" w:cs="Arial"/>
          <w:lang w:val="en-GB" w:eastAsia="zh-TW"/>
        </w:rPr>
        <w:t>“</w:t>
      </w:r>
      <w:r w:rsidRPr="0028108F">
        <w:rPr>
          <w:rFonts w:ascii="Arial" w:hAnsi="Arial" w:cs="Arial"/>
          <w:lang w:val="en-GB"/>
        </w:rPr>
        <w:t>A Developmental, Biopsychosocial Model for the Treatment of Children with Gender</w:t>
      </w:r>
      <w:r w:rsidRPr="0028108F">
        <w:rPr>
          <w:rFonts w:ascii="Arial" w:hAnsi="Arial" w:cs="Arial"/>
          <w:lang w:val="en-GB" w:eastAsia="zh-TW"/>
        </w:rPr>
        <w:t>, Identity Disorder</w:t>
      </w:r>
      <w:r w:rsidRPr="00181CF2">
        <w:rPr>
          <w:rFonts w:ascii="Arial" w:hAnsi="Arial" w:cs="Arial"/>
          <w:lang w:val="en-GB" w:eastAsia="zh-TW"/>
        </w:rPr>
        <w:t>”</w:t>
      </w:r>
      <w:r w:rsidRPr="0028108F">
        <w:rPr>
          <w:rFonts w:ascii="Arial" w:hAnsi="Arial" w:cs="Arial"/>
          <w:lang w:val="en-GB" w:eastAsia="zh-TW"/>
        </w:rPr>
        <w:t>,</w:t>
      </w:r>
      <w:r w:rsidRPr="00181CF2">
        <w:rPr>
          <w:rFonts w:ascii="Arial" w:hAnsi="Arial" w:cs="Arial"/>
          <w:i/>
          <w:lang w:val="en-GB" w:eastAsia="zh-TW"/>
        </w:rPr>
        <w:t xml:space="preserve"> Journal of Homosexuality</w:t>
      </w:r>
      <w:r w:rsidRPr="0028108F">
        <w:rPr>
          <w:rFonts w:ascii="Arial" w:hAnsi="Arial" w:cs="Arial"/>
          <w:lang w:val="en-GB" w:eastAsia="zh-TW"/>
        </w:rPr>
        <w:t>, 59:3, 369-397.</w:t>
      </w:r>
    </w:p>
  </w:footnote>
  <w:footnote w:id="488">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See a brief introduction </w:t>
      </w:r>
      <w:r w:rsidRPr="0028108F">
        <w:rPr>
          <w:rFonts w:ascii="Arial" w:hAnsi="Arial" w:cs="Arial"/>
          <w:lang w:val="en-GB"/>
        </w:rPr>
        <w:t xml:space="preserve">to Walt Heyer in paragraph </w:t>
      </w:r>
      <w:r w:rsidRPr="008813DE">
        <w:rPr>
          <w:rFonts w:ascii="Arial" w:hAnsi="Arial" w:cs="Arial"/>
          <w:lang w:val="en-GB"/>
        </w:rPr>
        <w:t>5.4</w:t>
      </w:r>
      <w:r w:rsidRPr="008813DE">
        <w:rPr>
          <w:rFonts w:ascii="Arial" w:hAnsi="Arial" w:cs="Arial"/>
          <w:lang w:val="en-GB" w:eastAsia="zh-TW"/>
        </w:rPr>
        <w:t>5</w:t>
      </w:r>
      <w:r w:rsidRPr="0028108F">
        <w:rPr>
          <w:rFonts w:ascii="Arial" w:hAnsi="Arial" w:cs="Arial"/>
          <w:lang w:val="en-GB"/>
        </w:rPr>
        <w:t xml:space="preserve"> of this Consultation Paper. </w:t>
      </w:r>
    </w:p>
  </w:footnote>
  <w:footnote w:id="489">
    <w:p w:rsidR="0022178B" w:rsidRPr="0028108F" w:rsidRDefault="0022178B" w:rsidP="004E2691">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ab/>
      </w:r>
      <w:r w:rsidRPr="0028108F">
        <w:rPr>
          <w:rFonts w:ascii="Arial" w:hAnsi="Arial" w:cs="Arial"/>
          <w:lang w:val="en-GB"/>
        </w:rPr>
        <w:t xml:space="preserve">See Walt Heyer, </w:t>
      </w:r>
      <w:r w:rsidRPr="008813DE">
        <w:rPr>
          <w:rFonts w:ascii="Arial" w:hAnsi="Arial" w:cs="Arial"/>
          <w:i/>
          <w:lang w:val="en-GB"/>
        </w:rPr>
        <w:t>Paper Genders: Pulling the Mask Off the Transgender Phenomenon</w:t>
      </w:r>
      <w:r w:rsidRPr="00181CF2">
        <w:rPr>
          <w:rFonts w:ascii="Arial" w:hAnsi="Arial" w:cs="Arial"/>
          <w:lang w:val="en-GB"/>
        </w:rPr>
        <w:t xml:space="preserve">, </w:t>
      </w:r>
      <w:r w:rsidRPr="0028108F">
        <w:rPr>
          <w:rFonts w:ascii="Arial" w:hAnsi="Arial" w:cs="Arial"/>
          <w:i/>
          <w:lang w:val="en-GB"/>
        </w:rPr>
        <w:t>Make Waves</w:t>
      </w:r>
      <w:r w:rsidRPr="00181CF2">
        <w:rPr>
          <w:rFonts w:ascii="Arial" w:hAnsi="Arial" w:cs="Arial"/>
          <w:lang w:val="en-GB"/>
        </w:rPr>
        <w:t xml:space="preserve"> </w:t>
      </w:r>
      <w:r w:rsidRPr="0028108F">
        <w:rPr>
          <w:rFonts w:ascii="Arial" w:hAnsi="Arial" w:cs="Arial"/>
          <w:i/>
          <w:lang w:val="en-GB"/>
        </w:rPr>
        <w:t>Publishing</w:t>
      </w:r>
      <w:r w:rsidRPr="00181CF2">
        <w:rPr>
          <w:rFonts w:ascii="Arial" w:hAnsi="Arial" w:cs="Arial"/>
          <w:lang w:val="en-GB"/>
        </w:rPr>
        <w:t xml:space="preserve">, 2nd printing, June 2011, </w:t>
      </w:r>
      <w:r w:rsidRPr="00C57CE1">
        <w:rPr>
          <w:rFonts w:ascii="Arial" w:hAnsi="Arial" w:cs="Arial"/>
          <w:lang w:val="en-GB"/>
        </w:rPr>
        <w:t>at 3</w:t>
      </w:r>
      <w:r w:rsidRPr="0028108F">
        <w:rPr>
          <w:rFonts w:ascii="Arial" w:hAnsi="Arial" w:cs="Arial"/>
          <w:lang w:val="en-GB"/>
        </w:rPr>
        <w:t xml:space="preserve">1-37.  </w:t>
      </w:r>
    </w:p>
  </w:footnote>
  <w:footnote w:id="490">
    <w:p w:rsidR="0022178B" w:rsidRPr="0028108F" w:rsidRDefault="0022178B" w:rsidP="00604960">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It has been observed that, given the magnitude of the social changes associated with gender transition, strong family support and good emotional health are associated with positive adjustment to many life changes.  See Byne, W, Bradley, SJ, Coleman, E, Eyler, A, Green, R, Menvielle, EJ, Meyer-Bahlburg, HFL, Pleak, R &amp; Tompkins, D (2012)</w:t>
      </w:r>
      <w:r w:rsidRPr="00181CF2">
        <w:rPr>
          <w:rFonts w:ascii="Arial" w:hAnsi="Arial" w:cs="Arial"/>
          <w:lang w:val="en-GB"/>
        </w:rPr>
        <w:t>,</w:t>
      </w:r>
      <w:r w:rsidRPr="0028108F">
        <w:rPr>
          <w:rFonts w:ascii="Arial" w:hAnsi="Arial" w:cs="Arial"/>
          <w:lang w:val="en-GB"/>
        </w:rPr>
        <w:t xml:space="preserve"> </w:t>
      </w:r>
      <w:r w:rsidRPr="00181CF2">
        <w:rPr>
          <w:rFonts w:ascii="Arial" w:hAnsi="Arial" w:cs="Arial"/>
          <w:lang w:val="en-GB"/>
        </w:rPr>
        <w:t>“</w:t>
      </w:r>
      <w:r w:rsidRPr="0028108F">
        <w:rPr>
          <w:rFonts w:ascii="Arial" w:hAnsi="Arial" w:cs="Arial"/>
          <w:lang w:val="en-GB"/>
        </w:rPr>
        <w:t>Report of the American Psychiatric Association Task Force on Treatment of Gender Identity Disorder”</w:t>
      </w:r>
      <w:r w:rsidRPr="00181CF2">
        <w:rPr>
          <w:rFonts w:ascii="Arial" w:hAnsi="Arial" w:cs="Arial"/>
          <w:lang w:val="en-GB"/>
        </w:rPr>
        <w:t>,</w:t>
      </w:r>
      <w:r w:rsidRPr="0028108F">
        <w:rPr>
          <w:rFonts w:ascii="Arial" w:hAnsi="Arial" w:cs="Arial"/>
          <w:lang w:val="en-GB"/>
        </w:rPr>
        <w:t xml:space="preserve"> </w:t>
      </w:r>
      <w:r w:rsidRPr="0028108F">
        <w:rPr>
          <w:rFonts w:ascii="Arial" w:hAnsi="Arial" w:cs="Arial"/>
          <w:i/>
          <w:lang w:val="en-GB"/>
        </w:rPr>
        <w:t>Archives Of Sexual Behavior</w:t>
      </w:r>
      <w:r w:rsidRPr="0028108F">
        <w:rPr>
          <w:rFonts w:ascii="Arial" w:hAnsi="Arial" w:cs="Arial"/>
          <w:lang w:val="en-GB"/>
        </w:rPr>
        <w:t>, 41(4), 759-796</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rPr>
        <w:t xml:space="preserve">at 782. </w:t>
      </w:r>
    </w:p>
  </w:footnote>
  <w:footnote w:id="491">
    <w:p w:rsidR="0022178B" w:rsidRPr="0028108F" w:rsidRDefault="0022178B" w:rsidP="00363352">
      <w:pPr>
        <w:pStyle w:val="FootnoteText"/>
        <w:tabs>
          <w:tab w:val="left" w:pos="851"/>
        </w:tabs>
        <w:ind w:left="709" w:hanging="709"/>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Kenneth J Zucker, </w:t>
      </w:r>
      <w:r w:rsidRPr="00181CF2">
        <w:rPr>
          <w:rFonts w:ascii="Arial" w:hAnsi="Arial" w:cs="Arial"/>
          <w:lang w:val="en-GB"/>
        </w:rPr>
        <w:t>“</w:t>
      </w:r>
      <w:r w:rsidRPr="0028108F">
        <w:rPr>
          <w:rFonts w:ascii="Arial" w:hAnsi="Arial" w:cs="Arial"/>
          <w:lang w:val="en-GB"/>
        </w:rPr>
        <w:t>Children with gender identity disorder: Is there a best practice?”, </w:t>
      </w:r>
      <w:r w:rsidRPr="0028108F">
        <w:rPr>
          <w:rFonts w:ascii="Arial" w:hAnsi="Arial" w:cs="Arial"/>
          <w:i/>
          <w:lang w:val="en-GB"/>
        </w:rPr>
        <w:t>Neuropsychiatrie de l’Enfance et de l’Adolescence 56</w:t>
      </w:r>
      <w:r w:rsidRPr="0028108F">
        <w:rPr>
          <w:rFonts w:ascii="Arial" w:hAnsi="Arial" w:cs="Arial"/>
          <w:lang w:val="en-GB"/>
        </w:rPr>
        <w:t>, no. 6 (2008): 363, </w:t>
      </w:r>
      <w:r w:rsidRPr="0028108F">
        <w:rPr>
          <w:rFonts w:ascii="Arial" w:hAnsi="Arial" w:cs="Arial"/>
          <w:lang w:val="en-GB" w:eastAsia="zh-TW"/>
        </w:rPr>
        <w:t xml:space="preserve">available at: </w:t>
      </w:r>
      <w:hyperlink r:id="rId62" w:history="1">
        <w:r w:rsidRPr="0028108F">
          <w:rPr>
            <w:rStyle w:val="Hyperlink"/>
            <w:rFonts w:ascii="Arial" w:hAnsi="Arial" w:cs="Arial"/>
            <w:lang w:val="en-GB"/>
          </w:rPr>
          <w:t>http://dx.doi.org/10.1016/j.neurenf.2008.06.003</w:t>
        </w:r>
      </w:hyperlink>
      <w:r w:rsidRPr="0028108F">
        <w:rPr>
          <w:rFonts w:ascii="Arial" w:hAnsi="Arial" w:cs="Arial"/>
          <w:lang w:val="en-GB"/>
        </w:rPr>
        <w:t>.</w:t>
      </w:r>
      <w:r w:rsidRPr="0028108F">
        <w:rPr>
          <w:rFonts w:ascii="Arial" w:hAnsi="Arial" w:cs="Arial"/>
          <w:lang w:val="en-GB" w:eastAsia="zh-TW"/>
        </w:rPr>
        <w:t xml:space="preserve">  See also </w:t>
      </w:r>
      <w:r w:rsidRPr="0028108F">
        <w:rPr>
          <w:rFonts w:ascii="Arial" w:hAnsi="Arial" w:cs="Arial"/>
          <w:lang w:val="en-GB"/>
        </w:rPr>
        <w:t>American College of Pediatricians</w:t>
      </w:r>
      <w:r w:rsidRPr="0028108F">
        <w:rPr>
          <w:rFonts w:ascii="Arial" w:hAnsi="Arial" w:cs="Arial"/>
          <w:lang w:val="en-GB" w:eastAsia="zh-TW"/>
        </w:rPr>
        <w:t xml:space="preserve"> (Aug 2016),</w:t>
      </w:r>
      <w:r w:rsidRPr="0028108F">
        <w:rPr>
          <w:rFonts w:ascii="Arial" w:hAnsi="Arial" w:cs="Arial"/>
          <w:lang w:val="en-GB"/>
        </w:rPr>
        <w:t xml:space="preserve"> “Gender Dysphoria in Children”</w:t>
      </w:r>
      <w:r w:rsidRPr="00181CF2">
        <w:rPr>
          <w:rFonts w:ascii="Arial" w:hAnsi="Arial" w:cs="Arial"/>
          <w:lang w:val="en-GB" w:eastAsia="zh-TW"/>
        </w:rPr>
        <w:t xml:space="preserve"> </w:t>
      </w:r>
      <w:r w:rsidRPr="0028108F">
        <w:rPr>
          <w:rFonts w:ascii="Arial" w:hAnsi="Arial" w:cs="Arial"/>
          <w:lang w:val="en-GB" w:eastAsia="zh-TW"/>
        </w:rPr>
        <w:t>(available at:</w:t>
      </w:r>
    </w:p>
    <w:p w:rsidR="0022178B" w:rsidRPr="0028108F" w:rsidRDefault="0022178B" w:rsidP="0028108F">
      <w:pPr>
        <w:pStyle w:val="FootnoteText"/>
        <w:tabs>
          <w:tab w:val="left" w:pos="709"/>
        </w:tabs>
        <w:ind w:left="708" w:hangingChars="354" w:hanging="708"/>
        <w:jc w:val="both"/>
        <w:rPr>
          <w:rFonts w:ascii="Arial" w:hAnsi="Arial" w:cs="Arial"/>
          <w:lang w:eastAsia="zh-TW"/>
        </w:rPr>
      </w:pPr>
      <w:r w:rsidRPr="0028108F">
        <w:rPr>
          <w:rFonts w:ascii="Arial" w:hAnsi="Arial" w:cs="Arial"/>
          <w:lang w:val="en-GB" w:eastAsia="zh-TW"/>
        </w:rPr>
        <w:tab/>
      </w:r>
      <w:hyperlink r:id="rId63" w:history="1">
        <w:r w:rsidRPr="00C57CE1">
          <w:rPr>
            <w:rStyle w:val="Hyperlink"/>
            <w:rFonts w:ascii="Arial" w:hAnsi="Arial" w:cs="Arial"/>
            <w:lang w:val="en-GB"/>
          </w:rPr>
          <w:t>https://www.acpeds.org/the-college-speaks/pos</w:t>
        </w:r>
        <w:r w:rsidRPr="0028108F">
          <w:rPr>
            <w:rStyle w:val="Hyperlink"/>
            <w:rFonts w:ascii="Arial" w:hAnsi="Arial" w:cs="Arial"/>
            <w:lang w:val="en-GB"/>
          </w:rPr>
          <w:t>ition-statements/gender-dysphoria-in-children</w:t>
        </w:r>
      </w:hyperlink>
      <w:r w:rsidRPr="0028108F">
        <w:rPr>
          <w:rFonts w:ascii="Arial" w:hAnsi="Arial" w:cs="Arial"/>
          <w:lang w:val="en-GB" w:eastAsia="zh-TW"/>
        </w:rPr>
        <w:t>)</w:t>
      </w:r>
      <w:r w:rsidRPr="00181CF2">
        <w:rPr>
          <w:rFonts w:ascii="Arial" w:hAnsi="Arial" w:cs="Arial"/>
          <w:lang w:val="en-GB"/>
        </w:rPr>
        <w:t>.</w:t>
      </w:r>
    </w:p>
  </w:footnote>
  <w:footnote w:id="492">
    <w:p w:rsidR="0022178B" w:rsidRPr="0028108F" w:rsidRDefault="0022178B" w:rsidP="00604960">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181CF2">
        <w:rPr>
          <w:rFonts w:ascii="Arial" w:hAnsi="Arial" w:cs="Arial"/>
          <w:lang w:val="en-GB" w:eastAsia="zh-TW"/>
        </w:rPr>
        <w:t xml:space="preserve">For a brief introduction </w:t>
      </w:r>
      <w:r w:rsidRPr="0028108F">
        <w:rPr>
          <w:rFonts w:ascii="Arial" w:hAnsi="Arial" w:cs="Arial"/>
          <w:lang w:val="en-GB" w:eastAsia="zh-TW"/>
        </w:rPr>
        <w:t>to the Yogyakarta Principles</w:t>
      </w:r>
      <w:r w:rsidRPr="00181CF2">
        <w:rPr>
          <w:rFonts w:ascii="Arial" w:hAnsi="Arial" w:cs="Arial"/>
          <w:lang w:val="en-GB" w:eastAsia="zh-TW"/>
        </w:rPr>
        <w:t xml:space="preserve">, see paragraph </w:t>
      </w:r>
      <w:r w:rsidRPr="008813DE">
        <w:rPr>
          <w:rFonts w:ascii="Arial" w:hAnsi="Arial" w:cs="Arial"/>
          <w:lang w:val="en-GB" w:eastAsia="zh-TW"/>
        </w:rPr>
        <w:t>4.162</w:t>
      </w:r>
      <w:r w:rsidRPr="00181CF2">
        <w:rPr>
          <w:rFonts w:ascii="Arial" w:hAnsi="Arial" w:cs="Arial"/>
          <w:lang w:val="en-GB" w:eastAsia="zh-TW"/>
        </w:rPr>
        <w:t xml:space="preserve"> of this Consultation Paper</w:t>
      </w:r>
      <w:r w:rsidRPr="0028108F">
        <w:rPr>
          <w:rFonts w:ascii="Arial" w:hAnsi="Arial" w:cs="Arial"/>
          <w:lang w:val="en-GB"/>
        </w:rPr>
        <w:t xml:space="preserve">.  </w:t>
      </w:r>
    </w:p>
  </w:footnote>
  <w:footnote w:id="493">
    <w:p w:rsidR="0022178B" w:rsidRPr="00C57CE1" w:rsidRDefault="0022178B" w:rsidP="00604960">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Peter Dunne, </w:t>
      </w:r>
      <w:r w:rsidRPr="00C57CE1">
        <w:rPr>
          <w:rFonts w:ascii="Arial" w:hAnsi="Arial" w:cs="Arial"/>
          <w:lang w:val="en-GB"/>
        </w:rPr>
        <w:t>“</w:t>
      </w:r>
      <w:r w:rsidRPr="0028108F">
        <w:rPr>
          <w:rFonts w:ascii="Arial" w:hAnsi="Arial" w:cs="Arial"/>
          <w:lang w:val="en-GB"/>
        </w:rPr>
        <w:t xml:space="preserve">Ten years of gender recognition in the United Kingdom: still a </w:t>
      </w:r>
      <w:r w:rsidRPr="00181CF2">
        <w:rPr>
          <w:rFonts w:ascii="Arial" w:hAnsi="Arial" w:cs="Arial"/>
          <w:lang w:val="en-GB" w:eastAsia="zh-TW"/>
        </w:rPr>
        <w:t>‘</w:t>
      </w:r>
      <w:r w:rsidRPr="0028108F">
        <w:rPr>
          <w:rFonts w:ascii="Arial" w:hAnsi="Arial" w:cs="Arial"/>
          <w:lang w:val="en-GB"/>
        </w:rPr>
        <w:t>model for reform</w:t>
      </w:r>
      <w:r w:rsidRPr="00181CF2">
        <w:rPr>
          <w:rFonts w:ascii="Arial" w:hAnsi="Arial" w:cs="Arial"/>
          <w:lang w:val="en-GB" w:eastAsia="zh-TW"/>
        </w:rPr>
        <w:t>’</w:t>
      </w:r>
      <w:r w:rsidRPr="0028108F">
        <w:rPr>
          <w:rFonts w:ascii="Arial" w:hAnsi="Arial" w:cs="Arial"/>
          <w:lang w:val="en-GB"/>
        </w:rPr>
        <w:t>?”</w:t>
      </w:r>
      <w:r w:rsidRPr="00181CF2">
        <w:rPr>
          <w:rFonts w:ascii="Arial" w:hAnsi="Arial" w:cs="Arial"/>
          <w:lang w:val="en-GB"/>
        </w:rPr>
        <w:t xml:space="preserve"> </w:t>
      </w:r>
      <w:r w:rsidRPr="00C57CE1">
        <w:rPr>
          <w:rFonts w:ascii="Arial" w:hAnsi="Arial" w:cs="Arial"/>
          <w:lang w:val="en-GB"/>
        </w:rPr>
        <w:t xml:space="preserve">(2015) </w:t>
      </w:r>
      <w:r w:rsidRPr="00F86CD8">
        <w:rPr>
          <w:rFonts w:ascii="Arial" w:hAnsi="Arial" w:cs="Arial"/>
          <w:lang w:val="en-GB"/>
        </w:rPr>
        <w:t>Public Law</w:t>
      </w:r>
      <w:r w:rsidRPr="00181CF2">
        <w:rPr>
          <w:rFonts w:ascii="Arial" w:hAnsi="Arial" w:cs="Arial"/>
          <w:lang w:val="en-GB"/>
        </w:rPr>
        <w:t xml:space="preserve"> 5</w:t>
      </w:r>
      <w:r w:rsidRPr="00C57CE1">
        <w:rPr>
          <w:rFonts w:ascii="Arial" w:hAnsi="Arial" w:cs="Arial"/>
          <w:lang w:val="en-GB"/>
        </w:rPr>
        <w:t>30.</w:t>
      </w:r>
    </w:p>
  </w:footnote>
  <w:footnote w:id="494">
    <w:p w:rsidR="0022178B" w:rsidRPr="0028108F" w:rsidRDefault="0022178B" w:rsidP="00604960">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rPr>
        <w:t>Amnesty International, 2014, “</w:t>
      </w:r>
      <w:r w:rsidRPr="0028108F">
        <w:rPr>
          <w:rFonts w:ascii="Arial" w:hAnsi="Arial" w:cs="Arial"/>
          <w:color w:val="0D0D0D" w:themeColor="text1" w:themeTint="F2"/>
          <w:kern w:val="0"/>
          <w:lang w:val="en-GB"/>
        </w:rPr>
        <w:t>The State Decides Who I Am: Lack of Recognition For Transgender People”</w:t>
      </w:r>
      <w:r w:rsidRPr="00181CF2">
        <w:rPr>
          <w:rFonts w:ascii="Arial" w:hAnsi="Arial" w:cs="Arial"/>
          <w:lang w:val="en-GB"/>
        </w:rPr>
        <w:t xml:space="preserve">, at </w:t>
      </w:r>
      <w:r w:rsidRPr="0028108F">
        <w:rPr>
          <w:rFonts w:ascii="Arial" w:hAnsi="Arial" w:cs="Arial"/>
          <w:lang w:val="en-GB"/>
        </w:rPr>
        <w:t>90 and 91.</w:t>
      </w:r>
    </w:p>
  </w:footnote>
  <w:footnote w:id="495">
    <w:p w:rsidR="0022178B" w:rsidRPr="00181CF2" w:rsidRDefault="0022178B" w:rsidP="00E652E4">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See</w:t>
      </w:r>
      <w:r w:rsidRPr="0028108F">
        <w:rPr>
          <w:rFonts w:ascii="Arial" w:hAnsi="Arial" w:cs="Arial"/>
          <w:lang w:val="en-GB" w:eastAsia="zh-TW"/>
        </w:rPr>
        <w:t>,</w:t>
      </w:r>
      <w:r w:rsidRPr="0028108F">
        <w:rPr>
          <w:rFonts w:ascii="Arial" w:hAnsi="Arial" w:cs="Arial"/>
          <w:lang w:val="en-GB"/>
        </w:rPr>
        <w:t xml:space="preserve"> eg, Darryl B Hill </w:t>
      </w:r>
      <w:r w:rsidRPr="0028108F">
        <w:rPr>
          <w:rFonts w:ascii="Arial" w:hAnsi="Arial" w:cs="Arial"/>
          <w:i/>
          <w:lang w:val="en-GB"/>
        </w:rPr>
        <w:t>et al</w:t>
      </w:r>
      <w:r w:rsidRPr="0028108F">
        <w:rPr>
          <w:rFonts w:ascii="Arial" w:hAnsi="Arial" w:cs="Arial"/>
          <w:lang w:val="en-GB"/>
        </w:rPr>
        <w:t>, “Gender Identity Disorders in Childhood and Adolescence a Critical Inquiry,</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Journal of Psychology &amp; Human Sexuality</w:t>
      </w:r>
      <w:r w:rsidRPr="00181CF2">
        <w:rPr>
          <w:rFonts w:ascii="Arial" w:hAnsi="Arial" w:cs="Arial"/>
          <w:lang w:val="en-GB"/>
        </w:rPr>
        <w:t xml:space="preserve">, Vol.17 (2006), </w:t>
      </w:r>
      <w:r w:rsidRPr="00C57CE1">
        <w:rPr>
          <w:rFonts w:ascii="Arial" w:hAnsi="Arial" w:cs="Arial"/>
          <w:lang w:val="en-GB"/>
        </w:rPr>
        <w:t xml:space="preserve">at </w:t>
      </w:r>
      <w:r w:rsidRPr="0028108F">
        <w:rPr>
          <w:rFonts w:ascii="Arial" w:hAnsi="Arial" w:cs="Arial"/>
          <w:lang w:val="en-GB"/>
        </w:rPr>
        <w:t>7; Paul L Vasey and Nancy H Bartlett, “What can the Samoan ‘Fa</w:t>
      </w:r>
      <w:r w:rsidRPr="00181CF2">
        <w:rPr>
          <w:rFonts w:ascii="Arial" w:hAnsi="Arial" w:cs="Arial"/>
          <w:lang w:val="en-GB"/>
        </w:rPr>
        <w:t>’afafine</w:t>
      </w:r>
      <w:r w:rsidRPr="00C57CE1">
        <w:rPr>
          <w:rFonts w:ascii="Arial" w:hAnsi="Arial" w:cs="Arial"/>
          <w:lang w:val="en-GB"/>
        </w:rPr>
        <w:t>’</w:t>
      </w:r>
      <w:r w:rsidRPr="0028108F">
        <w:rPr>
          <w:rFonts w:ascii="Arial" w:hAnsi="Arial" w:cs="Arial"/>
          <w:lang w:val="en-GB"/>
        </w:rPr>
        <w:t xml:space="preserve"> Teach us about the Western Concept of Gender Identity Disorder in Childhood?</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Perspectives in Biology and Medicine</w:t>
      </w:r>
      <w:r w:rsidRPr="00181CF2">
        <w:rPr>
          <w:rFonts w:ascii="Arial" w:hAnsi="Arial" w:cs="Arial"/>
          <w:lang w:val="en-GB"/>
        </w:rPr>
        <w:t>, Vol</w:t>
      </w:r>
      <w:r w:rsidRPr="00C57CE1">
        <w:rPr>
          <w:rFonts w:ascii="Arial" w:hAnsi="Arial" w:cs="Arial"/>
          <w:lang w:val="en-GB"/>
        </w:rPr>
        <w:t xml:space="preserve"> </w:t>
      </w:r>
      <w:r w:rsidRPr="0028108F">
        <w:rPr>
          <w:rFonts w:ascii="Arial" w:hAnsi="Arial" w:cs="Arial"/>
          <w:lang w:val="en-GB"/>
        </w:rPr>
        <w:t>50 No 4 (2007); Sam Winter, “Transphobia: A Price Worth Paying for ‘Gender Identity Disorder’?”</w:t>
      </w:r>
      <w:r w:rsidRPr="00181CF2">
        <w:rPr>
          <w:rFonts w:ascii="Arial" w:hAnsi="Arial" w:cs="Arial"/>
          <w:lang w:val="en-GB"/>
        </w:rPr>
        <w:t>,</w:t>
      </w:r>
      <w:r w:rsidRPr="00C57CE1">
        <w:rPr>
          <w:rFonts w:ascii="Arial" w:hAnsi="Arial" w:cs="Arial"/>
          <w:lang w:val="en-GB"/>
        </w:rPr>
        <w:t xml:space="preserve"> paper presented at </w:t>
      </w:r>
      <w:r w:rsidRPr="0028108F">
        <w:rPr>
          <w:rFonts w:ascii="Arial" w:hAnsi="Arial" w:cs="Arial"/>
          <w:i/>
          <w:lang w:val="en-GB"/>
        </w:rPr>
        <w:t>First Biennial Symposium of the WPATH, Chicago, United States</w:t>
      </w:r>
      <w:r w:rsidRPr="00181CF2">
        <w:rPr>
          <w:rFonts w:ascii="Arial" w:hAnsi="Arial" w:cs="Arial"/>
          <w:lang w:val="en-GB"/>
        </w:rPr>
        <w:t>, 5–8 September 2007.</w:t>
      </w:r>
    </w:p>
  </w:footnote>
  <w:footnote w:id="496">
    <w:p w:rsidR="0022178B" w:rsidRPr="0028108F" w:rsidRDefault="0022178B" w:rsidP="00604960">
      <w:pPr>
        <w:pStyle w:val="FootnoteText"/>
        <w:tabs>
          <w:tab w:val="left" w:pos="709"/>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 xml:space="preserve">Hines, S, </w:t>
      </w:r>
      <w:r w:rsidRPr="0028108F">
        <w:rPr>
          <w:rFonts w:ascii="Arial" w:hAnsi="Arial" w:cs="Arial"/>
          <w:i/>
          <w:lang w:val="en-GB"/>
        </w:rPr>
        <w:t>Gender Diversity, Recognition and Citizenship: Towards a Politics of Difference</w:t>
      </w:r>
      <w:r w:rsidRPr="00181CF2">
        <w:rPr>
          <w:rFonts w:ascii="Arial" w:hAnsi="Arial" w:cs="Arial"/>
          <w:lang w:val="en-GB"/>
        </w:rPr>
        <w:t xml:space="preserve"> </w:t>
      </w:r>
      <w:r w:rsidRPr="00C57CE1">
        <w:rPr>
          <w:rFonts w:ascii="Arial" w:hAnsi="Arial" w:cs="Arial"/>
          <w:lang w:val="en-GB"/>
        </w:rPr>
        <w:t xml:space="preserve">(2013), at </w:t>
      </w:r>
      <w:r w:rsidRPr="0028108F">
        <w:rPr>
          <w:rFonts w:ascii="Arial" w:hAnsi="Arial" w:cs="Arial"/>
          <w:lang w:val="en-GB"/>
        </w:rPr>
        <w:t>95 and 96.</w:t>
      </w:r>
    </w:p>
  </w:footnote>
  <w:footnote w:id="497">
    <w:p w:rsidR="0022178B" w:rsidRPr="0028108F" w:rsidRDefault="0022178B" w:rsidP="00F47842">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Same as above.</w:t>
      </w:r>
    </w:p>
  </w:footnote>
  <w:footnote w:id="498">
    <w:p w:rsidR="0022178B" w:rsidRPr="0028108F" w:rsidRDefault="0022178B" w:rsidP="00B513B4">
      <w:pPr>
        <w:pStyle w:val="FootnoteText"/>
        <w:tabs>
          <w:tab w:val="left" w:pos="709"/>
        </w:tabs>
        <w:ind w:left="708" w:hangingChars="354" w:hanging="708"/>
        <w:jc w:val="both"/>
        <w:rPr>
          <w:rFonts w:ascii="Arial" w:hAnsi="Arial" w:cs="Arial"/>
          <w:i/>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Jamison Green, Sharon McGowan, Jennifer Levi, Rachael Wallbank &amp; Stephen Whittle (2011), “Recommendations from the WPATH Consensus Process for Revision of the DSM Diagnosis of Gender Identity Disorders: Implications for Human Rights</w:t>
      </w:r>
      <w:r w:rsidRPr="00181CF2">
        <w:rPr>
          <w:rFonts w:ascii="Arial" w:hAnsi="Arial" w:cs="Arial"/>
          <w:lang w:val="en-GB"/>
        </w:rPr>
        <w:t>”</w:t>
      </w:r>
      <w:r w:rsidRPr="00C57CE1">
        <w:rPr>
          <w:rFonts w:ascii="Arial" w:hAnsi="Arial" w:cs="Arial"/>
          <w:lang w:val="en-GB" w:eastAsia="zh-TW"/>
        </w:rPr>
        <w:t>,</w:t>
      </w:r>
      <w:r w:rsidRPr="0028108F">
        <w:rPr>
          <w:rFonts w:ascii="Arial" w:hAnsi="Arial" w:cs="Arial"/>
          <w:lang w:val="en-GB"/>
        </w:rPr>
        <w:t xml:space="preserve"> </w:t>
      </w:r>
      <w:r w:rsidRPr="0028108F">
        <w:rPr>
          <w:rFonts w:ascii="Arial" w:hAnsi="Arial" w:cs="Arial"/>
          <w:i/>
          <w:lang w:val="en-GB"/>
        </w:rPr>
        <w:t>International Journal of Transgenderism</w:t>
      </w:r>
      <w:r w:rsidRPr="00181CF2">
        <w:rPr>
          <w:rFonts w:ascii="Arial" w:hAnsi="Arial" w:cs="Arial"/>
          <w:lang w:val="en-GB"/>
        </w:rPr>
        <w:t>, 13:1, 1-4.</w:t>
      </w:r>
      <w:r w:rsidRPr="00C57CE1">
        <w:rPr>
          <w:rFonts w:ascii="Arial" w:hAnsi="Arial" w:cs="Arial"/>
          <w:lang w:val="en-GB"/>
        </w:rPr>
        <w:t xml:space="preserve">  See also Richard Kohler, Alecs Recher and Julia Ehrt, </w:t>
      </w:r>
      <w:r w:rsidRPr="0028108F">
        <w:rPr>
          <w:rFonts w:ascii="Arial" w:hAnsi="Arial" w:cs="Arial"/>
          <w:i/>
          <w:lang w:val="en-GB"/>
        </w:rPr>
        <w:t>Legal Gender Recognition in Europe: Toolkit Transgender Europe</w:t>
      </w:r>
      <w:r w:rsidRPr="0028108F">
        <w:rPr>
          <w:rFonts w:ascii="Arial" w:hAnsi="Arial" w:cs="Arial"/>
          <w:lang w:val="en-GB"/>
        </w:rPr>
        <w:t>, December 2013, at 18</w:t>
      </w:r>
      <w:r>
        <w:rPr>
          <w:rFonts w:ascii="Arial" w:hAnsi="Arial" w:cs="Arial" w:hint="eastAsia"/>
          <w:lang w:val="en-GB" w:eastAsia="zh-TW"/>
        </w:rPr>
        <w:t xml:space="preserve">; Richard Kohler and Julia Ehrt, </w:t>
      </w:r>
      <w:r w:rsidRPr="0028108F">
        <w:rPr>
          <w:rFonts w:ascii="Arial" w:hAnsi="Arial" w:cs="Arial"/>
          <w:i/>
          <w:lang w:val="en-GB"/>
        </w:rPr>
        <w:t>Legal Gender Recognition in Europe</w:t>
      </w:r>
      <w:r>
        <w:rPr>
          <w:rFonts w:ascii="Arial" w:hAnsi="Arial" w:cs="Arial" w:hint="eastAsia"/>
          <w:i/>
          <w:lang w:val="en-GB" w:eastAsia="zh-TW"/>
        </w:rPr>
        <w:t xml:space="preserve"> - Toolkit, 2nd Revised Edition, </w:t>
      </w:r>
      <w:r>
        <w:rPr>
          <w:rFonts w:ascii="Arial" w:hAnsi="Arial" w:cs="Arial" w:hint="eastAsia"/>
          <w:lang w:val="en-GB" w:eastAsia="zh-TW"/>
        </w:rPr>
        <w:t>November 2016, at 24</w:t>
      </w:r>
      <w:r w:rsidRPr="0028108F">
        <w:rPr>
          <w:rFonts w:ascii="Arial" w:hAnsi="Arial" w:cs="Arial"/>
          <w:lang w:val="en-GB"/>
        </w:rPr>
        <w:t>.</w:t>
      </w:r>
    </w:p>
  </w:footnote>
  <w:footnote w:id="499">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Sam Winter, “Lost in Transition: Transpeople, Transprejudice and Pathology in Asia,</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International Journal of Human Rights</w:t>
      </w:r>
      <w:r w:rsidRPr="00181CF2">
        <w:rPr>
          <w:rFonts w:ascii="Arial" w:hAnsi="Arial" w:cs="Arial"/>
          <w:lang w:val="en-GB"/>
        </w:rPr>
        <w:t>, 13,</w:t>
      </w:r>
      <w:r w:rsidRPr="00C57CE1">
        <w:rPr>
          <w:rFonts w:ascii="Arial" w:hAnsi="Arial" w:cs="Arial"/>
          <w:lang w:val="en-GB"/>
        </w:rPr>
        <w:t xml:space="preserve"> </w:t>
      </w:r>
      <w:r w:rsidRPr="0028108F">
        <w:rPr>
          <w:rFonts w:ascii="Arial" w:hAnsi="Arial" w:cs="Arial"/>
          <w:lang w:val="en-GB"/>
        </w:rPr>
        <w:t>2/3: 365-390, 2009.</w:t>
      </w:r>
    </w:p>
  </w:footnote>
  <w:footnote w:id="500">
    <w:p w:rsidR="0022178B" w:rsidRPr="0028108F" w:rsidRDefault="0022178B" w:rsidP="0028108F">
      <w:pPr>
        <w:pStyle w:val="FootnoteText"/>
        <w:tabs>
          <w:tab w:val="left" w:pos="709"/>
        </w:tabs>
        <w:ind w:left="708" w:hangingChars="354" w:hanging="708"/>
        <w:jc w:val="both"/>
        <w:rPr>
          <w:rFonts w:ascii="Arial" w:hAnsi="Arial" w:cs="Arial"/>
          <w:lang w:eastAsia="zh-TW"/>
        </w:rPr>
      </w:pPr>
      <w:r w:rsidRPr="0028108F">
        <w:rPr>
          <w:rStyle w:val="FootnoteReference"/>
          <w:rFonts w:ascii="Arial" w:hAnsi="Arial" w:cs="Arial"/>
          <w:vertAlign w:val="baseline"/>
        </w:rPr>
        <w:footnoteRef/>
      </w:r>
      <w:r w:rsidRPr="0028108F">
        <w:rPr>
          <w:rFonts w:ascii="Arial" w:hAnsi="Arial" w:cs="Arial"/>
        </w:rPr>
        <w:t xml:space="preserve"> </w:t>
      </w:r>
      <w:r w:rsidRPr="0028108F">
        <w:rPr>
          <w:rFonts w:ascii="Arial" w:hAnsi="Arial" w:cs="Arial"/>
          <w:lang w:eastAsia="zh-TW"/>
        </w:rPr>
        <w:tab/>
      </w:r>
      <w:r w:rsidRPr="00181CF2">
        <w:rPr>
          <w:rFonts w:ascii="Arial" w:hAnsi="Arial" w:cs="Arial"/>
          <w:lang w:val="en-GB"/>
        </w:rPr>
        <w:t>Jens M Scherpe</w:t>
      </w:r>
      <w:r w:rsidRPr="00C57CE1">
        <w:rPr>
          <w:rFonts w:ascii="Arial" w:hAnsi="Arial" w:cs="Arial"/>
          <w:lang w:val="en-GB"/>
        </w:rPr>
        <w:t xml:space="preserv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653</w:t>
      </w:r>
      <w:r w:rsidRPr="0028108F">
        <w:rPr>
          <w:rFonts w:ascii="Arial" w:hAnsi="Arial" w:cs="Arial"/>
          <w:lang w:val="en-GB" w:eastAsia="zh-TW"/>
        </w:rPr>
        <w:t>.</w:t>
      </w:r>
    </w:p>
  </w:footnote>
  <w:footnote w:id="501">
    <w:p w:rsidR="0022178B" w:rsidRPr="0028108F" w:rsidRDefault="0022178B" w:rsidP="00D25405">
      <w:pPr>
        <w:pStyle w:val="FootnoteText"/>
        <w:tabs>
          <w:tab w:val="left" w:pos="709"/>
        </w:tabs>
        <w:ind w:left="708" w:hangingChars="354" w:hanging="708"/>
        <w:jc w:val="both"/>
        <w:rPr>
          <w:rFonts w:ascii="Arial" w:hAnsi="Arial" w:cs="Arial"/>
          <w:lang w:eastAsia="zh-TW"/>
        </w:rPr>
      </w:pPr>
      <w:r w:rsidRPr="00181CF2">
        <w:rPr>
          <w:rStyle w:val="FootnoteReference"/>
          <w:rFonts w:ascii="Arial" w:hAnsi="Arial" w:cs="Arial"/>
          <w:vertAlign w:val="baseline"/>
        </w:rPr>
        <w:footnoteRef/>
      </w:r>
      <w:r w:rsidRPr="00181CF2">
        <w:rPr>
          <w:rFonts w:ascii="Arial" w:hAnsi="Arial" w:cs="Arial"/>
        </w:rPr>
        <w:t xml:space="preserve"> </w:t>
      </w:r>
      <w:r w:rsidRPr="0028108F">
        <w:rPr>
          <w:rFonts w:ascii="Arial" w:hAnsi="Arial" w:cs="Arial"/>
          <w:lang w:eastAsia="zh-TW"/>
        </w:rPr>
        <w:tab/>
      </w:r>
      <w:r w:rsidRPr="0028108F">
        <w:rPr>
          <w:rFonts w:ascii="Arial" w:hAnsi="Arial" w:cs="Arial"/>
          <w:lang w:val="en-GB" w:eastAsia="zh-TW"/>
        </w:rPr>
        <w:t>Same as above</w:t>
      </w:r>
      <w:r w:rsidRPr="00181CF2">
        <w:rPr>
          <w:rFonts w:ascii="Arial" w:hAnsi="Arial" w:cs="Arial"/>
          <w:lang w:val="en-GB"/>
        </w:rPr>
        <w:t>, at 653</w:t>
      </w:r>
      <w:r w:rsidRPr="0028108F">
        <w:rPr>
          <w:rFonts w:ascii="Arial" w:hAnsi="Arial" w:cs="Arial"/>
          <w:lang w:val="en-GB" w:eastAsia="zh-TW"/>
        </w:rPr>
        <w:t>-654.</w:t>
      </w:r>
    </w:p>
  </w:footnote>
  <w:footnote w:id="502">
    <w:p w:rsidR="0022178B" w:rsidRPr="0028108F" w:rsidRDefault="0022178B" w:rsidP="00D25405">
      <w:pPr>
        <w:pStyle w:val="FootnoteText"/>
        <w:tabs>
          <w:tab w:val="left" w:pos="709"/>
        </w:tabs>
        <w:ind w:left="708" w:hangingChars="354" w:hanging="708"/>
        <w:jc w:val="both"/>
        <w:rPr>
          <w:rFonts w:ascii="Arial" w:hAnsi="Arial" w:cs="Arial"/>
          <w:lang w:eastAsia="zh-TW"/>
        </w:rPr>
      </w:pPr>
      <w:r w:rsidRPr="0028108F">
        <w:rPr>
          <w:rStyle w:val="FootnoteReference"/>
          <w:rFonts w:ascii="Arial" w:hAnsi="Arial" w:cs="Arial"/>
          <w:vertAlign w:val="baseline"/>
        </w:rPr>
        <w:footnoteRef/>
      </w:r>
      <w:r w:rsidRPr="0028108F">
        <w:rPr>
          <w:rFonts w:ascii="Arial" w:hAnsi="Arial" w:cs="Arial"/>
        </w:rPr>
        <w:t xml:space="preserve"> </w:t>
      </w:r>
      <w:r w:rsidRPr="0028108F">
        <w:rPr>
          <w:rFonts w:ascii="Arial" w:hAnsi="Arial" w:cs="Arial"/>
          <w:lang w:eastAsia="zh-TW"/>
        </w:rPr>
        <w:tab/>
      </w:r>
      <w:r w:rsidRPr="0028108F">
        <w:rPr>
          <w:rFonts w:ascii="Arial" w:hAnsi="Arial" w:cs="Arial"/>
          <w:lang w:val="en-GB" w:eastAsia="zh-TW"/>
        </w:rPr>
        <w:t>Same as above</w:t>
      </w:r>
      <w:r w:rsidRPr="0028108F">
        <w:rPr>
          <w:rFonts w:ascii="Arial" w:hAnsi="Arial" w:cs="Arial"/>
          <w:lang w:val="en-GB"/>
        </w:rPr>
        <w:t xml:space="preserve">, at </w:t>
      </w:r>
      <w:r w:rsidRPr="0028108F">
        <w:rPr>
          <w:rFonts w:ascii="Arial" w:hAnsi="Arial" w:cs="Arial"/>
          <w:lang w:val="en-GB" w:eastAsia="zh-TW"/>
        </w:rPr>
        <w:t>652-</w:t>
      </w:r>
      <w:r w:rsidRPr="0028108F">
        <w:rPr>
          <w:rFonts w:ascii="Arial" w:hAnsi="Arial" w:cs="Arial"/>
          <w:lang w:val="en-GB"/>
        </w:rPr>
        <w:t>653</w:t>
      </w:r>
      <w:r w:rsidRPr="0028108F">
        <w:rPr>
          <w:rFonts w:ascii="Arial" w:hAnsi="Arial" w:cs="Arial"/>
          <w:lang w:val="en-GB" w:eastAsia="zh-TW"/>
        </w:rPr>
        <w:t>.</w:t>
      </w:r>
    </w:p>
  </w:footnote>
  <w:footnote w:id="503">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w:t>
      </w:r>
      <w:r w:rsidRPr="0028108F">
        <w:rPr>
          <w:rFonts w:ascii="Arial" w:hAnsi="Arial" w:cs="Arial"/>
          <w:lang w:val="en-GB" w:eastAsia="zh-TW"/>
        </w:rPr>
        <w:t>ame as above</w:t>
      </w:r>
      <w:r w:rsidRPr="0028108F">
        <w:rPr>
          <w:rFonts w:ascii="Arial" w:hAnsi="Arial" w:cs="Arial"/>
          <w:lang w:val="en-GB"/>
        </w:rPr>
        <w:t xml:space="preserve">, at 656. </w:t>
      </w:r>
    </w:p>
  </w:footnote>
  <w:footnote w:id="504">
    <w:p w:rsidR="0022178B" w:rsidRPr="0028108F" w:rsidRDefault="0022178B" w:rsidP="00A715E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Irish Gender Recognition Act 2015.  </w:t>
      </w:r>
    </w:p>
  </w:footnote>
  <w:footnote w:id="505">
    <w:p w:rsidR="0022178B" w:rsidRPr="0028108F" w:rsidRDefault="0022178B" w:rsidP="00A715E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In Denmark, the application for gender recognition needs to include a statement that the application is based on an experience of belonging to the other gender, but nothing further is required.</w:t>
      </w:r>
    </w:p>
  </w:footnote>
  <w:footnote w:id="506">
    <w:p w:rsidR="0022178B" w:rsidRPr="00C57CE1" w:rsidRDefault="0022178B" w:rsidP="003675EF">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[2015] </w:t>
      </w:r>
      <w:r w:rsidRPr="00F86CD8">
        <w:rPr>
          <w:rFonts w:ascii="Arial" w:hAnsi="Arial" w:cs="Arial"/>
          <w:lang w:val="en-GB"/>
        </w:rPr>
        <w:t>ECHR</w:t>
      </w:r>
      <w:r w:rsidRPr="00181CF2">
        <w:rPr>
          <w:rFonts w:ascii="Arial" w:hAnsi="Arial" w:cs="Arial"/>
          <w:lang w:val="en-GB"/>
        </w:rPr>
        <w:t xml:space="preserve"> 257 (10</w:t>
      </w:r>
      <w:r w:rsidRPr="00C57CE1">
        <w:rPr>
          <w:rFonts w:ascii="Arial" w:hAnsi="Arial" w:cs="Arial"/>
          <w:lang w:val="en-GB"/>
        </w:rPr>
        <w:t xml:space="preserve"> March 2015). </w:t>
      </w:r>
    </w:p>
  </w:footnote>
  <w:footnote w:id="507">
    <w:p w:rsidR="0022178B" w:rsidRPr="00181CF2" w:rsidRDefault="0022178B" w:rsidP="00767F2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eg</w:t>
      </w:r>
      <w:r w:rsidRPr="0028108F">
        <w:rPr>
          <w:rFonts w:ascii="Arial" w:hAnsi="Arial" w:cs="Arial"/>
          <w:lang w:val="en-GB" w:eastAsia="zh-TW"/>
        </w:rPr>
        <w:t>,</w:t>
      </w:r>
      <w:r w:rsidRPr="0028108F">
        <w:rPr>
          <w:rFonts w:ascii="Arial" w:hAnsi="Arial" w:cs="Arial"/>
          <w:lang w:val="en-GB"/>
        </w:rPr>
        <w:t xml:space="preserve"> Hines, S and Davy, Z, “Gender Diversity, Recognition and Citizenship: Exploring the Significance and Experiences of the UK Gender Recognition Act”</w:t>
      </w:r>
      <w:r w:rsidRPr="00181CF2">
        <w:rPr>
          <w:rFonts w:ascii="Arial" w:hAnsi="Arial" w:cs="Arial"/>
          <w:lang w:val="en-GB"/>
        </w:rPr>
        <w:t xml:space="preserve"> </w:t>
      </w:r>
      <w:r w:rsidRPr="0028108F">
        <w:rPr>
          <w:rFonts w:ascii="Arial" w:hAnsi="Arial" w:cs="Arial"/>
          <w:lang w:val="en-GB"/>
        </w:rPr>
        <w:t>(</w:t>
      </w:r>
      <w:r w:rsidRPr="0028108F">
        <w:rPr>
          <w:rFonts w:ascii="Arial" w:hAnsi="Arial" w:cs="Arial"/>
          <w:i/>
          <w:lang w:val="en-GB"/>
        </w:rPr>
        <w:t>University of Leeds and Economic &amp; Social Research Council</w:t>
      </w:r>
      <w:r w:rsidRPr="00181CF2">
        <w:rPr>
          <w:rFonts w:ascii="Arial" w:hAnsi="Arial" w:cs="Arial"/>
          <w:lang w:val="en-GB"/>
        </w:rPr>
        <w:t xml:space="preserve">, undated paper), at 8 and 16.  </w:t>
      </w:r>
    </w:p>
  </w:footnote>
  <w:footnote w:id="508">
    <w:p w:rsidR="0022178B" w:rsidRPr="0028108F" w:rsidRDefault="0022178B" w:rsidP="00767F2F">
      <w:pPr>
        <w:pStyle w:val="FootnoteText"/>
        <w:tabs>
          <w:tab w:val="left" w:pos="709"/>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at 656. </w:t>
      </w:r>
    </w:p>
  </w:footnote>
  <w:footnote w:id="509">
    <w:p w:rsidR="0022178B" w:rsidRPr="00C57CE1" w:rsidRDefault="0022178B" w:rsidP="00767F2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CCC Chan, “Prevalence of Psychiatric Morbidity in Chinese Subjects with Gender Identity Disorder in Hong Kong”</w:t>
      </w:r>
      <w:r w:rsidRPr="00181CF2">
        <w:rPr>
          <w:rFonts w:ascii="Arial" w:hAnsi="Arial" w:cs="Arial"/>
          <w:lang w:val="en-GB"/>
        </w:rPr>
        <w:t xml:space="preserve"> </w:t>
      </w:r>
      <w:r w:rsidRPr="00C57CE1">
        <w:rPr>
          <w:rFonts w:ascii="Arial" w:hAnsi="Arial" w:cs="Arial"/>
          <w:lang w:val="en-GB"/>
        </w:rPr>
        <w:t>(Unpublished thesis, fellowship examination, Hong Kong College of Psychiatrists, 2013).</w:t>
      </w:r>
    </w:p>
  </w:footnote>
  <w:footnote w:id="510">
    <w:p w:rsidR="0022178B" w:rsidRPr="0028108F" w:rsidRDefault="0022178B" w:rsidP="00FF741E">
      <w:pPr>
        <w:pStyle w:val="FootnoteText"/>
        <w:tabs>
          <w:tab w:val="left" w:pos="709"/>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5, 9 and 33.  Surgery is stated to be another effective option in this regard.</w:t>
      </w:r>
    </w:p>
  </w:footnote>
  <w:footnote w:id="511">
    <w:p w:rsidR="0022178B" w:rsidRPr="0028108F" w:rsidRDefault="0022178B" w:rsidP="008A27C8">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34.</w:t>
      </w:r>
    </w:p>
  </w:footnote>
  <w:footnote w:id="512">
    <w:p w:rsidR="0022178B" w:rsidRPr="0028108F" w:rsidRDefault="0022178B" w:rsidP="00051D6D">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 xml:space="preserve">WPATH, </w:t>
      </w:r>
      <w:r w:rsidRPr="008813DE">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w:t>
      </w:r>
      <w:r w:rsidRPr="0028108F">
        <w:rPr>
          <w:rFonts w:ascii="Arial" w:hAnsi="Arial" w:cs="Arial"/>
          <w:lang w:val="en-GB" w:eastAsia="zh-TW"/>
        </w:rPr>
        <w:t>60</w:t>
      </w:r>
      <w:r w:rsidRPr="0028108F">
        <w:rPr>
          <w:rFonts w:ascii="Arial" w:hAnsi="Arial" w:cs="Arial"/>
          <w:lang w:val="en-GB"/>
        </w:rPr>
        <w:t>.</w:t>
      </w:r>
    </w:p>
  </w:footnote>
  <w:footnote w:id="513">
    <w:p w:rsidR="0022178B" w:rsidRPr="0028108F" w:rsidRDefault="0022178B" w:rsidP="008A27C8">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36 to 38.</w:t>
      </w:r>
    </w:p>
  </w:footnote>
  <w:footnote w:id="514">
    <w:p w:rsidR="0022178B" w:rsidRPr="0028108F" w:rsidRDefault="0022178B" w:rsidP="008A27C8">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8 and 9.</w:t>
      </w:r>
    </w:p>
  </w:footnote>
  <w:footnote w:id="515">
    <w:p w:rsidR="0022178B" w:rsidRPr="0028108F" w:rsidRDefault="0022178B" w:rsidP="00BF0226">
      <w:pPr>
        <w:pStyle w:val="FootnoteText"/>
        <w:tabs>
          <w:tab w:val="left" w:pos="709"/>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 Winter, “Identity Recognition Without The Knife: Towards A Gender Reco</w:t>
      </w:r>
      <w:r>
        <w:rPr>
          <w:rFonts w:ascii="Arial" w:hAnsi="Arial" w:cs="Arial"/>
          <w:lang w:val="en-GB"/>
        </w:rPr>
        <w:t>gnition Ordinance For Hong Kong</w:t>
      </w:r>
      <w:r>
        <w:rPr>
          <w:rFonts w:ascii="Arial" w:hAnsi="Arial" w:cs="Arial"/>
          <w:lang w:val="en-GB" w:eastAsia="zh-TW"/>
        </w:rPr>
        <w:t>’</w:t>
      </w:r>
      <w:r w:rsidRPr="0028108F">
        <w:rPr>
          <w:rFonts w:ascii="Arial" w:hAnsi="Arial" w:cs="Arial"/>
          <w:lang w:val="en-GB"/>
        </w:rPr>
        <w:t>s Transsexual People”</w:t>
      </w:r>
      <w:r w:rsidRPr="0028108F">
        <w:rPr>
          <w:rFonts w:ascii="Arial" w:hAnsi="Arial" w:cs="Arial"/>
          <w:i/>
          <w:lang w:val="en-GB"/>
        </w:rPr>
        <w:t xml:space="preserve"> </w:t>
      </w:r>
      <w:r w:rsidRPr="0028108F">
        <w:rPr>
          <w:rFonts w:ascii="Arial" w:hAnsi="Arial" w:cs="Arial"/>
          <w:lang w:val="en-GB"/>
        </w:rPr>
        <w:t xml:space="preserve">(2014) </w:t>
      </w:r>
      <w:r>
        <w:rPr>
          <w:rFonts w:ascii="Arial" w:hAnsi="Arial" w:cs="Arial"/>
          <w:lang w:val="en-GB"/>
        </w:rPr>
        <w:t xml:space="preserve">44 </w:t>
      </w:r>
      <w:r w:rsidRPr="00F86CD8">
        <w:rPr>
          <w:rFonts w:ascii="Arial" w:hAnsi="Arial" w:cs="Arial"/>
          <w:lang w:val="en-GB"/>
        </w:rPr>
        <w:t>HKLJ</w:t>
      </w:r>
      <w:r w:rsidRPr="0028108F">
        <w:rPr>
          <w:rFonts w:ascii="Arial" w:hAnsi="Arial" w:cs="Arial"/>
          <w:i/>
          <w:lang w:val="en-GB"/>
        </w:rPr>
        <w:t xml:space="preserve"> </w:t>
      </w:r>
      <w:r w:rsidRPr="0028108F">
        <w:rPr>
          <w:rFonts w:ascii="Arial" w:hAnsi="Arial" w:cs="Arial"/>
          <w:lang w:val="en-GB"/>
        </w:rPr>
        <w:t>115, at 122.</w:t>
      </w:r>
    </w:p>
  </w:footnote>
  <w:footnote w:id="516">
    <w:p w:rsidR="0022178B" w:rsidRPr="0028108F" w:rsidRDefault="0022178B" w:rsidP="008A27C8">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39 and 40.</w:t>
      </w:r>
    </w:p>
  </w:footnote>
  <w:footnote w:id="517">
    <w:p w:rsidR="0022178B" w:rsidRPr="00181CF2" w:rsidRDefault="0022178B" w:rsidP="004B2E95">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 Winter, “Identity Recognition Without The Knife: Towards A Gender Recognition Ordinance For Hong Kong’s Transsexual People”</w:t>
      </w:r>
      <w:r w:rsidRPr="00181CF2">
        <w:rPr>
          <w:rFonts w:ascii="Arial" w:hAnsi="Arial" w:cs="Arial"/>
          <w:lang w:val="en-GB"/>
        </w:rPr>
        <w:t xml:space="preserve"> (2014) </w:t>
      </w:r>
      <w:r>
        <w:rPr>
          <w:rFonts w:ascii="Arial" w:hAnsi="Arial" w:cs="Arial"/>
          <w:lang w:val="en-GB"/>
        </w:rPr>
        <w:t xml:space="preserve">44 </w:t>
      </w:r>
      <w:r w:rsidRPr="00F86CD8">
        <w:rPr>
          <w:rFonts w:ascii="Arial" w:hAnsi="Arial" w:cs="Arial"/>
          <w:lang w:val="en-GB"/>
        </w:rPr>
        <w:t>HKLJ</w:t>
      </w:r>
      <w:r w:rsidRPr="00181CF2">
        <w:rPr>
          <w:rFonts w:ascii="Arial" w:hAnsi="Arial" w:cs="Arial"/>
          <w:lang w:val="en-GB"/>
        </w:rPr>
        <w:t xml:space="preserve"> 115, at 122.</w:t>
      </w:r>
    </w:p>
  </w:footnote>
  <w:footnote w:id="518">
    <w:p w:rsidR="0022178B" w:rsidRPr="0028108F" w:rsidRDefault="0022178B" w:rsidP="004B2E95">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650.</w:t>
      </w:r>
    </w:p>
  </w:footnote>
  <w:footnote w:id="519">
    <w:p w:rsidR="0022178B" w:rsidRPr="0028108F" w:rsidRDefault="0022178B" w:rsidP="004B2E95">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lang w:val="en-GB" w:eastAsia="zh-HK"/>
        </w:rPr>
        <w:t>Question 22, “What procedures should be followed and what supporting documents should be submitted if I want to change the sex entry on my identity card?” on</w:t>
      </w:r>
      <w:r>
        <w:rPr>
          <w:rFonts w:ascii="Arial" w:hAnsi="Arial" w:cs="Arial" w:hint="eastAsia"/>
          <w:lang w:val="en-GB" w:eastAsia="zh-HK"/>
        </w:rPr>
        <w:t xml:space="preserve"> the</w:t>
      </w:r>
      <w:r w:rsidRPr="0028108F">
        <w:rPr>
          <w:rFonts w:ascii="Arial" w:hAnsi="Arial" w:cs="Arial"/>
          <w:lang w:val="en-GB" w:eastAsia="zh-HK"/>
        </w:rPr>
        <w:t xml:space="preserve"> website</w:t>
      </w:r>
      <w:r w:rsidRPr="0028108F">
        <w:rPr>
          <w:rFonts w:ascii="Arial" w:hAnsi="Arial" w:cs="Arial"/>
          <w:lang w:val="en-GB"/>
        </w:rPr>
        <w:t xml:space="preserve"> of the Hong Kong Immigration Department, available at: </w:t>
      </w:r>
    </w:p>
    <w:p w:rsidR="0022178B" w:rsidRPr="0028108F" w:rsidRDefault="0022178B" w:rsidP="004B2E95">
      <w:pPr>
        <w:pStyle w:val="FootnoteText"/>
        <w:tabs>
          <w:tab w:val="left" w:pos="851"/>
        </w:tabs>
        <w:ind w:left="708" w:hangingChars="354" w:hanging="708"/>
        <w:jc w:val="both"/>
        <w:rPr>
          <w:rFonts w:ascii="Arial" w:hAnsi="Arial" w:cs="Arial"/>
          <w:lang w:val="en-GB" w:eastAsia="zh-HK"/>
        </w:rPr>
      </w:pPr>
      <w:r w:rsidRPr="0028108F">
        <w:rPr>
          <w:rFonts w:ascii="Arial" w:hAnsi="Arial" w:cs="Arial"/>
          <w:lang w:val="en-GB"/>
        </w:rPr>
        <w:tab/>
      </w:r>
      <w:hyperlink r:id="rId64" w:history="1">
        <w:r w:rsidRPr="0028108F">
          <w:rPr>
            <w:rStyle w:val="Hyperlink"/>
            <w:rFonts w:ascii="Arial" w:hAnsi="Arial" w:cs="Arial"/>
            <w:lang w:val="en-GB"/>
          </w:rPr>
          <w:t>http://www.immd.gov.hk/eng/faq/faq_hkic.html</w:t>
        </w:r>
      </w:hyperlink>
      <w:r w:rsidRPr="0028108F">
        <w:rPr>
          <w:rFonts w:ascii="Arial" w:hAnsi="Arial" w:cs="Arial"/>
          <w:lang w:val="en-GB"/>
        </w:rPr>
        <w:t xml:space="preserve">.  </w:t>
      </w:r>
    </w:p>
  </w:footnote>
  <w:footnote w:id="520">
    <w:p w:rsidR="0022178B" w:rsidRPr="0028108F" w:rsidRDefault="0022178B" w:rsidP="004B2E95">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hyperlink r:id="rId65" w:history="1">
        <w:r w:rsidRPr="0028108F">
          <w:rPr>
            <w:rFonts w:ascii="Arial" w:hAnsi="Arial" w:cs="Arial"/>
            <w:lang w:val="en-GB"/>
          </w:rPr>
          <w:t>Beverly L Miller</w:t>
        </w:r>
      </w:hyperlink>
      <w:r w:rsidRPr="0028108F">
        <w:rPr>
          <w:rFonts w:ascii="Arial" w:hAnsi="Arial" w:cs="Arial"/>
          <w:lang w:val="en-GB"/>
        </w:rPr>
        <w:t>, “Gender Identity: Disorders, Developmental Perspectives and Social Implications”</w:t>
      </w:r>
      <w:r w:rsidRPr="00181CF2">
        <w:rPr>
          <w:rFonts w:ascii="Arial" w:hAnsi="Arial" w:cs="Arial"/>
          <w:lang w:val="en-GB"/>
        </w:rPr>
        <w:t>,</w:t>
      </w:r>
      <w:r w:rsidRPr="00C57CE1">
        <w:rPr>
          <w:rFonts w:ascii="Arial" w:hAnsi="Arial" w:cs="Arial"/>
          <w:lang w:val="en-GB"/>
        </w:rPr>
        <w:t xml:space="preserve"> </w:t>
      </w:r>
      <w:r w:rsidRPr="00B25672">
        <w:rPr>
          <w:rFonts w:ascii="Arial" w:hAnsi="Arial" w:cs="Arial"/>
          <w:lang w:val="en-GB"/>
        </w:rPr>
        <w:t>Nova Science</w:t>
      </w:r>
      <w:r w:rsidRPr="00CA234A">
        <w:rPr>
          <w:rFonts w:ascii="Arial" w:hAnsi="Arial" w:cs="Arial"/>
          <w:lang w:val="en-GB"/>
        </w:rPr>
        <w:t xml:space="preserve"> Publishers</w:t>
      </w:r>
      <w:r w:rsidRPr="00181CF2">
        <w:rPr>
          <w:rFonts w:ascii="Arial" w:hAnsi="Arial" w:cs="Arial"/>
          <w:lang w:val="en-GB"/>
        </w:rPr>
        <w:t xml:space="preserve">, Incorporated, 1 Jan 2014, which examines, </w:t>
      </w:r>
      <w:r w:rsidRPr="00C57CE1">
        <w:rPr>
          <w:rFonts w:ascii="Arial" w:hAnsi="Arial" w:cs="Arial"/>
          <w:i/>
          <w:lang w:val="en-GB"/>
        </w:rPr>
        <w:t>in</w:t>
      </w:r>
      <w:r w:rsidRPr="0028108F">
        <w:rPr>
          <w:rFonts w:ascii="Arial" w:hAnsi="Arial" w:cs="Arial"/>
          <w:i/>
          <w:lang w:val="en-GB"/>
        </w:rPr>
        <w:t>ter alia</w:t>
      </w:r>
      <w:r w:rsidRPr="0028108F">
        <w:rPr>
          <w:rFonts w:ascii="Arial" w:hAnsi="Arial" w:cs="Arial"/>
          <w:lang w:val="en-GB"/>
        </w:rPr>
        <w:t>, gender identity along with developmental perspectives and social implications.</w:t>
      </w:r>
    </w:p>
  </w:footnote>
  <w:footnote w:id="521">
    <w:p w:rsidR="0022178B" w:rsidRPr="0028108F" w:rsidRDefault="0022178B" w:rsidP="004B2E95">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181CF2">
        <w:rPr>
          <w:rFonts w:ascii="Arial" w:hAnsi="Arial" w:cs="Arial"/>
          <w:lang w:val="en-GB"/>
        </w:rPr>
        <w:t xml:space="preserve"> (</w:t>
      </w:r>
      <w:r w:rsidRPr="00C57CE1">
        <w:rPr>
          <w:rFonts w:ascii="Arial" w:hAnsi="Arial" w:cs="Arial"/>
          <w:lang w:val="en-GB"/>
        </w:rPr>
        <w:t>in Chinese, transliterated as “Homosexuality and Transsexualism – Commenting on Homosexual Movement and Transsexual Marri</w:t>
      </w:r>
      <w:r w:rsidRPr="0028108F">
        <w:rPr>
          <w:rFonts w:ascii="Arial" w:hAnsi="Arial" w:cs="Arial"/>
          <w:lang w:val="en-GB"/>
        </w:rPr>
        <w:t>age”), June 2015, at 281.</w:t>
      </w:r>
    </w:p>
  </w:footnote>
  <w:footnote w:id="522">
    <w:p w:rsidR="0022178B" w:rsidRPr="0028108F" w:rsidRDefault="0022178B" w:rsidP="0075667E">
      <w:pPr>
        <w:pStyle w:val="FootnoteText"/>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news</w:t>
      </w:r>
      <w:r w:rsidRPr="00181CF2">
        <w:rPr>
          <w:rFonts w:ascii="Arial" w:hAnsi="Arial" w:cs="Arial"/>
          <w:lang w:val="en-GB"/>
        </w:rPr>
        <w:t xml:space="preserve"> report </w:t>
      </w:r>
      <w:r>
        <w:rPr>
          <w:rFonts w:ascii="Arial" w:hAnsi="Arial" w:cs="Arial"/>
          <w:lang w:val="en-GB"/>
        </w:rPr>
        <w:t>of</w:t>
      </w:r>
      <w:r w:rsidRPr="0028108F">
        <w:rPr>
          <w:rFonts w:ascii="Arial" w:hAnsi="Arial" w:cs="Arial"/>
          <w:lang w:val="en-GB"/>
        </w:rPr>
        <w:t xml:space="preserve"> </w:t>
      </w:r>
      <w:r w:rsidRPr="008813DE">
        <w:rPr>
          <w:rFonts w:ascii="Arial" w:hAnsi="Arial" w:cs="Arial"/>
          <w:i/>
          <w:lang w:val="en-GB"/>
        </w:rPr>
        <w:t xml:space="preserve">Daily </w:t>
      </w:r>
      <w:r w:rsidRPr="0028108F">
        <w:rPr>
          <w:rFonts w:ascii="Arial" w:hAnsi="Arial" w:cs="Arial"/>
          <w:i/>
          <w:lang w:val="en-GB"/>
        </w:rPr>
        <w:t>Mail Online</w:t>
      </w:r>
      <w:r w:rsidRPr="00181CF2">
        <w:rPr>
          <w:rFonts w:ascii="Arial" w:hAnsi="Arial" w:cs="Arial"/>
          <w:lang w:val="en-GB"/>
        </w:rPr>
        <w:t xml:space="preserve">, 24 May 2008, </w:t>
      </w:r>
      <w:r w:rsidRPr="00C57CE1">
        <w:rPr>
          <w:rFonts w:ascii="Arial" w:hAnsi="Arial" w:cs="Arial"/>
          <w:lang w:val="en-GB"/>
        </w:rPr>
        <w:t>“</w:t>
      </w:r>
      <w:r w:rsidRPr="0028108F">
        <w:rPr>
          <w:rFonts w:ascii="Arial" w:hAnsi="Arial" w:cs="Arial"/>
          <w:lang w:val="en-GB"/>
        </w:rPr>
        <w:t>How will the pregnant man’s daughter thank him for this breathtakingly cynical – and profitable – foray into gay rights”</w:t>
      </w:r>
      <w:r w:rsidRPr="00181CF2">
        <w:rPr>
          <w:rFonts w:ascii="Arial" w:hAnsi="Arial" w:cs="Arial"/>
          <w:lang w:val="en-GB"/>
        </w:rPr>
        <w:t>,</w:t>
      </w:r>
      <w:r w:rsidRPr="00C57CE1">
        <w:rPr>
          <w:rFonts w:ascii="Arial" w:hAnsi="Arial" w:cs="Arial"/>
          <w:lang w:val="en-GB"/>
        </w:rPr>
        <w:t xml:space="preserve"> ava</w:t>
      </w:r>
      <w:r w:rsidRPr="0028108F">
        <w:rPr>
          <w:rFonts w:ascii="Arial" w:hAnsi="Arial" w:cs="Arial"/>
          <w:lang w:val="en-GB"/>
        </w:rPr>
        <w:t>ilable at:</w:t>
      </w:r>
    </w:p>
    <w:p w:rsidR="0022178B" w:rsidRPr="0028108F" w:rsidRDefault="0022178B" w:rsidP="0075667E">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66" w:history="1">
        <w:r w:rsidRPr="0028108F">
          <w:rPr>
            <w:rStyle w:val="Hyperlink"/>
            <w:rFonts w:ascii="Arial" w:hAnsi="Arial" w:cs="Arial"/>
            <w:lang w:val="en-GB"/>
          </w:rPr>
          <w:t>http://www.dailymail.co.uk/femail/article-1021557/How-pregnant-mans-daughter-thank-breathtakingly-cynical--profitable--foray-gay-rights.html</w:t>
        </w:r>
      </w:hyperlink>
      <w:r w:rsidRPr="0028108F">
        <w:rPr>
          <w:rFonts w:ascii="Arial" w:hAnsi="Arial" w:cs="Arial"/>
          <w:lang w:val="en-GB"/>
        </w:rPr>
        <w:t>.  It was reported that psychoanalysts had expressed concern that the child could be deeply confused over the question: “</w:t>
      </w:r>
      <w:r w:rsidRPr="0028108F">
        <w:rPr>
          <w:rFonts w:ascii="Arial" w:hAnsi="Arial" w:cs="Arial"/>
          <w:i/>
          <w:lang w:val="en-GB"/>
        </w:rPr>
        <w:t>Where am I from?</w:t>
      </w:r>
      <w:r w:rsidRPr="00181CF2">
        <w:rPr>
          <w:rFonts w:ascii="Arial" w:hAnsi="Arial" w:cs="Arial"/>
          <w:lang w:val="en-GB"/>
        </w:rPr>
        <w:t xml:space="preserve">”  Nevertheless, Thomas Beatie </w:t>
      </w:r>
      <w:r w:rsidRPr="0028108F">
        <w:rPr>
          <w:rFonts w:ascii="Arial" w:hAnsi="Arial" w:cs="Arial"/>
          <w:lang w:val="en-GB"/>
        </w:rPr>
        <w:t>expressed that child-bearing is no longer the domain of women, it is now a man</w:t>
      </w:r>
      <w:r>
        <w:rPr>
          <w:rFonts w:ascii="Arial" w:hAnsi="Arial" w:cs="Arial"/>
          <w:lang w:val="en-GB"/>
        </w:rPr>
        <w:t>’</w:t>
      </w:r>
      <w:r w:rsidRPr="0028108F">
        <w:rPr>
          <w:rFonts w:ascii="Arial" w:hAnsi="Arial" w:cs="Arial"/>
          <w:lang w:val="en-GB"/>
        </w:rPr>
        <w:t xml:space="preserve">s entitlement, too. </w:t>
      </w:r>
    </w:p>
  </w:footnote>
  <w:footnote w:id="523">
    <w:p w:rsidR="0022178B" w:rsidRPr="00181CF2" w:rsidRDefault="0022178B" w:rsidP="0075667E">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Related media articles appearing in July 2008: “When daddy is also the mommy”, </w:t>
      </w:r>
      <w:r w:rsidRPr="0028108F">
        <w:rPr>
          <w:rFonts w:ascii="Arial" w:hAnsi="Arial" w:cs="Arial"/>
          <w:i/>
          <w:lang w:val="en-GB"/>
        </w:rPr>
        <w:t>The Boston Globe</w:t>
      </w:r>
      <w:r w:rsidRPr="0028108F">
        <w:rPr>
          <w:rFonts w:ascii="Arial" w:hAnsi="Arial" w:cs="Arial"/>
          <w:lang w:val="en-GB"/>
        </w:rPr>
        <w:t xml:space="preserve">; “Man Is Six Months Pregnant,” </w:t>
      </w:r>
      <w:r w:rsidRPr="0028108F">
        <w:rPr>
          <w:rFonts w:ascii="Arial" w:hAnsi="Arial" w:cs="Arial"/>
          <w:i/>
          <w:lang w:val="en-GB"/>
        </w:rPr>
        <w:t xml:space="preserve">CBS </w:t>
      </w:r>
      <w:r w:rsidRPr="00181CF2">
        <w:rPr>
          <w:rFonts w:ascii="Arial" w:hAnsi="Arial" w:cs="Arial"/>
          <w:i/>
          <w:lang w:val="en-GB"/>
        </w:rPr>
        <w:t>N</w:t>
      </w:r>
      <w:r w:rsidRPr="0028108F">
        <w:rPr>
          <w:rFonts w:ascii="Arial" w:hAnsi="Arial" w:cs="Arial"/>
          <w:i/>
          <w:lang w:val="en-GB"/>
        </w:rPr>
        <w:t>ews</w:t>
      </w:r>
      <w:r w:rsidRPr="00C57CE1">
        <w:rPr>
          <w:rFonts w:ascii="Arial" w:hAnsi="Arial" w:cs="Arial"/>
          <w:lang w:val="en-GB"/>
        </w:rPr>
        <w:t>;</w:t>
      </w:r>
      <w:r w:rsidRPr="0028108F">
        <w:rPr>
          <w:rFonts w:ascii="Arial" w:hAnsi="Arial" w:cs="Arial"/>
          <w:lang w:val="en-GB"/>
        </w:rPr>
        <w:t xml:space="preserve"> “The Pregnant Man Speaks Out,” </w:t>
      </w:r>
      <w:r w:rsidRPr="0028108F">
        <w:rPr>
          <w:rFonts w:ascii="Arial" w:hAnsi="Arial" w:cs="Arial"/>
          <w:i/>
          <w:lang w:val="en-GB"/>
        </w:rPr>
        <w:t>People Magazine</w:t>
      </w:r>
      <w:r w:rsidRPr="00C57CE1">
        <w:rPr>
          <w:rFonts w:ascii="Arial" w:hAnsi="Arial" w:cs="Arial"/>
          <w:lang w:val="en-GB"/>
        </w:rPr>
        <w:t>;</w:t>
      </w:r>
      <w:r w:rsidRPr="0028108F">
        <w:rPr>
          <w:rFonts w:ascii="Arial" w:hAnsi="Arial" w:cs="Arial"/>
          <w:lang w:val="en-GB"/>
        </w:rPr>
        <w:t xml:space="preserve"> “Pregnant Man Is Feeling Swell,” </w:t>
      </w:r>
      <w:r w:rsidRPr="0028108F">
        <w:rPr>
          <w:rFonts w:ascii="Arial" w:hAnsi="Arial" w:cs="Arial"/>
          <w:i/>
          <w:lang w:val="en-GB"/>
        </w:rPr>
        <w:t>New York Post</w:t>
      </w:r>
      <w:r w:rsidRPr="00C57CE1">
        <w:rPr>
          <w:rFonts w:ascii="Arial" w:hAnsi="Arial" w:cs="Arial"/>
          <w:lang w:val="en-GB"/>
        </w:rPr>
        <w:t>;</w:t>
      </w:r>
      <w:r w:rsidRPr="0028108F">
        <w:rPr>
          <w:rFonts w:ascii="Arial" w:hAnsi="Arial" w:cs="Arial"/>
          <w:lang w:val="en-GB"/>
        </w:rPr>
        <w:t xml:space="preserve"> “‘It’s My Right to Have Kid,’ Pregnant Man Tells Oprah”</w:t>
      </w:r>
      <w:r w:rsidRPr="00181CF2">
        <w:rPr>
          <w:rFonts w:ascii="Arial" w:hAnsi="Arial" w:cs="Arial"/>
          <w:lang w:val="en-GB"/>
        </w:rPr>
        <w:t xml:space="preserve"> </w:t>
      </w:r>
      <w:r w:rsidRPr="00C57CE1">
        <w:rPr>
          <w:rFonts w:ascii="Arial" w:hAnsi="Arial" w:cs="Arial"/>
          <w:i/>
          <w:lang w:val="en-GB"/>
        </w:rPr>
        <w:t>ABC News</w:t>
      </w:r>
      <w:r w:rsidRPr="0028108F">
        <w:rPr>
          <w:rFonts w:ascii="Arial" w:hAnsi="Arial" w:cs="Arial"/>
          <w:i/>
          <w:lang w:val="en-GB"/>
        </w:rPr>
        <w:t>;</w:t>
      </w:r>
      <w:r w:rsidRPr="0028108F">
        <w:rPr>
          <w:rFonts w:ascii="Arial" w:hAnsi="Arial" w:cs="Arial"/>
          <w:lang w:val="en-GB"/>
        </w:rPr>
        <w:t xml:space="preserve"> “She’s Pregnant, but She’s a Man,”</w:t>
      </w:r>
      <w:r w:rsidRPr="00181CF2">
        <w:rPr>
          <w:rFonts w:ascii="Arial" w:hAnsi="Arial" w:cs="Arial"/>
          <w:lang w:val="en-GB"/>
        </w:rPr>
        <w:t xml:space="preserve"> </w:t>
      </w:r>
      <w:r w:rsidRPr="0028108F">
        <w:rPr>
          <w:rFonts w:ascii="Arial" w:hAnsi="Arial" w:cs="Arial"/>
          <w:i/>
          <w:lang w:val="en-GB"/>
        </w:rPr>
        <w:t>Sydney Morning Herald</w:t>
      </w:r>
      <w:r w:rsidRPr="00181CF2">
        <w:rPr>
          <w:rFonts w:ascii="Arial" w:hAnsi="Arial" w:cs="Arial"/>
          <w:i/>
          <w:lang w:val="en-GB"/>
        </w:rPr>
        <w:t>;</w:t>
      </w:r>
      <w:r w:rsidRPr="0028108F">
        <w:rPr>
          <w:rFonts w:ascii="Arial" w:hAnsi="Arial" w:cs="Arial"/>
          <w:lang w:val="en-GB"/>
        </w:rPr>
        <w:t xml:space="preserve"> “Pregnant, yes—but not a man”, </w:t>
      </w:r>
      <w:r w:rsidRPr="0028108F">
        <w:rPr>
          <w:rFonts w:ascii="Arial" w:hAnsi="Arial" w:cs="Arial"/>
          <w:i/>
          <w:lang w:val="en-GB"/>
        </w:rPr>
        <w:t>International Herald Tribune</w:t>
      </w:r>
      <w:r w:rsidRPr="00181CF2">
        <w:rPr>
          <w:rFonts w:ascii="Arial" w:hAnsi="Arial" w:cs="Arial"/>
          <w:lang w:val="en-GB"/>
        </w:rPr>
        <w:t>.</w:t>
      </w:r>
    </w:p>
  </w:footnote>
  <w:footnote w:id="524">
    <w:p w:rsidR="0022178B" w:rsidRPr="0028108F" w:rsidRDefault="0022178B" w:rsidP="0075667E">
      <w:pPr>
        <w:pStyle w:val="FootnoteText"/>
        <w:tabs>
          <w:tab w:val="left" w:pos="851"/>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the UK Home Office, </w:t>
      </w:r>
      <w:r w:rsidRPr="0028108F">
        <w:rPr>
          <w:rFonts w:ascii="Arial" w:hAnsi="Arial" w:cs="Arial"/>
          <w:i/>
          <w:lang w:val="en-GB"/>
        </w:rPr>
        <w:t>Report of the Interdepartmental Working Group on Transsexual People</w:t>
      </w:r>
      <w:r w:rsidRPr="0028108F">
        <w:rPr>
          <w:rFonts w:ascii="Arial" w:hAnsi="Arial" w:cs="Arial"/>
          <w:lang w:val="en-GB"/>
        </w:rPr>
        <w:t xml:space="preserve"> (April 2000), at paragraph 4.14 (available at: </w:t>
      </w:r>
    </w:p>
    <w:p w:rsidR="0022178B" w:rsidRPr="0028108F" w:rsidRDefault="0022178B" w:rsidP="0075667E">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67" w:history="1">
        <w:r w:rsidRPr="008813DE">
          <w:rPr>
            <w:rStyle w:val="Hyperlink"/>
            <w:rFonts w:ascii="Arial" w:hAnsi="Arial" w:cs="Arial"/>
            <w:lang w:val="en-GB"/>
          </w:rPr>
          <w:t>http://www.dca.gov.uk/constitution/transsex/wgtrans.pdf</w:t>
        </w:r>
      </w:hyperlink>
      <w:r w:rsidRPr="00181CF2">
        <w:rPr>
          <w:rFonts w:ascii="Arial" w:hAnsi="Arial" w:cs="Arial"/>
          <w:lang w:val="en-GB"/>
        </w:rPr>
        <w:t>).</w:t>
      </w:r>
      <w:r w:rsidRPr="00C57CE1">
        <w:rPr>
          <w:rFonts w:ascii="Arial" w:hAnsi="Arial" w:cs="Arial"/>
          <w:lang w:val="en-GB" w:eastAsia="zh-TW"/>
        </w:rPr>
        <w:t xml:space="preserve"> </w:t>
      </w:r>
    </w:p>
  </w:footnote>
  <w:footnote w:id="525">
    <w:p w:rsidR="0022178B" w:rsidRPr="00C57CE1" w:rsidRDefault="0022178B" w:rsidP="0075667E">
      <w:pPr>
        <w:pStyle w:val="FootnoteText"/>
        <w:tabs>
          <w:tab w:val="left" w:pos="755"/>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International Business Times</w:t>
      </w:r>
      <w:r w:rsidRPr="0028108F">
        <w:rPr>
          <w:rFonts w:ascii="Arial" w:hAnsi="Arial" w:cs="Arial"/>
          <w:lang w:val="en-GB"/>
        </w:rPr>
        <w:t>, “More Than 50 Australian Men Got Pregnant, Gave Birth to Babies in 2013</w:t>
      </w:r>
      <w:r w:rsidRPr="00181CF2">
        <w:rPr>
          <w:rFonts w:ascii="Arial" w:hAnsi="Arial" w:cs="Arial"/>
          <w:i/>
          <w:lang w:val="en-GB"/>
        </w:rPr>
        <w:t xml:space="preserve">, </w:t>
      </w:r>
      <w:r w:rsidRPr="0028108F">
        <w:rPr>
          <w:rFonts w:ascii="Arial" w:hAnsi="Arial" w:cs="Arial"/>
          <w:lang w:val="en-GB"/>
        </w:rPr>
        <w:t>Advocate Predicts Trend to Last</w:t>
      </w:r>
      <w:r w:rsidRPr="00181CF2">
        <w:rPr>
          <w:rFonts w:ascii="Arial" w:hAnsi="Arial" w:cs="Arial"/>
          <w:i/>
          <w:lang w:val="en-GB"/>
        </w:rPr>
        <w:t>”</w:t>
      </w:r>
      <w:r w:rsidRPr="00C57CE1">
        <w:rPr>
          <w:rFonts w:ascii="Arial" w:hAnsi="Arial" w:cs="Arial"/>
          <w:lang w:val="en-GB"/>
        </w:rPr>
        <w:t>, 19 November 2014.</w:t>
      </w:r>
    </w:p>
  </w:footnote>
  <w:footnote w:id="526">
    <w:p w:rsidR="0022178B" w:rsidRPr="00C57CE1" w:rsidRDefault="0022178B" w:rsidP="00813FAE">
      <w:pPr>
        <w:pStyle w:val="FootnoteText"/>
        <w:tabs>
          <w:tab w:val="left" w:pos="755"/>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Kwan Kai-man, </w:t>
      </w:r>
      <w:r w:rsidRPr="008A52C7">
        <w:rPr>
          <w:rFonts w:ascii="Arial" w:hAnsi="Arial" w:cs="Arial" w:hint="eastAsia"/>
          <w:i/>
          <w:lang w:val="en-GB"/>
        </w:rPr>
        <w:t>同性與變性</w:t>
      </w:r>
      <w:r w:rsidRPr="008A52C7">
        <w:rPr>
          <w:rFonts w:ascii="Arial" w:hAnsi="Arial" w:cs="Arial"/>
          <w:i/>
          <w:lang w:val="en-GB"/>
        </w:rPr>
        <w:t xml:space="preserve"> – </w:t>
      </w:r>
      <w:r w:rsidRPr="008A52C7">
        <w:rPr>
          <w:rFonts w:ascii="Arial" w:hAnsi="Arial" w:cs="Arial" w:hint="eastAsia"/>
          <w:i/>
          <w:lang w:val="en-GB"/>
        </w:rPr>
        <w:t>評價同性戀運動和變性人婚姻</w:t>
      </w:r>
      <w:r w:rsidRPr="00181CF2">
        <w:rPr>
          <w:rFonts w:ascii="Arial" w:hAnsi="Arial" w:cs="Arial"/>
          <w:lang w:val="en-GB"/>
        </w:rPr>
        <w:t xml:space="preserve"> (</w:t>
      </w:r>
      <w:r w:rsidRPr="00C57CE1">
        <w:rPr>
          <w:rFonts w:ascii="Arial" w:hAnsi="Arial" w:cs="Arial"/>
          <w:lang w:val="en-GB"/>
        </w:rPr>
        <w:t>in Chinese, transliterated as “Homosexuality and Transsexualism – Commenting on Homosexual Movement and Transsexual Marri</w:t>
      </w:r>
      <w:r w:rsidRPr="0028108F">
        <w:rPr>
          <w:rFonts w:ascii="Arial" w:hAnsi="Arial" w:cs="Arial"/>
          <w:lang w:val="en-GB"/>
        </w:rPr>
        <w:t>age”), June 2015</w:t>
      </w:r>
      <w:r>
        <w:rPr>
          <w:rFonts w:ascii="Arial" w:hAnsi="Arial" w:cs="Arial" w:hint="eastAsia"/>
          <w:lang w:val="en-GB" w:eastAsia="zh-TW"/>
        </w:rPr>
        <w:t>,</w:t>
      </w:r>
      <w:r w:rsidRPr="00181CF2">
        <w:rPr>
          <w:rFonts w:ascii="Arial" w:hAnsi="Arial" w:cs="Arial"/>
          <w:i/>
          <w:lang w:val="en-GB"/>
        </w:rPr>
        <w:t xml:space="preserve"> </w:t>
      </w:r>
      <w:r w:rsidRPr="00C57CE1">
        <w:rPr>
          <w:rFonts w:ascii="Arial" w:hAnsi="Arial" w:cs="Arial"/>
          <w:lang w:val="en-GB"/>
        </w:rPr>
        <w:t>at 281</w:t>
      </w:r>
      <w:r>
        <w:rPr>
          <w:rFonts w:ascii="Arial" w:hAnsi="Arial" w:cs="Arial" w:hint="eastAsia"/>
          <w:lang w:val="en-GB" w:eastAsia="zh-TW"/>
        </w:rPr>
        <w:t xml:space="preserve"> to </w:t>
      </w:r>
      <w:r w:rsidRPr="00C57CE1">
        <w:rPr>
          <w:rFonts w:ascii="Arial" w:hAnsi="Arial" w:cs="Arial"/>
          <w:lang w:val="en-GB"/>
        </w:rPr>
        <w:t>282.</w:t>
      </w:r>
    </w:p>
  </w:footnote>
  <w:footnote w:id="527">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eg, the views expressed by Mr Choi Chi-sum of the Society for Truth and Light, available at:</w:t>
      </w:r>
    </w:p>
    <w:p w:rsidR="0022178B" w:rsidRPr="00C57CE1"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68" w:history="1">
        <w:r w:rsidRPr="0028108F">
          <w:rPr>
            <w:rStyle w:val="Hyperlink"/>
            <w:rFonts w:ascii="Arial" w:hAnsi="Arial" w:cs="Arial"/>
            <w:lang w:val="en-GB"/>
          </w:rPr>
          <w:t>https://glbtnewsarchives.wordpress.com/tag/choi-chi-sum-%E8%94%A1%E5%BF%97%E6%A3%AE/</w:t>
        </w:r>
      </w:hyperlink>
      <w:r w:rsidRPr="0028108F">
        <w:rPr>
          <w:rFonts w:ascii="Arial" w:hAnsi="Arial" w:cs="Arial"/>
          <w:lang w:val="en-GB"/>
        </w:rPr>
        <w:t>.  See also 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 J Gender &amp; L</w:t>
      </w:r>
      <w:r w:rsidRPr="00181CF2">
        <w:rPr>
          <w:rFonts w:ascii="Arial" w:hAnsi="Arial" w:cs="Arial"/>
          <w:lang w:val="en-GB"/>
        </w:rPr>
        <w:t xml:space="preserve"> 373 (2013), at 417.</w:t>
      </w:r>
    </w:p>
  </w:footnote>
  <w:footnote w:id="528">
    <w:p w:rsidR="0022178B" w:rsidRPr="00C57CE1"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 J Gender &amp; L</w:t>
      </w:r>
      <w:r w:rsidRPr="00C57CE1">
        <w:rPr>
          <w:rFonts w:ascii="Arial" w:hAnsi="Arial" w:cs="Arial"/>
          <w:lang w:val="en-GB"/>
        </w:rPr>
        <w:t xml:space="preserve"> 373 (2013), at 417.</w:t>
      </w:r>
    </w:p>
  </w:footnote>
  <w:footnote w:id="529">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One example is Dr Hong Kwai-wah’s submissions to the Bills Committee on Marriage (Amendment) Bill 2014, LC Paper No. CB(2)1309/13-14(20), available at: </w:t>
      </w:r>
    </w:p>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69" w:history="1">
        <w:r w:rsidRPr="0028108F">
          <w:rPr>
            <w:rStyle w:val="Hyperlink"/>
            <w:rFonts w:ascii="Arial" w:hAnsi="Arial" w:cs="Arial"/>
            <w:lang w:val="en-GB"/>
          </w:rPr>
          <w:t>http://www.legco.gov.hk/yr13-14/chinese/bc/bc52/papers/bc520423cb2-1309-20-c.pdf</w:t>
        </w:r>
      </w:hyperlink>
      <w:r w:rsidRPr="0028108F">
        <w:rPr>
          <w:rFonts w:ascii="Arial" w:hAnsi="Arial" w:cs="Arial"/>
          <w:lang w:val="en-GB"/>
        </w:rPr>
        <w:t>.</w:t>
      </w:r>
    </w:p>
  </w:footnote>
  <w:footnote w:id="530">
    <w:p w:rsidR="0022178B" w:rsidRPr="00C57CE1"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Daily Mail Online</w:t>
      </w:r>
      <w:r w:rsidRPr="0028108F">
        <w:rPr>
          <w:rFonts w:ascii="Arial" w:hAnsi="Arial" w:cs="Arial"/>
          <w:lang w:val="en-GB"/>
        </w:rPr>
        <w:t>,</w:t>
      </w:r>
      <w:r w:rsidRPr="0028108F">
        <w:rPr>
          <w:rFonts w:ascii="Arial" w:hAnsi="Arial" w:cs="Arial"/>
          <w:i/>
          <w:lang w:val="en-GB"/>
        </w:rPr>
        <w:t xml:space="preserve"> </w:t>
      </w:r>
      <w:r w:rsidRPr="0028108F">
        <w:rPr>
          <w:rFonts w:ascii="Arial" w:hAnsi="Arial" w:cs="Arial"/>
          <w:lang w:val="en-GB"/>
        </w:rPr>
        <w:t>“Parents</w:t>
      </w:r>
      <w:r w:rsidRPr="00181CF2">
        <w:rPr>
          <w:rFonts w:ascii="Arial" w:hAnsi="Arial" w:cs="Arial"/>
          <w:lang w:val="en-GB" w:eastAsia="zh-TW"/>
        </w:rPr>
        <w:t>’</w:t>
      </w:r>
      <w:r w:rsidRPr="0028108F">
        <w:rPr>
          <w:rFonts w:ascii="Arial" w:hAnsi="Arial" w:cs="Arial"/>
          <w:lang w:val="en-GB"/>
        </w:rPr>
        <w:t xml:space="preserve"> outrage as transgendered woman is permitted to use the women's locker room </w:t>
      </w:r>
      <w:r w:rsidRPr="00181CF2">
        <w:rPr>
          <w:rFonts w:ascii="Arial" w:hAnsi="Arial" w:cs="Arial"/>
          <w:lang w:val="en-GB" w:eastAsia="zh-TW"/>
        </w:rPr>
        <w:t>‘</w:t>
      </w:r>
      <w:r w:rsidRPr="0028108F">
        <w:rPr>
          <w:rFonts w:ascii="Arial" w:hAnsi="Arial" w:cs="Arial"/>
          <w:lang w:val="en-GB"/>
        </w:rPr>
        <w:t>exposing himself to little girls’”</w:t>
      </w:r>
      <w:r w:rsidRPr="00181CF2">
        <w:rPr>
          <w:rFonts w:ascii="Arial" w:hAnsi="Arial" w:cs="Arial"/>
          <w:i/>
          <w:lang w:val="en-GB"/>
        </w:rPr>
        <w:t>,</w:t>
      </w:r>
      <w:r w:rsidRPr="00C57CE1">
        <w:rPr>
          <w:rFonts w:ascii="Arial" w:hAnsi="Arial" w:cs="Arial"/>
          <w:lang w:val="en-GB"/>
        </w:rPr>
        <w:t xml:space="preserve"> 4 November 2012.   </w:t>
      </w:r>
    </w:p>
  </w:footnote>
  <w:footnote w:id="531">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Wash. Rev. Code § 9A.88.010.  It is provided that a conviction for indecent exposure would require proving that the person concerned subjectively and “</w:t>
      </w:r>
      <w:r w:rsidRPr="0028108F">
        <w:rPr>
          <w:rFonts w:ascii="Arial" w:hAnsi="Arial" w:cs="Arial"/>
          <w:i/>
          <w:lang w:val="en-GB"/>
        </w:rPr>
        <w:t>intentionally ma[de] any open and obscene exposure of his or her person … knowing that such conduct [wa]s likely to cause reasonable affront or alarm</w:t>
      </w:r>
      <w:r w:rsidRPr="0028108F">
        <w:rPr>
          <w:rFonts w:ascii="Arial" w:hAnsi="Arial" w:cs="Arial"/>
          <w:lang w:val="en-GB"/>
        </w:rPr>
        <w:t>.”</w:t>
      </w:r>
    </w:p>
  </w:footnote>
  <w:footnote w:id="532">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Washington’s administrative policy for changing a person’s gender designation on a birth certificate does not impose a surgical requirement on the applicants.  It requires a signed original statement from the applicant’s licensed healthcare provider stating that the applicant has undergone surgical, hormonal or other treatment appropriate for him/her for the purpose of gender transition.  For more information about the related administrative measure, please refer to </w:t>
      </w:r>
      <w:r w:rsidRPr="008813DE">
        <w:rPr>
          <w:rFonts w:ascii="Arial" w:hAnsi="Arial" w:cs="Arial"/>
          <w:lang w:val="en-GB"/>
        </w:rPr>
        <w:t>Annex A and Annex B</w:t>
      </w:r>
      <w:r w:rsidRPr="0028108F">
        <w:rPr>
          <w:rFonts w:ascii="Arial" w:hAnsi="Arial" w:cs="Arial"/>
          <w:lang w:val="en-GB"/>
        </w:rPr>
        <w:t xml:space="preserve"> of this Consultation Paper.</w:t>
      </w:r>
    </w:p>
  </w:footnote>
  <w:footnote w:id="533">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An American Christian non-profit organisation founded in 1994 that endeavours to preserve and defend religious freedom by way of, </w:t>
      </w:r>
      <w:r w:rsidRPr="0028108F">
        <w:rPr>
          <w:rFonts w:ascii="Arial" w:hAnsi="Arial" w:cs="Arial"/>
          <w:i/>
          <w:lang w:val="en-GB"/>
        </w:rPr>
        <w:t>inter</w:t>
      </w:r>
      <w:r w:rsidRPr="00181CF2">
        <w:rPr>
          <w:rFonts w:ascii="Arial" w:hAnsi="Arial" w:cs="Arial"/>
          <w:lang w:val="en-GB"/>
        </w:rPr>
        <w:t xml:space="preserve"> alia, training and litigation: official webs</w:t>
      </w:r>
      <w:r w:rsidRPr="00C57CE1">
        <w:rPr>
          <w:rFonts w:ascii="Arial" w:hAnsi="Arial" w:cs="Arial"/>
          <w:lang w:val="en-GB"/>
        </w:rPr>
        <w:t xml:space="preserve">ite available at: </w:t>
      </w:r>
      <w:hyperlink r:id="rId70" w:history="1">
        <w:r w:rsidRPr="0028108F">
          <w:rPr>
            <w:rStyle w:val="Hyperlink"/>
            <w:rFonts w:ascii="Arial" w:hAnsi="Arial" w:cs="Arial"/>
            <w:shd w:val="clear" w:color="auto" w:fill="FFFFFF"/>
            <w:lang w:val="en-GB"/>
          </w:rPr>
          <w:t>www.adflegal.org</w:t>
        </w:r>
      </w:hyperlink>
      <w:r w:rsidRPr="0028108F">
        <w:rPr>
          <w:rFonts w:ascii="Arial" w:hAnsi="Arial" w:cs="Arial"/>
          <w:color w:val="006621"/>
          <w:shd w:val="clear" w:color="auto" w:fill="FFFFFF"/>
          <w:lang w:val="en-GB"/>
        </w:rPr>
        <w:t xml:space="preserve">. </w:t>
      </w:r>
    </w:p>
  </w:footnote>
  <w:footnote w:id="534">
    <w:p w:rsidR="0022178B" w:rsidRPr="00181CF2"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Daily Mail Online</w:t>
      </w:r>
      <w:r w:rsidRPr="0028108F">
        <w:rPr>
          <w:rFonts w:ascii="Arial" w:hAnsi="Arial" w:cs="Arial"/>
          <w:lang w:val="en-GB"/>
        </w:rPr>
        <w:t>, “Parents</w:t>
      </w:r>
      <w:r w:rsidRPr="00181CF2">
        <w:rPr>
          <w:rFonts w:ascii="Arial" w:hAnsi="Arial" w:cs="Arial"/>
          <w:lang w:val="en-GB" w:eastAsia="zh-TW"/>
        </w:rPr>
        <w:t>’</w:t>
      </w:r>
      <w:r w:rsidRPr="0028108F">
        <w:rPr>
          <w:rFonts w:ascii="Arial" w:hAnsi="Arial" w:cs="Arial"/>
          <w:lang w:val="en-GB"/>
        </w:rPr>
        <w:t xml:space="preserve">' outrage as transgendered woman is permitted to use the women's locker room </w:t>
      </w:r>
      <w:r w:rsidRPr="00181CF2">
        <w:rPr>
          <w:rFonts w:ascii="Arial" w:hAnsi="Arial" w:cs="Arial"/>
          <w:lang w:val="en-GB" w:eastAsia="zh-TW"/>
        </w:rPr>
        <w:t>‘</w:t>
      </w:r>
      <w:r w:rsidRPr="0028108F">
        <w:rPr>
          <w:rFonts w:ascii="Arial" w:hAnsi="Arial" w:cs="Arial"/>
          <w:lang w:val="en-GB"/>
        </w:rPr>
        <w:t>exposing himself to little girls’”</w:t>
      </w:r>
      <w:r w:rsidRPr="00181CF2">
        <w:rPr>
          <w:rFonts w:ascii="Arial" w:hAnsi="Arial" w:cs="Arial"/>
          <w:lang w:val="en-GB"/>
        </w:rPr>
        <w:t>, 4 November 2012.</w:t>
      </w:r>
    </w:p>
  </w:footnote>
  <w:footnote w:id="535">
    <w:p w:rsidR="0022178B" w:rsidRPr="0028108F"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181CF2">
        <w:rPr>
          <w:rFonts w:ascii="Arial" w:hAnsi="Arial" w:cs="Arial"/>
          <w:lang w:val="en-GB"/>
        </w:rPr>
        <w:t xml:space="preserve"> (</w:t>
      </w:r>
      <w:r w:rsidRPr="00C57CE1">
        <w:rPr>
          <w:rFonts w:ascii="Arial" w:hAnsi="Arial" w:cs="Arial"/>
          <w:lang w:val="en-GB"/>
        </w:rPr>
        <w:t>in Chinese, transliterated as “Homosexuality and Transsexualism – Commenting on Homosexual Movement and Transsexual Marriage”),</w:t>
      </w:r>
      <w:r w:rsidRPr="0028108F">
        <w:rPr>
          <w:rFonts w:ascii="Arial" w:hAnsi="Arial" w:cs="Arial"/>
          <w:lang w:val="en-GB"/>
        </w:rPr>
        <w:t xml:space="preserve"> June 2015, at 281-282.  During deliberations on the Marriage (Amendment) Bill 2014 in Hong Kong, deputations made submissions to the Bills Committee </w:t>
      </w:r>
      <w:r w:rsidRPr="0028108F">
        <w:rPr>
          <w:rFonts w:ascii="Arial" w:hAnsi="Arial" w:cs="Arial"/>
          <w:lang w:val="en-GB" w:eastAsia="zh-TW"/>
        </w:rPr>
        <w:t>invoking</w:t>
      </w:r>
      <w:r w:rsidRPr="0028108F">
        <w:rPr>
          <w:rFonts w:ascii="Arial" w:hAnsi="Arial" w:cs="Arial"/>
          <w:lang w:val="en-GB"/>
        </w:rPr>
        <w:t xml:space="preserve"> the Colleen Francis’s case as an example to argue that it is reasonable, for avoidance of confusing the definitions of male and female, to require full SRS to be completed before a transgender person is entitled to marry in his or her acquired gender.  See Life Transformers’ submissions dated 10 April 2014 (LC Paper No. CB(2)1309/13-14(23)) (in Chinese), available at:</w:t>
      </w:r>
    </w:p>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71" w:history="1">
        <w:r w:rsidRPr="0028108F">
          <w:rPr>
            <w:rStyle w:val="Hyperlink"/>
            <w:rFonts w:ascii="Arial" w:hAnsi="Arial" w:cs="Arial"/>
            <w:lang w:val="en-GB"/>
          </w:rPr>
          <w:t>http://www.legco.gov.hk/yr13-14/chinese/bc/bc52/papers/bc520423cb2-1309-23-c.pdf</w:t>
        </w:r>
      </w:hyperlink>
      <w:r w:rsidRPr="0028108F">
        <w:rPr>
          <w:rStyle w:val="Hyperlink"/>
          <w:rFonts w:ascii="Arial" w:hAnsi="Arial" w:cs="Arial"/>
          <w:u w:val="none"/>
          <w:lang w:val="en-GB"/>
        </w:rPr>
        <w:t>.</w:t>
      </w:r>
    </w:p>
  </w:footnote>
  <w:footnote w:id="536">
    <w:p w:rsidR="0022178B" w:rsidRPr="00181CF2" w:rsidRDefault="0022178B">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news report of </w:t>
      </w:r>
      <w:r w:rsidRPr="008813DE">
        <w:rPr>
          <w:rFonts w:ascii="Arial" w:hAnsi="Arial" w:cs="Arial"/>
          <w:i/>
          <w:lang w:val="en-GB"/>
        </w:rPr>
        <w:t>Texas Values Action</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Historic Victory In Houston As Proposition 1 Bathroom Ordinance Is Defeated”</w:t>
      </w:r>
      <w:r w:rsidRPr="00181CF2">
        <w:rPr>
          <w:rFonts w:ascii="Arial" w:hAnsi="Arial" w:cs="Arial"/>
          <w:lang w:val="en-GB"/>
        </w:rPr>
        <w:t xml:space="preserve">, 4 November 2015. </w:t>
      </w:r>
    </w:p>
  </w:footnote>
  <w:footnote w:id="537">
    <w:p w:rsidR="0022178B" w:rsidRPr="00181CF2"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A non-profit lobbying and advocacy organisation based in Texas that “</w:t>
      </w:r>
      <w:r w:rsidRPr="0028108F">
        <w:rPr>
          <w:rFonts w:ascii="Arial" w:hAnsi="Arial" w:cs="Arial"/>
          <w:i/>
          <w:lang w:val="en-GB"/>
        </w:rPr>
        <w:t>advocates for faith, family, and freedom in the political arena</w:t>
      </w:r>
      <w:r w:rsidRPr="0028108F">
        <w:rPr>
          <w:rFonts w:ascii="Arial" w:hAnsi="Arial" w:cs="Arial"/>
          <w:lang w:val="en-GB"/>
        </w:rPr>
        <w:t xml:space="preserve">”: see official website at: </w:t>
      </w:r>
      <w:hyperlink r:id="rId72" w:history="1">
        <w:r w:rsidRPr="0028108F">
          <w:rPr>
            <w:rStyle w:val="Hyperlink"/>
            <w:rFonts w:ascii="Arial" w:hAnsi="Arial" w:cs="Arial"/>
            <w:lang w:val="en-GB"/>
          </w:rPr>
          <w:t>http://txvaluesaction.org</w:t>
        </w:r>
      </w:hyperlink>
      <w:r w:rsidRPr="00181CF2">
        <w:rPr>
          <w:rFonts w:ascii="Arial" w:hAnsi="Arial" w:cs="Arial"/>
          <w:lang w:val="en-GB"/>
        </w:rPr>
        <w:t>.</w:t>
      </w:r>
    </w:p>
  </w:footnote>
  <w:footnote w:id="538">
    <w:p w:rsidR="0022178B" w:rsidRPr="00181CF2" w:rsidRDefault="0022178B">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news report of </w:t>
      </w:r>
      <w:r w:rsidRPr="008813DE">
        <w:rPr>
          <w:rFonts w:ascii="Arial" w:hAnsi="Arial" w:cs="Arial"/>
          <w:i/>
          <w:lang w:val="en-GB"/>
        </w:rPr>
        <w:t>Texas Values Action</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rPr>
        <w:t>“Historic Victory In Houston As Proposition 1 Bathroom Ordinance Is Defeated”</w:t>
      </w:r>
      <w:r w:rsidRPr="00181CF2">
        <w:rPr>
          <w:rFonts w:ascii="Arial" w:hAnsi="Arial" w:cs="Arial"/>
          <w:lang w:val="en-GB"/>
        </w:rPr>
        <w:t>, 4 November 2015.</w:t>
      </w:r>
    </w:p>
  </w:footnote>
  <w:footnote w:id="539">
    <w:p w:rsidR="0022178B" w:rsidRPr="00C57CE1" w:rsidRDefault="0022178B" w:rsidP="0028108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rPr>
        <w:t>See Joellen</w:t>
      </w:r>
      <w:r w:rsidRPr="00C57CE1">
        <w:rPr>
          <w:rFonts w:ascii="Arial" w:hAnsi="Arial" w:cs="Arial"/>
          <w:lang w:val="en-GB"/>
        </w:rPr>
        <w:t xml:space="preserve"> Kralik, </w:t>
      </w:r>
      <w:r w:rsidRPr="0028108F">
        <w:rPr>
          <w:rFonts w:ascii="Arial" w:hAnsi="Arial" w:cs="Arial"/>
          <w:lang w:val="en-GB"/>
        </w:rPr>
        <w:t>“</w:t>
      </w:r>
      <w:r>
        <w:rPr>
          <w:rFonts w:ascii="Arial" w:hAnsi="Arial" w:cs="Arial"/>
          <w:lang w:val="en-GB"/>
        </w:rPr>
        <w:t>‘</w:t>
      </w:r>
      <w:r w:rsidRPr="0028108F">
        <w:rPr>
          <w:rFonts w:ascii="Arial" w:hAnsi="Arial" w:cs="Arial"/>
          <w:lang w:val="en-GB"/>
        </w:rPr>
        <w:t>Bathroom Bill</w:t>
      </w:r>
      <w:r>
        <w:rPr>
          <w:rFonts w:ascii="Arial" w:hAnsi="Arial" w:cs="Arial"/>
          <w:lang w:val="en-GB"/>
        </w:rPr>
        <w:t>’</w:t>
      </w:r>
      <w:r w:rsidRPr="0028108F">
        <w:rPr>
          <w:rFonts w:ascii="Arial" w:hAnsi="Arial" w:cs="Arial"/>
          <w:lang w:val="en-GB"/>
        </w:rPr>
        <w:t xml:space="preserve"> Legislative Tracking”</w:t>
      </w:r>
      <w:r w:rsidRPr="00181CF2">
        <w:rPr>
          <w:rFonts w:ascii="Arial" w:hAnsi="Arial" w:cs="Arial"/>
          <w:lang w:val="en-GB"/>
        </w:rPr>
        <w:t>, 30 August 2016, available at:</w:t>
      </w:r>
    </w:p>
    <w:p w:rsidR="0022178B" w:rsidRPr="0028108F" w:rsidRDefault="0022178B" w:rsidP="0028108F">
      <w:pPr>
        <w:pStyle w:val="FootnoteText"/>
        <w:tabs>
          <w:tab w:val="left" w:pos="851"/>
        </w:tabs>
        <w:ind w:left="708" w:hangingChars="354" w:hanging="708"/>
        <w:jc w:val="both"/>
        <w:rPr>
          <w:rFonts w:ascii="Arial" w:hAnsi="Arial" w:cs="Arial"/>
          <w:lang w:val="en-US"/>
        </w:rPr>
      </w:pPr>
      <w:r w:rsidRPr="0028108F">
        <w:rPr>
          <w:rFonts w:ascii="Arial" w:hAnsi="Arial" w:cs="Arial"/>
          <w:lang w:val="en-US"/>
        </w:rPr>
        <w:tab/>
      </w:r>
      <w:hyperlink r:id="rId73" w:history="1">
        <w:r w:rsidRPr="0028108F">
          <w:rPr>
            <w:rStyle w:val="Hyperlink"/>
            <w:rFonts w:ascii="Arial" w:hAnsi="Arial" w:cs="Arial"/>
            <w:lang w:val="en-US"/>
          </w:rPr>
          <w:t>http://www.ncsl.org/research/education/-bathroom-bill-legislative-tracking635951130.aspx</w:t>
        </w:r>
      </w:hyperlink>
      <w:r w:rsidRPr="0028108F">
        <w:rPr>
          <w:rFonts w:ascii="Arial" w:hAnsi="Arial" w:cs="Arial"/>
          <w:lang w:val="en-US"/>
        </w:rPr>
        <w:t xml:space="preserve">. </w:t>
      </w:r>
      <w:r w:rsidRPr="00181CF2">
        <w:rPr>
          <w:rFonts w:ascii="Arial" w:hAnsi="Arial" w:cs="Arial"/>
          <w:lang w:val="en-US"/>
        </w:rPr>
        <w:t xml:space="preserve"> </w:t>
      </w:r>
      <w:r w:rsidRPr="00C57CE1">
        <w:rPr>
          <w:rFonts w:ascii="Arial" w:hAnsi="Arial" w:cs="Arial"/>
          <w:lang w:val="en-US"/>
        </w:rPr>
        <w:t>It is further no</w:t>
      </w:r>
      <w:r w:rsidRPr="0028108F">
        <w:rPr>
          <w:rFonts w:ascii="Arial" w:hAnsi="Arial" w:cs="Arial"/>
          <w:lang w:val="en-US"/>
        </w:rPr>
        <w:t xml:space="preserve">ted that on 22 February 2017, the Trump administration rescinded Obama-era guidance directing schools to allow </w:t>
      </w:r>
      <w:hyperlink r:id="rId74" w:tgtFrame="_blank" w:history="1">
        <w:r w:rsidRPr="0028108F">
          <w:rPr>
            <w:rFonts w:ascii="Arial" w:hAnsi="Arial" w:cs="Arial"/>
            <w:lang w:val="en-US"/>
          </w:rPr>
          <w:t>transgender</w:t>
        </w:r>
      </w:hyperlink>
      <w:r w:rsidRPr="0028108F">
        <w:rPr>
          <w:rFonts w:ascii="Arial" w:hAnsi="Arial" w:cs="Arial"/>
          <w:lang w:val="en-US"/>
        </w:rPr>
        <w:t xml:space="preserve"> students to use the bathroom that matches their </w:t>
      </w:r>
      <w:hyperlink r:id="rId75" w:tgtFrame="_blank" w:history="1">
        <w:r w:rsidRPr="0028108F">
          <w:rPr>
            <w:rFonts w:ascii="Arial" w:hAnsi="Arial" w:cs="Arial"/>
            <w:lang w:val="en-US"/>
          </w:rPr>
          <w:t>gender identity</w:t>
        </w:r>
      </w:hyperlink>
      <w:r w:rsidRPr="0028108F">
        <w:rPr>
          <w:rFonts w:ascii="Arial" w:hAnsi="Arial" w:cs="Arial"/>
          <w:lang w:val="en-US"/>
        </w:rPr>
        <w:t>.</w:t>
      </w:r>
      <w:r w:rsidRPr="00181CF2">
        <w:rPr>
          <w:rFonts w:ascii="Arial" w:hAnsi="Arial" w:cs="Arial"/>
          <w:lang w:val="en-US"/>
        </w:rPr>
        <w:t xml:space="preserve">  The </w:t>
      </w:r>
      <w:r w:rsidRPr="0028108F">
        <w:rPr>
          <w:rFonts w:ascii="Arial" w:hAnsi="Arial" w:cs="Arial"/>
          <w:lang w:val="en-US"/>
        </w:rPr>
        <w:t xml:space="preserve">developments regarding the </w:t>
      </w:r>
      <w:r w:rsidRPr="0028108F">
        <w:rPr>
          <w:rFonts w:ascii="Arial" w:hAnsi="Arial" w:cs="Arial"/>
          <w:i/>
          <w:lang w:val="en-US"/>
        </w:rPr>
        <w:t>“Bathroom Bills”</w:t>
      </w:r>
      <w:r w:rsidRPr="00181CF2">
        <w:rPr>
          <w:rFonts w:ascii="Arial" w:hAnsi="Arial" w:cs="Arial"/>
          <w:lang w:val="en-US"/>
        </w:rPr>
        <w:t xml:space="preserve"> in the US remain to be seen.  See ABC news, </w:t>
      </w:r>
      <w:r w:rsidRPr="00C57CE1">
        <w:rPr>
          <w:rFonts w:ascii="Arial" w:hAnsi="Arial" w:cs="Arial"/>
          <w:lang w:val="en-US"/>
        </w:rPr>
        <w:t>“</w:t>
      </w:r>
      <w:r w:rsidRPr="0028108F">
        <w:rPr>
          <w:rFonts w:ascii="Arial" w:hAnsi="Arial" w:cs="Arial"/>
          <w:lang w:val="en-US"/>
        </w:rPr>
        <w:t>Trump administration reverses transgender bathroom guidance</w:t>
      </w:r>
      <w:r w:rsidRPr="00181CF2">
        <w:rPr>
          <w:rFonts w:ascii="Arial" w:hAnsi="Arial" w:cs="Arial"/>
          <w:lang w:val="en-US"/>
        </w:rPr>
        <w:t>”</w:t>
      </w:r>
      <w:r w:rsidRPr="0028108F">
        <w:rPr>
          <w:rFonts w:ascii="Arial" w:hAnsi="Arial" w:cs="Arial"/>
          <w:lang w:val="en-US"/>
        </w:rPr>
        <w:t>, 22 February 2017</w:t>
      </w:r>
      <w:r w:rsidRPr="00181CF2">
        <w:rPr>
          <w:rFonts w:ascii="Arial" w:hAnsi="Arial" w:cs="Arial"/>
          <w:lang w:val="en-US"/>
        </w:rPr>
        <w:t xml:space="preserve">, available at: </w:t>
      </w:r>
      <w:hyperlink r:id="rId76" w:history="1">
        <w:r w:rsidRPr="00C57CE1">
          <w:rPr>
            <w:rStyle w:val="Hyperlink"/>
            <w:rFonts w:ascii="Arial" w:hAnsi="Arial" w:cs="Arial"/>
            <w:lang w:val="en-US"/>
          </w:rPr>
          <w:t>http://abcnews.go.com/Politics/trump-administration-issue-guidance-trans</w:t>
        </w:r>
        <w:r w:rsidRPr="0028108F">
          <w:rPr>
            <w:rStyle w:val="Hyperlink"/>
            <w:rFonts w:ascii="Arial" w:hAnsi="Arial" w:cs="Arial"/>
            <w:lang w:val="en-US"/>
          </w:rPr>
          <w:t>gender-bathrooms/story?id=45663275</w:t>
        </w:r>
      </w:hyperlink>
      <w:r w:rsidRPr="00181CF2">
        <w:rPr>
          <w:rFonts w:ascii="Arial" w:hAnsi="Arial" w:cs="Arial"/>
          <w:lang w:val="en-US"/>
        </w:rPr>
        <w:t xml:space="preserve">. </w:t>
      </w:r>
    </w:p>
  </w:footnote>
  <w:footnote w:id="540">
    <w:p w:rsidR="0022178B" w:rsidRPr="00181CF2"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635 N.W.2d 717, 720 (Minn. 2011).</w:t>
      </w:r>
    </w:p>
  </w:footnote>
  <w:footnote w:id="541">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i/>
          <w:kern w:val="0"/>
          <w:lang w:val="en-GB"/>
        </w:rPr>
        <w:t>Goins v West Group</w:t>
      </w:r>
      <w:r w:rsidRPr="0028108F">
        <w:rPr>
          <w:rFonts w:ascii="Arial" w:hAnsi="Arial" w:cs="Arial"/>
          <w:i/>
          <w:kern w:val="0"/>
          <w:lang w:val="en-GB" w:eastAsia="zh-TW"/>
        </w:rPr>
        <w:t xml:space="preserve"> </w:t>
      </w:r>
      <w:r w:rsidRPr="00181CF2">
        <w:rPr>
          <w:rFonts w:ascii="Arial" w:hAnsi="Arial" w:cs="Arial"/>
          <w:lang w:val="en-GB"/>
        </w:rPr>
        <w:t>635 N.W.2d 717, 720 (Minn. 2011)</w:t>
      </w:r>
      <w:r w:rsidRPr="00C57CE1">
        <w:rPr>
          <w:rFonts w:ascii="Arial" w:hAnsi="Arial" w:cs="Arial"/>
          <w:lang w:val="en-GB"/>
        </w:rPr>
        <w:t xml:space="preserve">, at 723.  This ruling was followed in </w:t>
      </w:r>
      <w:r w:rsidRPr="0028108F">
        <w:rPr>
          <w:rFonts w:ascii="Arial" w:hAnsi="Arial" w:cs="Arial"/>
          <w:i/>
          <w:lang w:val="en-GB"/>
        </w:rPr>
        <w:t xml:space="preserve">Hispanic Aids Forum v Estate of Joseph Bruno, </w:t>
      </w:r>
      <w:r w:rsidRPr="0028108F">
        <w:rPr>
          <w:rFonts w:ascii="Arial" w:hAnsi="Arial" w:cs="Arial"/>
          <w:lang w:val="en-GB"/>
        </w:rPr>
        <w:t>729 N.Y.S.2d 43, 46-48 (NY App Div 2005)</w:t>
      </w:r>
      <w:r>
        <w:rPr>
          <w:rFonts w:ascii="Arial" w:hAnsi="Arial" w:cs="Arial"/>
          <w:lang w:val="en-GB"/>
        </w:rPr>
        <w:t>.</w:t>
      </w:r>
    </w:p>
  </w:footnote>
  <w:footnote w:id="542">
    <w:p w:rsidR="0022178B" w:rsidRPr="0028108F" w:rsidRDefault="0022178B" w:rsidP="00604960">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181CF2">
        <w:rPr>
          <w:rFonts w:ascii="Arial" w:hAnsi="Arial" w:cs="Arial"/>
          <w:lang w:val="en-GB"/>
        </w:rPr>
        <w:tab/>
        <w:t xml:space="preserve">See news report of </w:t>
      </w:r>
      <w:r w:rsidRPr="008813DE">
        <w:rPr>
          <w:rFonts w:ascii="Arial" w:hAnsi="Arial" w:cs="Arial"/>
          <w:i/>
          <w:lang w:val="en-GB"/>
        </w:rPr>
        <w:t>Daily Press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Federal judge issues opinion in Gloucester transgender lawsuit”</w:t>
      </w:r>
      <w:r w:rsidRPr="00181CF2">
        <w:rPr>
          <w:rFonts w:ascii="Arial" w:hAnsi="Arial" w:cs="Arial"/>
          <w:lang w:val="en-GB"/>
        </w:rPr>
        <w:t>,</w:t>
      </w:r>
      <w:r w:rsidRPr="00C57CE1">
        <w:rPr>
          <w:rFonts w:ascii="Arial" w:hAnsi="Arial" w:cs="Arial"/>
          <w:lang w:val="en-GB"/>
        </w:rPr>
        <w:t xml:space="preserve"> 18 September 2015.</w:t>
      </w:r>
      <w:r w:rsidRPr="0028108F">
        <w:rPr>
          <w:rFonts w:ascii="Arial" w:hAnsi="Arial" w:cs="Arial"/>
          <w:lang w:val="en-GB"/>
        </w:rPr>
        <w:t xml:space="preserve">  </w:t>
      </w:r>
    </w:p>
  </w:footnote>
  <w:footnote w:id="543">
    <w:p w:rsidR="0022178B" w:rsidRPr="0028108F" w:rsidRDefault="0022178B" w:rsidP="00A25D6F">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181CF2">
        <w:rPr>
          <w:rFonts w:ascii="Arial" w:hAnsi="Arial" w:cs="Arial"/>
          <w:lang w:val="en-GB"/>
        </w:rPr>
        <w:tab/>
        <w:t xml:space="preserve">See news report of </w:t>
      </w:r>
      <w:r w:rsidRPr="008813DE">
        <w:rPr>
          <w:rFonts w:ascii="Arial" w:hAnsi="Arial" w:cs="Arial"/>
          <w:i/>
          <w:lang w:val="en-GB"/>
        </w:rPr>
        <w:t>The Advocate</w:t>
      </w:r>
      <w:r w:rsidRPr="00C57CE1">
        <w:rPr>
          <w:rFonts w:ascii="Arial" w:hAnsi="Arial" w:cs="Arial"/>
          <w:lang w:val="en-GB"/>
        </w:rPr>
        <w:t>,</w:t>
      </w:r>
      <w:r w:rsidRPr="0028108F">
        <w:rPr>
          <w:rFonts w:ascii="Arial" w:hAnsi="Arial" w:cs="Arial"/>
        </w:rPr>
        <w:t xml:space="preserve"> </w:t>
      </w:r>
      <w:r w:rsidRPr="0028108F">
        <w:rPr>
          <w:rFonts w:ascii="Arial" w:hAnsi="Arial" w:cs="Arial"/>
          <w:lang w:val="en-US"/>
        </w:rPr>
        <w:t>“</w:t>
      </w:r>
      <w:r w:rsidRPr="00181CF2">
        <w:rPr>
          <w:rFonts w:ascii="Arial" w:hAnsi="Arial" w:cs="Arial"/>
          <w:lang w:val="en-GB"/>
        </w:rPr>
        <w:t>Supreme Court to Hear Gavin Grimm Case; Huge Implications for Trans Students</w:t>
      </w:r>
      <w:r w:rsidRPr="0028108F">
        <w:rPr>
          <w:rFonts w:ascii="Arial" w:hAnsi="Arial" w:cs="Arial"/>
          <w:lang w:val="en-GB"/>
        </w:rPr>
        <w:t>”</w:t>
      </w:r>
      <w:r w:rsidRPr="00181CF2">
        <w:rPr>
          <w:rFonts w:ascii="Arial" w:hAnsi="Arial" w:cs="Arial"/>
          <w:lang w:val="en-GB"/>
        </w:rPr>
        <w:t>,</w:t>
      </w:r>
      <w:r w:rsidRPr="00C57CE1">
        <w:rPr>
          <w:rFonts w:ascii="Arial" w:hAnsi="Arial" w:cs="Arial"/>
          <w:lang w:val="en-GB"/>
        </w:rPr>
        <w:t xml:space="preserve"> </w:t>
      </w:r>
      <w:r w:rsidRPr="0028108F">
        <w:rPr>
          <w:rFonts w:ascii="Arial" w:hAnsi="Arial" w:cs="Arial"/>
          <w:lang w:val="en-GB"/>
        </w:rPr>
        <w:t xml:space="preserve">28 October 2016.  </w:t>
      </w:r>
    </w:p>
  </w:footnote>
  <w:footnote w:id="544">
    <w:p w:rsidR="0022178B" w:rsidRPr="00CC7691" w:rsidRDefault="0022178B" w:rsidP="00CC7691">
      <w:pPr>
        <w:pStyle w:val="FootnoteText"/>
        <w:tabs>
          <w:tab w:val="left" w:pos="709"/>
        </w:tabs>
        <w:ind w:left="708" w:hangingChars="354" w:hanging="708"/>
        <w:jc w:val="both"/>
        <w:rPr>
          <w:rFonts w:ascii="Arial" w:hAnsi="Arial" w:cs="Arial"/>
          <w:lang w:val="en-GB"/>
        </w:rPr>
      </w:pPr>
      <w:r w:rsidRPr="00CC7691">
        <w:rPr>
          <w:rFonts w:ascii="Arial" w:hAnsi="Arial" w:cs="Arial"/>
          <w:lang w:val="en-GB"/>
        </w:rPr>
        <w:footnoteRef/>
      </w:r>
      <w:r w:rsidRPr="00CC7691">
        <w:rPr>
          <w:rFonts w:ascii="Arial" w:hAnsi="Arial" w:cs="Arial"/>
          <w:lang w:val="en-GB"/>
        </w:rPr>
        <w:t xml:space="preserve"> </w:t>
      </w:r>
      <w:r w:rsidRPr="00CC7691">
        <w:rPr>
          <w:rFonts w:ascii="Arial" w:hAnsi="Arial" w:cs="Arial" w:hint="eastAsia"/>
          <w:lang w:val="en-GB"/>
        </w:rPr>
        <w:tab/>
        <w:t>See</w:t>
      </w:r>
      <w:r w:rsidRPr="00CC7691">
        <w:rPr>
          <w:rFonts w:ascii="Arial" w:hAnsi="Arial" w:cs="Arial"/>
          <w:lang w:val="en-GB"/>
        </w:rPr>
        <w:t> </w:t>
      </w:r>
      <w:r>
        <w:rPr>
          <w:rFonts w:ascii="Arial" w:hAnsi="Arial" w:cs="Arial" w:hint="eastAsia"/>
          <w:lang w:val="en-GB" w:eastAsia="zh-TW"/>
        </w:rPr>
        <w:t xml:space="preserve">news report of </w:t>
      </w:r>
      <w:r w:rsidRPr="008813DE">
        <w:rPr>
          <w:rFonts w:ascii="Arial" w:hAnsi="Arial" w:cs="Arial"/>
          <w:i/>
          <w:lang w:val="en-GB" w:eastAsia="zh-TW"/>
        </w:rPr>
        <w:t>The Guardian</w:t>
      </w:r>
      <w:r>
        <w:rPr>
          <w:rFonts w:ascii="Arial" w:hAnsi="Arial" w:cs="Arial" w:hint="eastAsia"/>
          <w:lang w:val="en-GB" w:eastAsia="zh-TW"/>
        </w:rPr>
        <w:t xml:space="preserve">, </w:t>
      </w:r>
      <w:r>
        <w:rPr>
          <w:rFonts w:ascii="Arial" w:hAnsi="Arial" w:cs="Arial"/>
          <w:lang w:val="en-GB" w:eastAsia="zh-TW"/>
        </w:rPr>
        <w:t>“</w:t>
      </w:r>
      <w:r w:rsidRPr="00CC7691">
        <w:rPr>
          <w:rFonts w:ascii="Arial" w:hAnsi="Arial" w:cs="Arial"/>
          <w:lang w:val="en-GB"/>
        </w:rPr>
        <w:t>Trump administration rescinds Obama-era prote</w:t>
      </w:r>
      <w:r>
        <w:rPr>
          <w:rFonts w:ascii="Arial" w:hAnsi="Arial" w:cs="Arial"/>
          <w:lang w:val="en-GB"/>
        </w:rPr>
        <w:t>ctions for transgender students</w:t>
      </w:r>
      <w:r>
        <w:rPr>
          <w:rFonts w:ascii="Arial" w:hAnsi="Arial" w:cs="Arial"/>
          <w:lang w:val="en-GB" w:eastAsia="zh-TW"/>
        </w:rPr>
        <w:t>”</w:t>
      </w:r>
      <w:r>
        <w:rPr>
          <w:rFonts w:ascii="Arial" w:hAnsi="Arial" w:cs="Arial" w:hint="eastAsia"/>
          <w:lang w:val="en-GB" w:eastAsia="zh-TW"/>
        </w:rPr>
        <w:t xml:space="preserve">, 23 </w:t>
      </w:r>
      <w:r w:rsidRPr="00CC7691">
        <w:rPr>
          <w:rFonts w:ascii="Arial" w:hAnsi="Arial" w:cs="Arial"/>
          <w:lang w:val="en-GB"/>
        </w:rPr>
        <w:t>February 2017.</w:t>
      </w:r>
    </w:p>
  </w:footnote>
  <w:footnote w:id="545">
    <w:p w:rsidR="0022178B" w:rsidRPr="00CC7691" w:rsidRDefault="0022178B" w:rsidP="00CC7691">
      <w:pPr>
        <w:pStyle w:val="FootnoteText"/>
        <w:tabs>
          <w:tab w:val="left" w:pos="709"/>
        </w:tabs>
        <w:ind w:left="708" w:hangingChars="354" w:hanging="708"/>
        <w:jc w:val="both"/>
        <w:rPr>
          <w:lang w:eastAsia="zh-TW"/>
        </w:rPr>
      </w:pPr>
      <w:r w:rsidRPr="00CC7691">
        <w:rPr>
          <w:rFonts w:ascii="Arial" w:hAnsi="Arial" w:cs="Arial"/>
          <w:lang w:val="en-GB"/>
        </w:rPr>
        <w:footnoteRef/>
      </w:r>
      <w:r w:rsidRPr="00CC7691">
        <w:rPr>
          <w:rFonts w:ascii="Arial" w:hAnsi="Arial" w:cs="Arial"/>
          <w:lang w:val="en-GB"/>
        </w:rPr>
        <w:t xml:space="preserve"> </w:t>
      </w:r>
      <w:r w:rsidRPr="00CC7691">
        <w:rPr>
          <w:rFonts w:ascii="Arial" w:hAnsi="Arial" w:cs="Arial" w:hint="eastAsia"/>
          <w:lang w:val="en-GB"/>
        </w:rPr>
        <w:tab/>
        <w:t xml:space="preserve">See news report of </w:t>
      </w:r>
      <w:r w:rsidRPr="008813DE">
        <w:rPr>
          <w:rFonts w:ascii="Arial" w:hAnsi="Arial" w:cs="Arial"/>
          <w:i/>
          <w:lang w:val="en-GB"/>
        </w:rPr>
        <w:t>The New York Times</w:t>
      </w:r>
      <w:r w:rsidRPr="00CC7691">
        <w:rPr>
          <w:rFonts w:ascii="Arial" w:hAnsi="Arial" w:cs="Arial" w:hint="eastAsia"/>
          <w:lang w:val="en-GB"/>
        </w:rPr>
        <w:t xml:space="preserve">, </w:t>
      </w:r>
      <w:r w:rsidRPr="00CC7691">
        <w:rPr>
          <w:rFonts w:ascii="Arial" w:hAnsi="Arial" w:cs="Arial"/>
          <w:lang w:val="en-GB"/>
        </w:rPr>
        <w:t>“Supreme Court Won</w:t>
      </w:r>
      <w:r>
        <w:rPr>
          <w:rFonts w:ascii="Arial" w:hAnsi="Arial" w:cs="Arial"/>
          <w:lang w:val="en-GB"/>
        </w:rPr>
        <w:t>’</w:t>
      </w:r>
      <w:r w:rsidRPr="00CC7691">
        <w:rPr>
          <w:rFonts w:ascii="Arial" w:hAnsi="Arial" w:cs="Arial"/>
          <w:lang w:val="en-GB"/>
        </w:rPr>
        <w:t>t Hear Major Case on Transgender Rights”</w:t>
      </w:r>
      <w:r w:rsidRPr="00CC7691">
        <w:rPr>
          <w:rFonts w:ascii="Arial" w:hAnsi="Arial" w:cs="Arial" w:hint="eastAsia"/>
          <w:lang w:val="en-GB"/>
        </w:rPr>
        <w:t>, 6 M</w:t>
      </w:r>
      <w:r>
        <w:rPr>
          <w:rFonts w:ascii="Arial" w:hAnsi="Arial" w:cs="Arial" w:hint="eastAsia"/>
          <w:lang w:val="en-GB" w:eastAsia="zh-TW"/>
        </w:rPr>
        <w:t xml:space="preserve">arch </w:t>
      </w:r>
      <w:r w:rsidRPr="00CC7691">
        <w:rPr>
          <w:rFonts w:ascii="Arial" w:hAnsi="Arial" w:cs="Arial" w:hint="eastAsia"/>
          <w:lang w:val="en-GB"/>
        </w:rPr>
        <w:t>2017</w:t>
      </w:r>
      <w:r w:rsidRPr="00CC7691">
        <w:rPr>
          <w:rFonts w:ascii="Arial" w:hAnsi="Arial" w:cs="Arial"/>
          <w:lang w:val="en-GB"/>
        </w:rPr>
        <w:t>.</w:t>
      </w:r>
    </w:p>
  </w:footnote>
  <w:footnote w:id="546">
    <w:p w:rsidR="0022178B" w:rsidRPr="0028108F" w:rsidRDefault="0022178B" w:rsidP="00F47842">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lang w:val="en-GB" w:eastAsia="zh-TW"/>
        </w:rPr>
        <w:t>eg</w:t>
      </w:r>
      <w:r w:rsidRPr="0028108F">
        <w:rPr>
          <w:rFonts w:ascii="Arial" w:hAnsi="Arial" w:cs="Arial"/>
          <w:lang w:val="en-GB"/>
        </w:rPr>
        <w:t>, Ainsworth TA, Spiegel JH, “Quality of life of individuals with and without facial feminization surgery or gender reassignment surgery” (Qual Life Res) September 2010; 19(7):1019–24.</w:t>
      </w:r>
    </w:p>
  </w:footnote>
  <w:footnote w:id="547">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593EC4">
        <w:rPr>
          <w:rFonts w:ascii="Arial" w:hAnsi="Arial" w:cs="Arial"/>
          <w:lang w:val="en-GB"/>
        </w:rPr>
        <w:t>World Professional Association for Transgender Health,  “Position Statement on Medical Necessity of Treatment, Sex Reassignment, and Insurance Coverage in the U.S.A.”, 21 December 2016</w:t>
      </w:r>
      <w:r w:rsidRPr="00181CF2">
        <w:rPr>
          <w:rFonts w:ascii="Arial" w:hAnsi="Arial" w:cs="Arial"/>
          <w:lang w:val="en-GB"/>
        </w:rPr>
        <w:t>.</w:t>
      </w:r>
      <w:r w:rsidRPr="00C57CE1">
        <w:rPr>
          <w:rFonts w:ascii="Arial" w:hAnsi="Arial" w:cs="Arial"/>
          <w:lang w:val="en-GB"/>
        </w:rPr>
        <w:t xml:space="preserve">  Though see also: WPATH, </w:t>
      </w:r>
      <w:r w:rsidRPr="0028108F">
        <w:rPr>
          <w:rFonts w:ascii="Arial" w:hAnsi="Arial" w:cs="Arial"/>
          <w:lang w:val="en-GB"/>
        </w:rPr>
        <w:t>“2015 Statement on Identity Recognition,” 19 January 2015, where the WPATH encourages individuali</w:t>
      </w:r>
      <w:r>
        <w:rPr>
          <w:rFonts w:ascii="Arial" w:hAnsi="Arial" w:cs="Arial" w:hint="eastAsia"/>
          <w:lang w:val="en-GB" w:eastAsia="zh-TW"/>
        </w:rPr>
        <w:t>s</w:t>
      </w:r>
      <w:r w:rsidRPr="0028108F">
        <w:rPr>
          <w:rFonts w:ascii="Arial" w:hAnsi="Arial" w:cs="Arial"/>
          <w:lang w:val="en-GB"/>
        </w:rPr>
        <w:t xml:space="preserve">ed evaluation and treatment for those with gender dysphoria.  </w:t>
      </w:r>
    </w:p>
  </w:footnote>
  <w:footnote w:id="548">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Minutes of the fourth meeting of the Bills Committee on 20 May 2014, LC Paper No. CB(2)2164/13-14, available at: </w:t>
      </w:r>
    </w:p>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77" w:history="1">
        <w:r w:rsidRPr="0028108F">
          <w:rPr>
            <w:rStyle w:val="Hyperlink"/>
            <w:rFonts w:ascii="Arial" w:hAnsi="Arial" w:cs="Arial"/>
            <w:lang w:val="en-GB"/>
          </w:rPr>
          <w:t>http://www.legco.gov.hk/yr13-14/english/bc/bc52/minutes/bc5220140520.pdf</w:t>
        </w:r>
      </w:hyperlink>
      <w:r w:rsidRPr="0028108F">
        <w:rPr>
          <w:rFonts w:ascii="Arial" w:hAnsi="Arial" w:cs="Arial"/>
          <w:lang w:val="en-GB"/>
        </w:rPr>
        <w:t xml:space="preserve">.  See also news report of </w:t>
      </w:r>
      <w:r w:rsidRPr="008813DE">
        <w:rPr>
          <w:rFonts w:ascii="Arial" w:hAnsi="Arial" w:cs="Arial"/>
          <w:i/>
          <w:lang w:val="en-GB"/>
        </w:rPr>
        <w:t>Apple Daily</w:t>
      </w:r>
      <w:r w:rsidRPr="0028108F">
        <w:rPr>
          <w:rFonts w:ascii="Arial" w:hAnsi="Arial" w:cs="Arial"/>
          <w:lang w:val="en-GB"/>
        </w:rPr>
        <w:t>, “</w:t>
      </w:r>
      <w:r w:rsidRPr="0028108F">
        <w:rPr>
          <w:rFonts w:ascii="Arial" w:hAnsi="Arial" w:cs="Arial"/>
          <w:lang w:val="en-GB"/>
        </w:rPr>
        <w:t>醫生指變性手術非酷刑</w:t>
      </w:r>
      <w:r w:rsidRPr="0028108F">
        <w:rPr>
          <w:rFonts w:ascii="Arial" w:hAnsi="Arial" w:cs="Arial"/>
          <w:lang w:val="en-GB"/>
        </w:rPr>
        <w:t>”</w:t>
      </w:r>
      <w:r w:rsidRPr="00C57CE1">
        <w:rPr>
          <w:rFonts w:ascii="Arial" w:hAnsi="Arial" w:cs="Arial"/>
          <w:lang w:val="en-GB"/>
        </w:rPr>
        <w:t xml:space="preserve"> </w:t>
      </w:r>
      <w:r w:rsidRPr="0028108F">
        <w:rPr>
          <w:rFonts w:ascii="Arial" w:hAnsi="Arial" w:cs="Arial"/>
          <w:lang w:val="en-GB" w:eastAsia="zh-TW"/>
        </w:rPr>
        <w:t>(</w:t>
      </w:r>
      <w:r w:rsidRPr="0028108F">
        <w:rPr>
          <w:rFonts w:ascii="Arial" w:hAnsi="Arial" w:cs="Arial"/>
          <w:lang w:val="en-GB"/>
        </w:rPr>
        <w:t>in Chinese</w:t>
      </w:r>
      <w:r w:rsidRPr="0028108F">
        <w:rPr>
          <w:rFonts w:ascii="Arial" w:hAnsi="Arial" w:cs="Arial"/>
          <w:lang w:val="en-GB" w:eastAsia="zh-TW"/>
        </w:rPr>
        <w:t xml:space="preserve">, </w:t>
      </w:r>
      <w:r w:rsidRPr="0028108F">
        <w:rPr>
          <w:rFonts w:ascii="Arial" w:hAnsi="Arial" w:cs="Arial"/>
          <w:lang w:val="en-GB"/>
        </w:rPr>
        <w:t>transliterated as “Doctors Noted Transsexual Surgeries Are Not Torture”), 21 May 2014.</w:t>
      </w:r>
    </w:p>
  </w:footnote>
  <w:footnote w:id="549">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Some opposition views to the Bill were based on the perception that the proposed amendment may result in </w:t>
      </w:r>
      <w:r w:rsidRPr="0028108F">
        <w:rPr>
          <w:rFonts w:ascii="Arial" w:hAnsi="Arial" w:cs="Arial"/>
          <w:i/>
          <w:lang w:val="en-GB"/>
        </w:rPr>
        <w:t>de facto</w:t>
      </w:r>
      <w:r w:rsidRPr="0028108F">
        <w:rPr>
          <w:rFonts w:ascii="Arial" w:hAnsi="Arial" w:cs="Arial"/>
          <w:lang w:val="en-GB"/>
        </w:rPr>
        <w:t xml:space="preserve"> same sex marriage, and that it would create confusion and anxiety in the absence of common consensus of the public, thus jeopardising the common good and the well-being of the society.  See, </w:t>
      </w:r>
      <w:r w:rsidRPr="0028108F">
        <w:rPr>
          <w:rFonts w:ascii="Arial" w:hAnsi="Arial" w:cs="Arial"/>
          <w:lang w:val="en-GB" w:eastAsia="zh-TW"/>
        </w:rPr>
        <w:t>eg</w:t>
      </w:r>
      <w:r w:rsidRPr="0028108F">
        <w:rPr>
          <w:rFonts w:ascii="Arial" w:hAnsi="Arial" w:cs="Arial"/>
          <w:lang w:val="en-GB"/>
        </w:rPr>
        <w:t>, the submissions made by the Catholic Diocese of Hong Kong Chancery Office, LC Paper No. CB(2)1384/13-14(05), available at:</w:t>
      </w:r>
    </w:p>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78" w:history="1">
        <w:r w:rsidRPr="0028108F">
          <w:rPr>
            <w:rStyle w:val="Hyperlink"/>
            <w:rFonts w:ascii="Arial" w:hAnsi="Arial" w:cs="Arial"/>
            <w:lang w:val="en-GB"/>
          </w:rPr>
          <w:t>http://www.legco.gov.hk/yr13-14/english/bc/bc52/papers/bc520429cb2-1384-5-e.pdf</w:t>
        </w:r>
      </w:hyperlink>
      <w:r w:rsidRPr="0028108F">
        <w:rPr>
          <w:rFonts w:ascii="Arial" w:hAnsi="Arial" w:cs="Arial"/>
          <w:lang w:val="en-GB"/>
        </w:rPr>
        <w:t xml:space="preserve"> and submissions made by Hong Kong Baptist Church, written by Dr Walter Chen, LC Paper No. CB(2)1339/13-14(10), available at:</w:t>
      </w:r>
    </w:p>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79" w:history="1">
        <w:r w:rsidRPr="0028108F">
          <w:rPr>
            <w:rStyle w:val="Hyperlink"/>
            <w:rFonts w:ascii="Arial" w:hAnsi="Arial" w:cs="Arial"/>
            <w:lang w:val="en-GB"/>
          </w:rPr>
          <w:t>http://www.legco.gov.hk/yr13-14/english/bc/bc52/papers/bc520423cb2-1339-10-e.pdf</w:t>
        </w:r>
      </w:hyperlink>
      <w:r w:rsidRPr="0028108F">
        <w:rPr>
          <w:rFonts w:ascii="Arial" w:hAnsi="Arial" w:cs="Arial"/>
          <w:lang w:val="en-GB"/>
        </w:rPr>
        <w:t xml:space="preserve">. </w:t>
      </w:r>
    </w:p>
  </w:footnote>
  <w:footnote w:id="550">
    <w:p w:rsidR="0022178B" w:rsidRPr="00181CF2" w:rsidRDefault="0022178B" w:rsidP="003675EF">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 J Gender &amp; L 373</w:t>
      </w:r>
      <w:r w:rsidRPr="00181CF2">
        <w:rPr>
          <w:rFonts w:ascii="Arial" w:hAnsi="Arial" w:cs="Arial"/>
          <w:lang w:val="en-GB"/>
        </w:rPr>
        <w:t xml:space="preserve"> (2013), at 416.</w:t>
      </w:r>
    </w:p>
  </w:footnote>
  <w:footnote w:id="551">
    <w:p w:rsidR="0022178B" w:rsidRPr="00181CF2" w:rsidRDefault="0022178B" w:rsidP="003675EF">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Lawrence AA (2003), “Factors associated with satisfaction or regret following male-to-female sex reassignment surgery”</w:t>
      </w:r>
      <w:r w:rsidRPr="00181CF2">
        <w:rPr>
          <w:rFonts w:ascii="Arial" w:hAnsi="Arial" w:cs="Arial"/>
          <w:lang w:val="en-GB"/>
        </w:rPr>
        <w:t xml:space="preserve">, </w:t>
      </w:r>
      <w:r w:rsidRPr="0028108F">
        <w:rPr>
          <w:rFonts w:ascii="Arial" w:hAnsi="Arial" w:cs="Arial"/>
          <w:i/>
          <w:lang w:val="en-GB"/>
        </w:rPr>
        <w:t>Archives of Sexual Behavior</w:t>
      </w:r>
      <w:r w:rsidRPr="00181CF2">
        <w:rPr>
          <w:rFonts w:ascii="Arial" w:hAnsi="Arial" w:cs="Arial"/>
          <w:lang w:val="en-GB"/>
        </w:rPr>
        <w:t xml:space="preserve">, 32, 299-315.  </w:t>
      </w:r>
    </w:p>
  </w:footnote>
  <w:footnote w:id="552">
    <w:p w:rsidR="0022178B" w:rsidRPr="00181CF2" w:rsidRDefault="0022178B" w:rsidP="003675EF">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 J. Gender &amp; L. 373</w:t>
      </w:r>
      <w:r w:rsidRPr="00181CF2">
        <w:rPr>
          <w:rFonts w:ascii="Arial" w:hAnsi="Arial" w:cs="Arial"/>
          <w:lang w:val="en-GB"/>
        </w:rPr>
        <w:t xml:space="preserve"> (2013), at 414.</w:t>
      </w:r>
    </w:p>
  </w:footnote>
  <w:footnote w:id="553">
    <w:p w:rsidR="0022178B" w:rsidRPr="00C57CE1" w:rsidRDefault="0022178B" w:rsidP="003675EF">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Kenji Yoshino, </w:t>
      </w:r>
      <w:r w:rsidRPr="0028108F">
        <w:rPr>
          <w:rFonts w:ascii="Arial" w:hAnsi="Arial" w:cs="Arial"/>
          <w:lang w:val="en-GB"/>
        </w:rPr>
        <w:t>“Sex and the City: New York City Bungles Transgender Equality”</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SLATE</w:t>
      </w:r>
      <w:r w:rsidRPr="00181CF2">
        <w:rPr>
          <w:rFonts w:ascii="Arial" w:hAnsi="Arial" w:cs="Arial"/>
          <w:lang w:val="en-GB"/>
        </w:rPr>
        <w:t>, 11 December 2006.  See also Lisa Mottet,</w:t>
      </w:r>
      <w:r w:rsidRPr="00C57CE1">
        <w:rPr>
          <w:rFonts w:ascii="Arial" w:hAnsi="Arial" w:cs="Arial"/>
          <w:lang w:val="en-GB"/>
        </w:rPr>
        <w:t xml:space="preserve"> </w:t>
      </w:r>
      <w:r w:rsidRPr="0028108F">
        <w:rPr>
          <w:rFonts w:ascii="Arial" w:hAnsi="Arial" w:cs="Arial"/>
          <w:lang w:val="en-GB"/>
        </w:rPr>
        <w:t>“Modernizing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 xml:space="preserve">Mich J Gender &amp; L </w:t>
      </w:r>
      <w:r w:rsidRPr="00181CF2">
        <w:rPr>
          <w:rFonts w:ascii="Arial" w:hAnsi="Arial" w:cs="Arial"/>
          <w:lang w:val="en-GB"/>
        </w:rPr>
        <w:t>373</w:t>
      </w:r>
      <w:r w:rsidRPr="00C57CE1">
        <w:rPr>
          <w:rFonts w:ascii="Arial" w:hAnsi="Arial" w:cs="Arial"/>
          <w:lang w:val="en-GB"/>
        </w:rPr>
        <w:t xml:space="preserve"> (2013), at 414.</w:t>
      </w:r>
    </w:p>
  </w:footnote>
  <w:footnote w:id="554">
    <w:p w:rsidR="0022178B" w:rsidRPr="00181CF2" w:rsidRDefault="0022178B" w:rsidP="00767F2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Kenji Yoshino, “Sex and the City: New York City Bungles Transgender Equality”</w:t>
      </w:r>
      <w:r w:rsidRPr="00181CF2">
        <w:rPr>
          <w:rFonts w:ascii="Arial" w:hAnsi="Arial" w:cs="Arial"/>
          <w:lang w:val="en-GB"/>
        </w:rPr>
        <w:t xml:space="preserve">, </w:t>
      </w:r>
      <w:r w:rsidRPr="0028108F">
        <w:rPr>
          <w:rFonts w:ascii="Arial" w:hAnsi="Arial" w:cs="Arial"/>
          <w:i/>
          <w:lang w:val="en-GB"/>
        </w:rPr>
        <w:t>SLATE</w:t>
      </w:r>
      <w:r w:rsidRPr="00181CF2">
        <w:rPr>
          <w:rFonts w:ascii="Arial" w:hAnsi="Arial" w:cs="Arial"/>
          <w:lang w:val="en-GB"/>
        </w:rPr>
        <w:t xml:space="preserve">, 11 December 2006.  </w:t>
      </w:r>
    </w:p>
  </w:footnote>
  <w:footnote w:id="555">
    <w:p w:rsidR="0022178B" w:rsidRPr="0028108F" w:rsidRDefault="0022178B" w:rsidP="00FF741E">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181CF2">
        <w:rPr>
          <w:rFonts w:ascii="Arial" w:hAnsi="Arial" w:cs="Arial"/>
          <w:lang w:val="en-GB"/>
        </w:rPr>
        <w:t>The Open Society Foundations,</w:t>
      </w:r>
      <w:r w:rsidRPr="00C57CE1">
        <w:rPr>
          <w:rFonts w:ascii="Arial" w:hAnsi="Arial" w:cs="Arial"/>
          <w:lang w:val="en-GB"/>
        </w:rPr>
        <w:t xml:space="preserve"> </w:t>
      </w:r>
      <w:r w:rsidRPr="0028108F">
        <w:rPr>
          <w:rFonts w:ascii="Arial" w:hAnsi="Arial" w:cs="Arial"/>
          <w:lang w:val="en-GB"/>
        </w:rPr>
        <w:t>“License To Be Yourself: Laws and Advocacy for Legal Gender Recognition of Trans People”</w:t>
      </w:r>
      <w:r w:rsidRPr="00181CF2">
        <w:rPr>
          <w:rFonts w:ascii="Arial" w:hAnsi="Arial" w:cs="Arial"/>
          <w:lang w:val="en-GB"/>
        </w:rPr>
        <w:t>,</w:t>
      </w:r>
      <w:r w:rsidRPr="00C57CE1">
        <w:rPr>
          <w:rFonts w:ascii="Arial" w:hAnsi="Arial" w:cs="Arial"/>
          <w:lang w:val="en-GB"/>
        </w:rPr>
        <w:t xml:space="preserve"> May 2014,</w:t>
      </w:r>
      <w:r w:rsidRPr="00181CF2">
        <w:rPr>
          <w:rFonts w:ascii="Arial" w:hAnsi="Arial" w:cs="Arial"/>
          <w:lang w:val="en-GB"/>
        </w:rPr>
        <w:t xml:space="preserve"> at </w:t>
      </w:r>
      <w:r w:rsidRPr="0028108F">
        <w:rPr>
          <w:rFonts w:ascii="Arial" w:hAnsi="Arial" w:cs="Arial"/>
          <w:lang w:val="en-GB"/>
        </w:rPr>
        <w:t xml:space="preserve">17. </w:t>
      </w:r>
    </w:p>
  </w:footnote>
  <w:footnote w:id="556">
    <w:p w:rsidR="0022178B" w:rsidRPr="0028108F" w:rsidRDefault="0022178B" w:rsidP="008A27C8">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Transgender Europe (TGEU), </w:t>
      </w:r>
      <w:r w:rsidRPr="0028108F">
        <w:rPr>
          <w:rFonts w:ascii="Arial" w:hAnsi="Arial" w:cs="Arial"/>
          <w:lang w:val="en-GB" w:eastAsia="zh-TW"/>
        </w:rPr>
        <w:t>“</w:t>
      </w:r>
      <w:r w:rsidRPr="0028108F">
        <w:rPr>
          <w:rFonts w:ascii="Arial" w:hAnsi="Arial" w:cs="Arial"/>
          <w:lang w:val="en-GB"/>
        </w:rPr>
        <w:t>Trans Rights Europe Map, 201</w:t>
      </w:r>
      <w:r>
        <w:rPr>
          <w:rFonts w:ascii="Arial" w:hAnsi="Arial" w:cs="Arial" w:hint="eastAsia"/>
          <w:lang w:val="en-GB" w:eastAsia="zh-TW"/>
        </w:rPr>
        <w:t>7</w:t>
      </w:r>
      <w:r w:rsidRPr="00C57CE1">
        <w:rPr>
          <w:rFonts w:ascii="Arial" w:hAnsi="Arial" w:cs="Arial"/>
          <w:lang w:val="en-GB" w:eastAsia="zh-TW"/>
        </w:rPr>
        <w:t>”</w:t>
      </w:r>
      <w:r w:rsidRPr="0028108F">
        <w:rPr>
          <w:rFonts w:ascii="Arial" w:hAnsi="Arial" w:cs="Arial"/>
          <w:lang w:val="en-GB"/>
        </w:rPr>
        <w:t xml:space="preserve">.  As can be seen from </w:t>
      </w:r>
      <w:r w:rsidRPr="008813DE">
        <w:rPr>
          <w:rFonts w:ascii="Arial" w:hAnsi="Arial" w:cs="Arial"/>
          <w:lang w:val="en-GB"/>
        </w:rPr>
        <w:t xml:space="preserve">Chapter </w:t>
      </w:r>
      <w:r>
        <w:rPr>
          <w:rFonts w:ascii="Arial" w:hAnsi="Arial" w:cs="Arial" w:hint="eastAsia"/>
          <w:lang w:val="en-GB" w:eastAsia="zh-TW"/>
        </w:rPr>
        <w:t>4</w:t>
      </w:r>
      <w:r w:rsidRPr="008813DE">
        <w:rPr>
          <w:rFonts w:ascii="Arial" w:hAnsi="Arial" w:cs="Arial"/>
          <w:lang w:val="en-GB"/>
        </w:rPr>
        <w:t xml:space="preserve"> and Annex A</w:t>
      </w:r>
      <w:r w:rsidRPr="0028108F">
        <w:rPr>
          <w:rFonts w:ascii="Arial" w:hAnsi="Arial" w:cs="Arial"/>
          <w:lang w:val="en-GB"/>
        </w:rPr>
        <w:t xml:space="preserve"> of this Consultation Paper, of the 36 countries in Europe studied, </w:t>
      </w:r>
      <w:r w:rsidRPr="008813DE">
        <w:rPr>
          <w:rFonts w:ascii="Arial" w:hAnsi="Arial" w:cs="Arial"/>
          <w:lang w:val="en-GB"/>
        </w:rPr>
        <w:t>1</w:t>
      </w:r>
      <w:r>
        <w:rPr>
          <w:rFonts w:ascii="Arial" w:hAnsi="Arial" w:cs="Arial" w:hint="eastAsia"/>
          <w:lang w:val="en-GB" w:eastAsia="zh-TW"/>
        </w:rPr>
        <w:t>0</w:t>
      </w:r>
      <w:r w:rsidRPr="00181CF2">
        <w:rPr>
          <w:rFonts w:ascii="Arial" w:hAnsi="Arial" w:cs="Arial"/>
          <w:lang w:val="en-GB"/>
        </w:rPr>
        <w:t xml:space="preserve"> </w:t>
      </w:r>
      <w:r w:rsidRPr="00C57CE1">
        <w:rPr>
          <w:rFonts w:ascii="Arial" w:hAnsi="Arial" w:cs="Arial"/>
          <w:lang w:val="en-GB"/>
        </w:rPr>
        <w:t xml:space="preserve">require </w:t>
      </w:r>
      <w:r w:rsidRPr="0028108F">
        <w:rPr>
          <w:rFonts w:ascii="Arial" w:hAnsi="Arial" w:cs="Arial"/>
          <w:lang w:val="en-GB"/>
        </w:rPr>
        <w:t>SRS and/or sterilisation as preconditions for a gender recognition procedure.</w:t>
      </w:r>
    </w:p>
  </w:footnote>
  <w:footnote w:id="557">
    <w:p w:rsidR="0022178B" w:rsidRPr="0028108F" w:rsidRDefault="0022178B" w:rsidP="008A27C8">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Act on Specific Health Services No.373/2011 Coll; Czech Civil Code s.29(1).</w:t>
      </w:r>
    </w:p>
  </w:footnote>
  <w:footnote w:id="558">
    <w:p w:rsidR="0022178B" w:rsidRPr="0028108F" w:rsidRDefault="0022178B" w:rsidP="008A27C8">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C57CE1">
        <w:rPr>
          <w:rFonts w:ascii="Arial" w:hAnsi="Arial" w:cs="Arial"/>
          <w:lang w:val="en-GB"/>
        </w:rPr>
        <w:t xml:space="preserve"> (</w:t>
      </w:r>
      <w:r w:rsidRPr="0028108F">
        <w:rPr>
          <w:rFonts w:ascii="Arial" w:hAnsi="Arial" w:cs="Arial"/>
          <w:lang w:val="en-GB"/>
        </w:rPr>
        <w:t>in Chinese, transliterated as “Homosexuality and Transsexualism – Commenting on Homosexual Movement and Transsexual Marriage”), June 2015, at 282.</w:t>
      </w:r>
    </w:p>
  </w:footnote>
  <w:footnote w:id="559">
    <w:p w:rsidR="0022178B" w:rsidRPr="0028108F" w:rsidRDefault="0022178B" w:rsidP="008813DE">
      <w:pPr>
        <w:pStyle w:val="FootnoteText"/>
        <w:tabs>
          <w:tab w:val="left" w:pos="709"/>
        </w:tabs>
        <w:ind w:left="708" w:hangingChars="354" w:hanging="708"/>
        <w:jc w:val="both"/>
        <w:rPr>
          <w:rFonts w:ascii="Arial" w:hAnsi="Arial" w:cs="Arial"/>
          <w:i/>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ab/>
      </w:r>
      <w:r w:rsidRPr="0028108F">
        <w:rPr>
          <w:rFonts w:ascii="Arial" w:hAnsi="Arial" w:cs="Arial"/>
          <w:lang w:val="en-GB"/>
        </w:rPr>
        <w:t xml:space="preserve">See news report of </w:t>
      </w:r>
      <w:r w:rsidRPr="008813DE">
        <w:rPr>
          <w:rFonts w:ascii="Arial" w:hAnsi="Arial" w:cs="Arial"/>
          <w:i/>
          <w:lang w:val="en-GB"/>
        </w:rPr>
        <w:t>The Guardian</w:t>
      </w:r>
      <w:r w:rsidRPr="0028108F">
        <w:rPr>
          <w:rFonts w:ascii="Arial" w:hAnsi="Arial" w:cs="Arial"/>
          <w:lang w:val="en-GB"/>
        </w:rPr>
        <w:t>, “Vietnam law change introduces transgender rights”</w:t>
      </w:r>
      <w:r w:rsidRPr="00181CF2">
        <w:rPr>
          <w:rFonts w:ascii="Arial" w:hAnsi="Arial" w:cs="Arial"/>
          <w:lang w:val="en-GB"/>
        </w:rPr>
        <w:t>, 24 Novem</w:t>
      </w:r>
      <w:r w:rsidRPr="00C57CE1">
        <w:rPr>
          <w:rFonts w:ascii="Arial" w:hAnsi="Arial" w:cs="Arial"/>
          <w:lang w:val="en-GB"/>
        </w:rPr>
        <w:t>ber 2015.</w:t>
      </w:r>
    </w:p>
  </w:footnote>
  <w:footnote w:id="560">
    <w:p w:rsidR="0022178B" w:rsidRPr="00181CF2" w:rsidRDefault="0022178B" w:rsidP="004B2E95">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19</w:t>
      </w:r>
      <w:r w:rsidRPr="0028108F">
        <w:rPr>
          <w:rFonts w:ascii="Arial" w:hAnsi="Arial" w:cs="Arial"/>
          <w:i/>
          <w:lang w:val="en-GB"/>
        </w:rPr>
        <w:t xml:space="preserve"> Mich J Gender &amp; L</w:t>
      </w:r>
      <w:r w:rsidRPr="00181CF2">
        <w:rPr>
          <w:rFonts w:ascii="Arial" w:hAnsi="Arial" w:cs="Arial"/>
          <w:lang w:val="en-GB"/>
        </w:rPr>
        <w:t xml:space="preserve"> 373 (2013), at 410.</w:t>
      </w:r>
    </w:p>
  </w:footnote>
  <w:footnote w:id="561">
    <w:p w:rsidR="0022178B" w:rsidRPr="00181CF2" w:rsidRDefault="0022178B" w:rsidP="004B2E95">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Some would say that the breakthrough of legal development begun since the landmark </w:t>
      </w:r>
      <w:r w:rsidRPr="0028108F">
        <w:rPr>
          <w:rFonts w:ascii="Arial" w:hAnsi="Arial" w:cs="Arial"/>
          <w:lang w:val="en-GB" w:eastAsia="zh-TW"/>
        </w:rPr>
        <w:t xml:space="preserve">ECtHR </w:t>
      </w:r>
      <w:r w:rsidRPr="0028108F">
        <w:rPr>
          <w:rFonts w:ascii="Arial" w:hAnsi="Arial" w:cs="Arial"/>
          <w:lang w:val="en-GB"/>
        </w:rPr>
        <w:t xml:space="preserve">decision in </w:t>
      </w:r>
      <w:r w:rsidRPr="0028108F">
        <w:rPr>
          <w:rFonts w:ascii="Arial" w:hAnsi="Arial" w:cs="Arial"/>
          <w:i/>
          <w:lang w:val="en-GB"/>
        </w:rPr>
        <w:t>Goodwin v United Kingdom</w:t>
      </w:r>
      <w:r w:rsidRPr="0028108F">
        <w:rPr>
          <w:rFonts w:ascii="Arial" w:hAnsi="Arial" w:cs="Arial"/>
          <w:i/>
          <w:lang w:val="en-GB" w:eastAsia="zh-TW"/>
        </w:rPr>
        <w:t xml:space="preserve"> </w:t>
      </w:r>
      <w:r w:rsidRPr="0028108F">
        <w:rPr>
          <w:rFonts w:ascii="Arial" w:hAnsi="Arial" w:cs="Arial"/>
          <w:lang w:val="en-GB" w:eastAsia="zh-TW"/>
        </w:rPr>
        <w:t>(2002)</w:t>
      </w:r>
      <w:r w:rsidRPr="0028108F">
        <w:rPr>
          <w:rFonts w:ascii="Arial" w:hAnsi="Arial" w:cs="Arial"/>
          <w:lang w:val="en-GB"/>
        </w:rPr>
        <w:t xml:space="preserve"> 35 </w:t>
      </w:r>
      <w:r w:rsidRPr="00F86CD8">
        <w:rPr>
          <w:rFonts w:ascii="Arial" w:hAnsi="Arial" w:cs="Arial"/>
          <w:lang w:val="en-GB"/>
        </w:rPr>
        <w:t>EHRR</w:t>
      </w:r>
      <w:r w:rsidRPr="00181CF2">
        <w:rPr>
          <w:rFonts w:ascii="Arial" w:hAnsi="Arial" w:cs="Arial"/>
          <w:lang w:val="en-GB"/>
        </w:rPr>
        <w:t xml:space="preserve"> </w:t>
      </w:r>
      <w:r>
        <w:rPr>
          <w:rFonts w:ascii="Arial" w:hAnsi="Arial" w:cs="Arial"/>
          <w:lang w:val="en-GB"/>
        </w:rPr>
        <w:t>18</w:t>
      </w:r>
      <w:r w:rsidRPr="00181CF2">
        <w:rPr>
          <w:rFonts w:ascii="Arial" w:hAnsi="Arial" w:cs="Arial"/>
          <w:lang w:val="en-GB"/>
        </w:rPr>
        <w:t>, 11 July 2002.</w:t>
      </w:r>
    </w:p>
  </w:footnote>
  <w:footnote w:id="562">
    <w:p w:rsidR="0022178B" w:rsidRPr="00181CF2" w:rsidRDefault="0022178B" w:rsidP="004B2E95">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See new</w:t>
      </w:r>
      <w:r w:rsidRPr="0028108F">
        <w:rPr>
          <w:rFonts w:ascii="Arial" w:hAnsi="Arial" w:cs="Arial"/>
          <w:lang w:val="en-GB"/>
        </w:rPr>
        <w:t xml:space="preserve">s report of </w:t>
      </w:r>
      <w:r w:rsidRPr="008813DE">
        <w:rPr>
          <w:rFonts w:ascii="Arial" w:hAnsi="Arial" w:cs="Arial"/>
          <w:i/>
          <w:lang w:val="en-GB"/>
        </w:rPr>
        <w:t>Autostraddle</w:t>
      </w:r>
      <w:r w:rsidRPr="0028108F">
        <w:rPr>
          <w:rFonts w:ascii="Arial" w:hAnsi="Arial" w:cs="Arial"/>
          <w:lang w:val="en-GB"/>
        </w:rPr>
        <w:t>, “Denmark’s New Law Makes Legal Gender Recognition A Lot Easier”</w:t>
      </w:r>
      <w:r w:rsidRPr="00181CF2">
        <w:rPr>
          <w:rFonts w:ascii="Arial" w:hAnsi="Arial" w:cs="Arial"/>
          <w:lang w:val="en-GB"/>
        </w:rPr>
        <w:t>, 4 September 2014.</w:t>
      </w:r>
    </w:p>
  </w:footnote>
  <w:footnote w:id="563">
    <w:p w:rsidR="0022178B" w:rsidRPr="0028108F" w:rsidRDefault="0022178B" w:rsidP="004B2E95">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The Gender Identity, Gender Expression and Sex Characteristics Act.</w:t>
      </w:r>
    </w:p>
  </w:footnote>
  <w:footnote w:id="564">
    <w:p w:rsidR="0022178B" w:rsidRPr="00181CF2" w:rsidRDefault="0022178B" w:rsidP="00813FAE">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TGEU</w:t>
      </w:r>
      <w:r w:rsidRPr="0028108F">
        <w:rPr>
          <w:rFonts w:ascii="Arial" w:hAnsi="Arial" w:cs="Arial"/>
          <w:lang w:val="en-GB"/>
        </w:rPr>
        <w:t>, “Malta Adopts Ground-breaking Trans and Intersex Law”</w:t>
      </w:r>
      <w:r w:rsidRPr="00181CF2">
        <w:rPr>
          <w:rFonts w:ascii="Arial" w:hAnsi="Arial" w:cs="Arial"/>
          <w:lang w:val="en-GB"/>
        </w:rPr>
        <w:t>, 1 April 2015.</w:t>
      </w:r>
    </w:p>
  </w:footnote>
  <w:footnote w:id="565">
    <w:p w:rsidR="0022178B" w:rsidRPr="0028108F" w:rsidRDefault="0022178B" w:rsidP="00813FAE">
      <w:pPr>
        <w:pStyle w:val="FootnoteText"/>
        <w:tabs>
          <w:tab w:val="left" w:pos="851"/>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Ubamaka Edward Wilson v Secretary for Security</w:t>
      </w:r>
      <w:r w:rsidRPr="0028108F">
        <w:rPr>
          <w:rFonts w:ascii="Arial" w:hAnsi="Arial" w:cs="Arial"/>
          <w:lang w:val="en-GB"/>
        </w:rPr>
        <w:t xml:space="preserve"> [2013] 2 H.K.C. 75 (CFA)</w:t>
      </w:r>
      <w:r w:rsidRPr="00C57CE1">
        <w:rPr>
          <w:rFonts w:ascii="Arial" w:hAnsi="Arial" w:cs="Arial"/>
          <w:lang w:val="en-GB"/>
        </w:rPr>
        <w:t xml:space="preserve">, </w:t>
      </w:r>
      <w:r w:rsidRPr="0028108F">
        <w:rPr>
          <w:rFonts w:ascii="Arial" w:hAnsi="Arial" w:cs="Arial"/>
          <w:lang w:val="en-GB"/>
        </w:rPr>
        <w:t>paragraphs 172-173.</w:t>
      </w:r>
    </w:p>
  </w:footnote>
  <w:footnote w:id="566">
    <w:p w:rsidR="0022178B" w:rsidRPr="0028108F" w:rsidRDefault="0022178B" w:rsidP="00845D4E">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 xml:space="preserve">See </w:t>
      </w:r>
      <w:r w:rsidRPr="0028108F">
        <w:rPr>
          <w:rFonts w:ascii="Arial" w:hAnsi="Arial" w:cs="Arial"/>
          <w:lang w:val="en-GB"/>
        </w:rPr>
        <w:t xml:space="preserve">Juan E Méndez, United Nations Human Rights Council, </w:t>
      </w:r>
      <w:r w:rsidRPr="003405A9">
        <w:rPr>
          <w:rFonts w:ascii="Arial" w:hAnsi="Arial" w:cs="Arial"/>
          <w:i/>
          <w:lang w:val="en-GB"/>
        </w:rPr>
        <w:t>Report of the Special Rapporteur on torture and other cruel, inhuman or degrading treatment or punishment</w:t>
      </w:r>
      <w:r w:rsidRPr="00C57CE1">
        <w:rPr>
          <w:rFonts w:ascii="Arial" w:hAnsi="Arial" w:cs="Arial"/>
          <w:lang w:val="en-GB"/>
        </w:rPr>
        <w:t xml:space="preserve"> (1 February 2013, A/HRC/22/53)</w:t>
      </w:r>
      <w:r w:rsidRPr="0028108F">
        <w:rPr>
          <w:rFonts w:ascii="Arial" w:hAnsi="Arial" w:cs="Arial"/>
          <w:lang w:val="en-GB"/>
        </w:rPr>
        <w:t xml:space="preserve">, </w:t>
      </w:r>
      <w:r>
        <w:rPr>
          <w:rFonts w:ascii="Arial" w:hAnsi="Arial" w:cs="Arial"/>
          <w:lang w:val="en-GB"/>
        </w:rPr>
        <w:t xml:space="preserve">at </w:t>
      </w:r>
      <w:r w:rsidRPr="0028108F">
        <w:rPr>
          <w:rFonts w:ascii="Arial" w:hAnsi="Arial" w:cs="Arial"/>
          <w:lang w:val="en-GB"/>
        </w:rPr>
        <w:t xml:space="preserve">paragraph 88.    </w:t>
      </w:r>
    </w:p>
  </w:footnote>
  <w:footnote w:id="567">
    <w:p w:rsidR="0022178B" w:rsidRPr="00181CF2"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Micah Grzywnowicz, “Consent Signed with Invisible Ink: Sterilization of Trans* People and Legal Gender Recognition”</w:t>
      </w:r>
      <w:r w:rsidRPr="00181CF2">
        <w:rPr>
          <w:rFonts w:ascii="Arial" w:hAnsi="Arial" w:cs="Arial"/>
          <w:lang w:val="en-GB"/>
        </w:rPr>
        <w:t>,</w:t>
      </w:r>
      <w:r w:rsidRPr="00C57CE1">
        <w:rPr>
          <w:rFonts w:ascii="Arial" w:hAnsi="Arial" w:cs="Arial"/>
          <w:lang w:val="en-GB"/>
        </w:rPr>
        <w:t xml:space="preserve"> in </w:t>
      </w:r>
      <w:r w:rsidRPr="008813DE">
        <w:rPr>
          <w:rFonts w:ascii="Arial" w:hAnsi="Arial" w:cs="Arial"/>
          <w:i/>
          <w:lang w:val="en-GB"/>
        </w:rPr>
        <w:t>Torture in Healthcare Settings: Reflections on the Special Rapporteur on Torture’s 2013 Thematic Report</w:t>
      </w:r>
      <w:r w:rsidRPr="0028108F">
        <w:rPr>
          <w:rFonts w:ascii="Arial" w:hAnsi="Arial" w:cs="Arial"/>
          <w:lang w:val="en-GB"/>
        </w:rPr>
        <w:t xml:space="preserve">, </w:t>
      </w:r>
      <w:r w:rsidRPr="0028108F">
        <w:rPr>
          <w:rFonts w:ascii="Arial" w:hAnsi="Arial" w:cs="Arial"/>
          <w:i/>
          <w:lang w:val="en-GB"/>
        </w:rPr>
        <w:t>American University Washington College of Law, Center for Human Rights &amp; Humanitarian Law: Anti-Torture Initiative</w:t>
      </w:r>
      <w:r w:rsidRPr="00181CF2">
        <w:rPr>
          <w:rFonts w:ascii="Arial" w:hAnsi="Arial" w:cs="Arial"/>
          <w:lang w:val="en-GB"/>
        </w:rPr>
        <w:t xml:space="preserve"> (2014), pp 73-81</w:t>
      </w:r>
      <w:r>
        <w:rPr>
          <w:rFonts w:ascii="Arial" w:hAnsi="Arial" w:cs="Arial"/>
          <w:lang w:val="en-GB"/>
        </w:rPr>
        <w:t>,</w:t>
      </w:r>
      <w:r w:rsidRPr="00181CF2">
        <w:rPr>
          <w:rFonts w:ascii="Arial" w:hAnsi="Arial" w:cs="Arial"/>
          <w:lang w:val="en-GB"/>
        </w:rPr>
        <w:t xml:space="preserve"> at 80.</w:t>
      </w:r>
    </w:p>
  </w:footnote>
  <w:footnote w:id="568">
    <w:p w:rsidR="0022178B" w:rsidRPr="0028108F" w:rsidRDefault="0022178B">
      <w:pPr>
        <w:pStyle w:val="FootnoteText"/>
        <w:tabs>
          <w:tab w:val="left" w:pos="851"/>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Namely, Office of the High Commissioner for Human Rights, United Nations Entity for Gender Equality and the Empowerment of Women, Joint United Nations Programme on HIV and AIDS, United Nations Development Programme, United Nations Population Fund, United Nations Children’s Fund and the World Health Organisation.  The statement deals with forced, coercive and otherwise involuntary sterilisation of women, women living with HIV, ethnic minorities girls and women, persons with disabilities, transgender persons and intersex persons.</w:t>
      </w:r>
    </w:p>
  </w:footnote>
  <w:footnote w:id="569">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OHCHR, UN Women, UNAIDS, UNDP, UNFPA, UNICEF and WHO, “Eliminating forced, coercive and otherwise involuntary sterilization: An interagency statement”</w:t>
      </w:r>
      <w:r w:rsidRPr="00181CF2">
        <w:rPr>
          <w:rFonts w:ascii="Arial" w:hAnsi="Arial" w:cs="Arial"/>
          <w:lang w:val="en-GB"/>
        </w:rPr>
        <w:t xml:space="preserve"> </w:t>
      </w:r>
      <w:r w:rsidRPr="0028108F">
        <w:rPr>
          <w:rFonts w:ascii="Arial" w:hAnsi="Arial" w:cs="Arial"/>
          <w:lang w:val="en-GB"/>
        </w:rPr>
        <w:t>(2014), at 13.</w:t>
      </w:r>
    </w:p>
  </w:footnote>
  <w:footnote w:id="570">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eastAsia="zh-TW"/>
        </w:rPr>
        <w:t>Same as above</w:t>
      </w:r>
      <w:r w:rsidRPr="00C57CE1">
        <w:rPr>
          <w:rFonts w:ascii="Arial" w:hAnsi="Arial" w:cs="Arial"/>
          <w:i/>
          <w:lang w:val="en-GB"/>
        </w:rPr>
        <w:t xml:space="preserve">, </w:t>
      </w:r>
      <w:r w:rsidRPr="0028108F">
        <w:rPr>
          <w:rFonts w:ascii="Arial" w:hAnsi="Arial" w:cs="Arial"/>
          <w:lang w:val="en-GB"/>
        </w:rPr>
        <w:t>at 14.</w:t>
      </w:r>
    </w:p>
  </w:footnote>
  <w:footnote w:id="571">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Report of the United Nations High Commissioner for Human Rights, “Discrimination and violence against individuals based on their sexual orientation and gender identity”</w:t>
      </w:r>
      <w:r w:rsidRPr="00181CF2">
        <w:rPr>
          <w:rFonts w:ascii="Arial" w:hAnsi="Arial" w:cs="Arial"/>
          <w:lang w:val="en-GB"/>
        </w:rPr>
        <w:t xml:space="preserve">, A/HRC/29/23, 4 May 2015, </w:t>
      </w:r>
      <w:r w:rsidRPr="0028108F">
        <w:rPr>
          <w:rFonts w:ascii="Arial" w:hAnsi="Arial" w:cs="Arial"/>
          <w:lang w:val="en-GB"/>
        </w:rPr>
        <w:t>paragraphs 13 and 14.</w:t>
      </w:r>
    </w:p>
  </w:footnote>
  <w:footnote w:id="572">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Same as above</w:t>
      </w:r>
      <w:r w:rsidRPr="00C57CE1">
        <w:rPr>
          <w:rFonts w:ascii="Arial" w:hAnsi="Arial" w:cs="Arial"/>
          <w:lang w:val="en-GB"/>
        </w:rPr>
        <w:t xml:space="preserve">, </w:t>
      </w:r>
      <w:r w:rsidRPr="0028108F">
        <w:rPr>
          <w:rFonts w:ascii="Arial" w:hAnsi="Arial" w:cs="Arial"/>
          <w:lang w:val="en-GB"/>
        </w:rPr>
        <w:t>paragraph 38.</w:t>
      </w:r>
    </w:p>
  </w:footnote>
  <w:footnote w:id="573">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experts include: United Nations Committee on the Rights of the Child (CRC); Mr Philip Alston, Special Rapporteur on extreme poverty and human rights; Mr Maina Kiai, Special Rapporteur on the rights to freedom of peaceful assembly and of association; Mr David Kaye, Special Rapporteur on the promotion and protection of the right to freedom of opinion and expression; Mr Dainius Pῡras, Special Rapporteur on the right of everyone to the enjoyment of the highest attainable standard of physical and mental health; Mr Michel Forst, Special Rapporteur on the situation of human rights defenders; Mr Juan Méndez, Special Rapporteur on torture and other cruel, inhuman, or degrading treatment or punishment; Special Representative of the United Nations Secretary-General on Violence against Children, Ms Marta Santos Pais; Inter-American Commission on Human Rights (IACHR); African Commission on Human and Peoples’ Rights (ACHPR); Ms Reine Alapini-Gansou; Special Rapporteur on Human Rights Defenders in Africa; Council of Europe Commissioner for Human Rights: Mr Nils Muižnieks.</w:t>
      </w:r>
    </w:p>
  </w:footnote>
  <w:footnote w:id="574">
    <w:p w:rsidR="0022178B" w:rsidRPr="00181CF2"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OHCHR’s Press Release of 13 May 2015, “Discriminated and made vulnerable: Young LGBT and intersex people need recognition and protection of their rights – International Day against Homophobia, Biphobia and Transphobia - Sunday 17 May 2015”</w:t>
      </w:r>
      <w:r w:rsidRPr="00181CF2">
        <w:rPr>
          <w:rFonts w:ascii="Arial" w:hAnsi="Arial" w:cs="Arial"/>
          <w:lang w:val="en-GB"/>
        </w:rPr>
        <w:t xml:space="preserve">. </w:t>
      </w:r>
    </w:p>
  </w:footnote>
  <w:footnote w:id="575">
    <w:p w:rsidR="0022178B" w:rsidRPr="0028108F" w:rsidRDefault="0022178B">
      <w:pPr>
        <w:pStyle w:val="FootnoteText"/>
        <w:tabs>
          <w:tab w:val="left" w:pos="851"/>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discussion at paragraph 4.162, above.  Principle 3 of the Yogyakarta Principles provides that: “</w:t>
      </w:r>
      <w:r w:rsidRPr="0028108F">
        <w:rPr>
          <w:rFonts w:ascii="Arial" w:hAnsi="Arial" w:cs="Arial"/>
          <w:i/>
          <w:lang w:val="en-GB"/>
        </w:rPr>
        <w:t>No one shall be forced to undergo medical procedures, including sex reassignment surgery, sterilisation or hormonal therapy, as a requirement for legal recognition of their gender identity.</w:t>
      </w:r>
      <w:r w:rsidRPr="0028108F">
        <w:rPr>
          <w:rFonts w:ascii="Arial" w:hAnsi="Arial" w:cs="Arial"/>
          <w:lang w:val="en-GB"/>
        </w:rPr>
        <w:t>”</w:t>
      </w:r>
    </w:p>
  </w:footnote>
  <w:footnote w:id="576">
    <w:p w:rsidR="0022178B" w:rsidRPr="00181CF2"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593EC4">
        <w:rPr>
          <w:rFonts w:ascii="Arial" w:hAnsi="Arial" w:cs="Arial"/>
          <w:lang w:val="en-GB"/>
        </w:rPr>
        <w:t>World Professional Association for Transgender Health,  “Position Statement on Medical Necessity of Treatment, Sex Reassignment, and Insurance Coverage in the U.S.A.”, 21 December 2016</w:t>
      </w:r>
      <w:r w:rsidRPr="00181CF2">
        <w:rPr>
          <w:rFonts w:ascii="Arial" w:hAnsi="Arial" w:cs="Arial"/>
          <w:lang w:val="en-GB"/>
        </w:rPr>
        <w:t>.</w:t>
      </w:r>
    </w:p>
  </w:footnote>
  <w:footnote w:id="577">
    <w:p w:rsidR="0022178B" w:rsidRPr="0028108F" w:rsidRDefault="0022178B">
      <w:pPr>
        <w:pStyle w:val="FootnoteText"/>
        <w:tabs>
          <w:tab w:val="left" w:pos="851"/>
        </w:tabs>
        <w:ind w:left="708" w:hangingChars="354" w:hanging="708"/>
        <w:jc w:val="both"/>
        <w:rPr>
          <w:rFonts w:ascii="Arial" w:hAnsi="Arial" w:cs="Arial"/>
          <w:i/>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WPATH, press release of 16 June 2010 on Identity Recognition Statement; WPATH, 2015 Statement on Identity Recognition, dated 19 January 2015.</w:t>
      </w:r>
    </w:p>
  </w:footnote>
  <w:footnote w:id="578">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Thomas Hammarberg, “Human Rights and Gender Identity”, CommDH/IssuePaper (2009) 2, at 18.</w:t>
      </w:r>
    </w:p>
  </w:footnote>
  <w:footnote w:id="579">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Recommendation CM/Rec(2010)5, Appendix, paragraph 20, and Explanatory Memora</w:t>
      </w:r>
      <w:r>
        <w:rPr>
          <w:rFonts w:ascii="Arial" w:hAnsi="Arial" w:cs="Arial"/>
          <w:lang w:val="en-GB"/>
        </w:rPr>
        <w:t>ndum, Section IV, paragraphs 20</w:t>
      </w:r>
      <w:r>
        <w:rPr>
          <w:rFonts w:ascii="Arial" w:hAnsi="Arial" w:cs="Arial" w:hint="eastAsia"/>
          <w:lang w:val="en-GB" w:eastAsia="zh-TW"/>
        </w:rPr>
        <w:t xml:space="preserve"> to </w:t>
      </w:r>
      <w:r w:rsidRPr="0028108F">
        <w:rPr>
          <w:rFonts w:ascii="Arial" w:hAnsi="Arial" w:cs="Arial"/>
          <w:lang w:val="en-GB"/>
        </w:rPr>
        <w:t>21.</w:t>
      </w:r>
    </w:p>
  </w:footnote>
  <w:footnote w:id="580">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Resolution 1945 (2013), “Putting an end to coerced sterilisations and castrations”</w:t>
      </w:r>
      <w:r w:rsidRPr="00181CF2">
        <w:rPr>
          <w:rFonts w:ascii="Arial" w:hAnsi="Arial" w:cs="Arial"/>
          <w:i/>
          <w:lang w:val="en-GB"/>
        </w:rPr>
        <w:t>;</w:t>
      </w:r>
      <w:r w:rsidRPr="00C57CE1">
        <w:rPr>
          <w:rFonts w:ascii="Arial" w:hAnsi="Arial" w:cs="Arial"/>
          <w:lang w:val="en-GB"/>
        </w:rPr>
        <w:t xml:space="preserve"> text adopted by the Parliamen</w:t>
      </w:r>
      <w:r w:rsidRPr="0028108F">
        <w:rPr>
          <w:rFonts w:ascii="Arial" w:hAnsi="Arial" w:cs="Arial"/>
          <w:lang w:val="en-GB"/>
        </w:rPr>
        <w:t>tary Assembly on 26 June 2013 (24th Sitting), paragraph 1.  The Parliamentary Assembly considered that although there had been rare cases of sterilisations in Member States in the most recent past, there was “</w:t>
      </w:r>
      <w:r w:rsidRPr="0028108F">
        <w:rPr>
          <w:rFonts w:ascii="Arial" w:hAnsi="Arial" w:cs="Arial"/>
          <w:i/>
          <w:lang w:val="en-GB"/>
        </w:rPr>
        <w:t>a small but significant number of both sterilisations and castrations</w:t>
      </w:r>
      <w:r w:rsidRPr="00181CF2">
        <w:rPr>
          <w:rFonts w:ascii="Arial" w:hAnsi="Arial" w:cs="Arial"/>
          <w:lang w:val="en-GB"/>
        </w:rPr>
        <w:t>” which would fall under the definition of “</w:t>
      </w:r>
      <w:r w:rsidRPr="0028108F">
        <w:rPr>
          <w:rFonts w:ascii="Arial" w:hAnsi="Arial" w:cs="Arial"/>
          <w:i/>
          <w:lang w:val="en-GB"/>
        </w:rPr>
        <w:t>coerced</w:t>
      </w:r>
      <w:r w:rsidRPr="00181CF2">
        <w:rPr>
          <w:rFonts w:ascii="Arial" w:hAnsi="Arial" w:cs="Arial"/>
          <w:lang w:val="en-GB"/>
        </w:rPr>
        <w:t>” and these are mainly directed against transgender persons (</w:t>
      </w:r>
      <w:r w:rsidRPr="0028108F">
        <w:rPr>
          <w:rFonts w:ascii="Arial" w:hAnsi="Arial" w:cs="Arial"/>
          <w:lang w:val="en-GB"/>
        </w:rPr>
        <w:t xml:space="preserve">paragraph 4).  The Parliamentary Assembly urged the Member States to revise their laws and policies as necessary to ensure that no one could be coerced into sterilisation in any way for any reason (paragraph 7.1). </w:t>
      </w:r>
    </w:p>
  </w:footnote>
  <w:footnote w:id="581">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Resolution 2048 (2015), “Discrimination against transgender people in Europe”</w:t>
      </w:r>
      <w:r w:rsidRPr="00181CF2">
        <w:rPr>
          <w:rFonts w:ascii="Arial" w:hAnsi="Arial" w:cs="Arial"/>
          <w:lang w:val="en-GB"/>
        </w:rPr>
        <w:t>; text adopted by the Parliamentary Assembly on 22 April 2015 (15th S</w:t>
      </w:r>
      <w:r w:rsidRPr="00C57CE1">
        <w:rPr>
          <w:rFonts w:ascii="Arial" w:hAnsi="Arial" w:cs="Arial"/>
          <w:lang w:val="en-GB"/>
        </w:rPr>
        <w:t xml:space="preserve">itting), </w:t>
      </w:r>
      <w:r w:rsidRPr="0028108F">
        <w:rPr>
          <w:rFonts w:ascii="Arial" w:hAnsi="Arial" w:cs="Arial"/>
          <w:lang w:val="en-GB"/>
        </w:rPr>
        <w:t>paragraph 3.</w:t>
      </w:r>
    </w:p>
  </w:footnote>
  <w:footnote w:id="582">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Resolution 2048 (2015), paragraph 6.2.2.</w:t>
      </w:r>
    </w:p>
  </w:footnote>
  <w:footnote w:id="583">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eastAsia="Gulim" w:hAnsi="Arial" w:cs="Arial"/>
          <w:lang w:val="en-GB"/>
        </w:rPr>
        <w:t>Article 13 of the HKBOR.</w:t>
      </w:r>
    </w:p>
  </w:footnote>
  <w:footnote w:id="584">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Article 12 of the International Covenant on Economic, Social and Cultural Rights.</w:t>
      </w:r>
    </w:p>
  </w:footnote>
  <w:footnote w:id="585">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evidence given by Dr Ho Pui-tat was that not all transsexual patients choose to undertake SRS.  The level of psychological discomfort in people with gender identity disorder differs, ranging from mild gender dysphoria to severe transsexualism.  Those less severely afflicted may decline surgery.  There may also be social constraints, for instance, a desire not to put good careers at risk by undergoing SRS, or the patient may not be willing to face “</w:t>
      </w:r>
      <w:r w:rsidRPr="0028108F">
        <w:rPr>
          <w:rFonts w:ascii="Arial" w:hAnsi="Arial" w:cs="Arial"/>
          <w:i/>
          <w:lang w:val="en-GB"/>
        </w:rPr>
        <w:t>the painful process of surgery with what may be an uncertain outcome, especially in the case of female to male transsexuals where the surgery is more complex and difficult</w:t>
      </w:r>
      <w:r w:rsidRPr="0028108F">
        <w:rPr>
          <w:rFonts w:ascii="Arial" w:hAnsi="Arial" w:cs="Arial"/>
          <w:lang w:val="en-GB"/>
        </w:rPr>
        <w:t xml:space="preserve">” (See paragraph 12 of the Court of Final Appeal judgment in the </w:t>
      </w:r>
      <w:r w:rsidRPr="0028108F">
        <w:rPr>
          <w:rFonts w:ascii="Arial" w:hAnsi="Arial" w:cs="Arial"/>
          <w:i/>
          <w:lang w:val="en-GB"/>
        </w:rPr>
        <w:t>W</w:t>
      </w:r>
      <w:r w:rsidRPr="00181CF2">
        <w:rPr>
          <w:rFonts w:ascii="Arial" w:hAnsi="Arial" w:cs="Arial"/>
          <w:lang w:val="en-GB"/>
        </w:rPr>
        <w:t xml:space="preserve"> case</w:t>
      </w:r>
      <w:r w:rsidRPr="0028108F">
        <w:rPr>
          <w:rFonts w:ascii="Arial" w:hAnsi="Arial" w:cs="Arial"/>
          <w:lang w:val="en-GB"/>
        </w:rPr>
        <w:t>)</w:t>
      </w:r>
      <w:r>
        <w:rPr>
          <w:rFonts w:ascii="Arial" w:hAnsi="Arial" w:cs="Arial" w:hint="eastAsia"/>
          <w:lang w:val="en-GB" w:eastAsia="zh-TW"/>
        </w:rPr>
        <w:t>.</w:t>
      </w:r>
      <w:r w:rsidRPr="0028108F">
        <w:rPr>
          <w:rFonts w:ascii="Arial" w:hAnsi="Arial" w:cs="Arial"/>
          <w:lang w:val="en-GB"/>
        </w:rPr>
        <w:t xml:space="preserve"> </w:t>
      </w:r>
    </w:p>
  </w:footnote>
  <w:footnote w:id="586">
    <w:p w:rsidR="0022178B" w:rsidRPr="0028108F" w:rsidRDefault="0022178B" w:rsidP="0028108F">
      <w:pPr>
        <w:pStyle w:val="FootnoteText"/>
        <w:tabs>
          <w:tab w:val="left" w:pos="851"/>
        </w:tabs>
        <w:ind w:left="708" w:hangingChars="354" w:hanging="708"/>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A summary of this case </w:t>
      </w:r>
      <w:r w:rsidRPr="00181CF2">
        <w:rPr>
          <w:rFonts w:ascii="Arial" w:hAnsi="Arial" w:cs="Arial"/>
          <w:lang w:val="en-GB"/>
        </w:rPr>
        <w:t>can be found</w:t>
      </w:r>
      <w:r w:rsidRPr="0028108F">
        <w:rPr>
          <w:rFonts w:ascii="Arial" w:hAnsi="Arial" w:cs="Arial"/>
          <w:lang w:val="en-GB"/>
        </w:rPr>
        <w:t xml:space="preserve"> at paragraph 3.38 of this Consultation Paper</w:t>
      </w:r>
      <w:r w:rsidRPr="00181CF2">
        <w:rPr>
          <w:rFonts w:ascii="Arial" w:hAnsi="Arial" w:cs="Arial"/>
          <w:lang w:val="en-GB"/>
        </w:rPr>
        <w:t>.</w:t>
      </w:r>
    </w:p>
  </w:footnote>
  <w:footnote w:id="587">
    <w:p w:rsidR="0022178B" w:rsidRPr="0028108F" w:rsidRDefault="0022178B" w:rsidP="00604960">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r>
      <w:r w:rsidRPr="0028108F">
        <w:rPr>
          <w:rFonts w:ascii="Arial" w:hAnsi="Arial" w:cs="Arial"/>
          <w:i/>
          <w:lang w:val="en-GB"/>
        </w:rPr>
        <w:t>W v Registrar of Marriages</w:t>
      </w:r>
      <w:r w:rsidRPr="0028108F">
        <w:rPr>
          <w:rFonts w:ascii="Arial" w:hAnsi="Arial" w:cs="Arial"/>
          <w:lang w:val="en-GB"/>
        </w:rPr>
        <w:t xml:space="preserve"> [2013] </w:t>
      </w:r>
      <w:r>
        <w:rPr>
          <w:rFonts w:ascii="Arial" w:hAnsi="Arial" w:cs="Arial"/>
          <w:lang w:val="en-GB"/>
        </w:rPr>
        <w:t>3 HKLRD 90</w:t>
      </w:r>
      <w:r w:rsidRPr="00181CF2">
        <w:rPr>
          <w:rFonts w:ascii="Arial" w:hAnsi="Arial" w:cs="Arial"/>
          <w:lang w:val="en-GB"/>
        </w:rPr>
        <w:t xml:space="preserve">; </w:t>
      </w:r>
      <w:r w:rsidRPr="0018753F">
        <w:rPr>
          <w:rFonts w:ascii="Arial" w:hAnsi="Arial" w:cs="Arial"/>
          <w:lang w:val="en-GB"/>
        </w:rPr>
        <w:t xml:space="preserve">FACV 4/2012 </w:t>
      </w:r>
      <w:r w:rsidRPr="00181CF2">
        <w:rPr>
          <w:rFonts w:ascii="Arial" w:hAnsi="Arial" w:cs="Arial"/>
          <w:lang w:val="en-GB"/>
        </w:rPr>
        <w:t>(13 May 2013)</w:t>
      </w:r>
      <w:r w:rsidRPr="00C57CE1">
        <w:rPr>
          <w:rFonts w:ascii="Arial" w:hAnsi="Arial" w:cs="Arial"/>
          <w:lang w:val="en-GB"/>
        </w:rPr>
        <w:t>, p</w:t>
      </w:r>
      <w:r w:rsidRPr="0028108F">
        <w:rPr>
          <w:rFonts w:ascii="Arial" w:hAnsi="Arial" w:cs="Arial"/>
          <w:lang w:val="en-GB"/>
        </w:rPr>
        <w:t>aras 136 and 137.</w:t>
      </w:r>
    </w:p>
  </w:footnote>
  <w:footnote w:id="588">
    <w:p w:rsidR="0022178B" w:rsidRPr="0028108F" w:rsidRDefault="0022178B" w:rsidP="00604960">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Fonts w:ascii="Arial" w:hAnsi="Arial" w:cs="Arial"/>
          <w:lang w:val="en-GB"/>
        </w:rPr>
        <w:tab/>
        <w:t>In the context of its extensive international review of gender recognition schemes, the IWG is aware that there have been developments in some overseas jurisdictions relating to the recognition of intersex persons.  The extent to which this is an issue to be addressed by the IWG, if at all, has yet to be determined.</w:t>
      </w:r>
    </w:p>
  </w:footnote>
  <w:footnote w:id="589">
    <w:p w:rsidR="0022178B" w:rsidRPr="0028108F" w:rsidRDefault="0022178B" w:rsidP="00604960">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Committee against Torture, “Concluding observations on the fifth periodic report of China with respect to </w:t>
      </w:r>
      <w:r w:rsidRPr="00181CF2">
        <w:rPr>
          <w:rFonts w:ascii="Arial" w:hAnsi="Arial" w:cs="Arial"/>
          <w:lang w:val="en-GB" w:eastAsia="zh-TW"/>
        </w:rPr>
        <w:t>Hong Kong, China</w:t>
      </w:r>
      <w:r w:rsidRPr="0028108F">
        <w:rPr>
          <w:rFonts w:ascii="Arial" w:hAnsi="Arial" w:cs="Arial"/>
          <w:lang w:val="en-GB"/>
        </w:rPr>
        <w:t>”</w:t>
      </w:r>
      <w:r w:rsidRPr="00181CF2">
        <w:rPr>
          <w:rFonts w:ascii="Arial" w:hAnsi="Arial" w:cs="Arial"/>
          <w:lang w:val="en-GB"/>
        </w:rPr>
        <w:t>,</w:t>
      </w:r>
      <w:r w:rsidRPr="00C57CE1">
        <w:rPr>
          <w:rFonts w:ascii="Arial" w:hAnsi="Arial" w:cs="Arial"/>
          <w:lang w:val="en-GB"/>
        </w:rPr>
        <w:t xml:space="preserve"> adopted at the 1392 and 1393 meetings held on 3 December 2015 (CAT/C/SR. 1392 and 1393), at </w:t>
      </w:r>
      <w:r w:rsidRPr="0028108F">
        <w:rPr>
          <w:rFonts w:ascii="Arial" w:hAnsi="Arial" w:cs="Arial"/>
          <w:lang w:val="en-GB"/>
        </w:rPr>
        <w:t>paragraphs 28 and 29.</w:t>
      </w:r>
    </w:p>
  </w:footnote>
  <w:footnote w:id="590">
    <w:p w:rsidR="0022178B" w:rsidRPr="00C57CE1"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Lawrence AA. (2003), “Factors associated with satisfaction or regret following male-to-female sex reassignment surgery”</w:t>
      </w:r>
      <w:r w:rsidRPr="00181CF2">
        <w:rPr>
          <w:rFonts w:ascii="Arial" w:hAnsi="Arial" w:cs="Arial"/>
          <w:lang w:val="en-GB"/>
        </w:rPr>
        <w:t xml:space="preserve">, </w:t>
      </w:r>
      <w:r w:rsidRPr="0028108F">
        <w:rPr>
          <w:rFonts w:ascii="Arial" w:hAnsi="Arial" w:cs="Arial"/>
          <w:i/>
          <w:lang w:val="en-GB"/>
        </w:rPr>
        <w:t>Archives of Sexual Behavior</w:t>
      </w:r>
      <w:r w:rsidRPr="00181CF2">
        <w:rPr>
          <w:rFonts w:ascii="Arial" w:hAnsi="Arial" w:cs="Arial"/>
          <w:lang w:val="en-GB"/>
        </w:rPr>
        <w:t>, 32, at 299-</w:t>
      </w:r>
      <w:r w:rsidRPr="00C57CE1">
        <w:rPr>
          <w:rFonts w:ascii="Arial" w:hAnsi="Arial" w:cs="Arial"/>
          <w:lang w:val="en-GB"/>
        </w:rPr>
        <w:t xml:space="preserve">315.  </w:t>
      </w:r>
    </w:p>
  </w:footnote>
  <w:footnote w:id="591">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American Psychological Association is a scientific organisation in the United States.  Its official website is at: </w:t>
      </w:r>
      <w:hyperlink r:id="rId80" w:history="1">
        <w:r w:rsidRPr="0028108F">
          <w:rPr>
            <w:rStyle w:val="Hyperlink"/>
            <w:rFonts w:ascii="Arial" w:hAnsi="Arial" w:cs="Arial"/>
            <w:lang w:val="en-GB"/>
          </w:rPr>
          <w:t>http://www.apa.org/about/index.aspx</w:t>
        </w:r>
      </w:hyperlink>
      <w:r w:rsidRPr="0028108F">
        <w:rPr>
          <w:rFonts w:ascii="Arial" w:hAnsi="Arial" w:cs="Arial"/>
          <w:lang w:val="en-GB"/>
        </w:rPr>
        <w:t>.</w:t>
      </w:r>
    </w:p>
  </w:footnote>
  <w:footnote w:id="592">
    <w:p w:rsidR="0022178B" w:rsidRPr="0028108F"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Byne, W, Bradley, S J, Coleman, E, Eyler, A, Green, R, Menvielle, E J, Meyer-Bahlburg, HFL, Pleak, R &amp; Tompkins, D (2012), “Report of the American Psychiatric Association Task Force on Treatment of Gender Identity Disorder”</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Archives Of Sexual Behavior</w:t>
      </w:r>
      <w:r w:rsidRPr="00181CF2">
        <w:rPr>
          <w:rFonts w:ascii="Arial" w:hAnsi="Arial" w:cs="Arial"/>
          <w:lang w:val="en-GB"/>
        </w:rPr>
        <w:t>, 41(4),</w:t>
      </w:r>
      <w:r w:rsidRPr="00C57CE1">
        <w:rPr>
          <w:rFonts w:ascii="Arial" w:hAnsi="Arial" w:cs="Arial"/>
          <w:lang w:val="en-GB"/>
        </w:rPr>
        <w:t xml:space="preserve"> 759</w:t>
      </w:r>
      <w:r w:rsidRPr="0028108F">
        <w:rPr>
          <w:rFonts w:ascii="Arial" w:hAnsi="Arial" w:cs="Arial"/>
          <w:lang w:val="en-GB"/>
        </w:rPr>
        <w:t xml:space="preserve"> to 796, at 781. </w:t>
      </w:r>
    </w:p>
  </w:footnote>
  <w:footnote w:id="593">
    <w:p w:rsidR="0022178B" w:rsidRPr="00181CF2" w:rsidRDefault="0022178B" w:rsidP="003675E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Weitze C, Osburg S, “Transsexualism in Germany: empirical data on epidemiology and application of the German Transsexuals</w:t>
      </w:r>
      <w:r w:rsidRPr="0028108F">
        <w:rPr>
          <w:rFonts w:ascii="Arial" w:hAnsi="Arial" w:cs="Arial"/>
          <w:lang w:val="en-GB" w:eastAsia="zh-TW"/>
        </w:rPr>
        <w:t>’</w:t>
      </w:r>
      <w:r w:rsidRPr="0028108F">
        <w:rPr>
          <w:rFonts w:ascii="Arial" w:hAnsi="Arial" w:cs="Arial"/>
          <w:lang w:val="en-GB"/>
        </w:rPr>
        <w:t xml:space="preserve"> Act during its first ten years”, </w:t>
      </w:r>
      <w:r w:rsidRPr="0028108F">
        <w:rPr>
          <w:rFonts w:ascii="Arial" w:hAnsi="Arial" w:cs="Arial"/>
          <w:i/>
          <w:lang w:val="en-GB"/>
        </w:rPr>
        <w:t>Arch Sex Behav</w:t>
      </w:r>
      <w:r w:rsidRPr="00181CF2">
        <w:rPr>
          <w:rFonts w:ascii="Arial" w:hAnsi="Arial" w:cs="Arial"/>
          <w:lang w:val="en-GB"/>
        </w:rPr>
        <w:t xml:space="preserve"> 1996; 25:409-425.</w:t>
      </w:r>
    </w:p>
  </w:footnote>
  <w:footnote w:id="594">
    <w:p w:rsidR="0022178B" w:rsidRPr="0028108F" w:rsidRDefault="0022178B" w:rsidP="003675EF">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Eldh J, Berg A, Gustafsson M,</w:t>
      </w:r>
      <w:r w:rsidRPr="0028108F">
        <w:rPr>
          <w:rFonts w:ascii="Arial" w:hAnsi="Arial" w:cs="Arial"/>
          <w:i/>
          <w:lang w:val="en-GB"/>
        </w:rPr>
        <w:t xml:space="preserve"> </w:t>
      </w:r>
      <w:r w:rsidRPr="0028108F">
        <w:rPr>
          <w:rFonts w:ascii="Arial" w:hAnsi="Arial" w:cs="Arial"/>
          <w:lang w:val="en-GB"/>
        </w:rPr>
        <w:t>“Long-term follow up after sex reassignment surgery”</w:t>
      </w:r>
      <w:r w:rsidRPr="00181CF2">
        <w:rPr>
          <w:rFonts w:ascii="Arial" w:hAnsi="Arial" w:cs="Arial"/>
          <w:i/>
          <w:lang w:val="en-GB"/>
        </w:rPr>
        <w:t xml:space="preserve">, </w:t>
      </w:r>
      <w:r w:rsidRPr="0028108F">
        <w:rPr>
          <w:rFonts w:ascii="Arial" w:hAnsi="Arial" w:cs="Arial"/>
          <w:i/>
          <w:lang w:val="en-GB"/>
        </w:rPr>
        <w:t>Scand J Plast Reconstr Surg Hand Surg</w:t>
      </w:r>
      <w:r w:rsidRPr="00181CF2">
        <w:rPr>
          <w:rFonts w:ascii="Arial" w:hAnsi="Arial" w:cs="Arial"/>
          <w:lang w:val="en-GB"/>
        </w:rPr>
        <w:t xml:space="preserve"> 1997; 31:39-45.  </w:t>
      </w:r>
      <w:r w:rsidRPr="00C57CE1">
        <w:rPr>
          <w:rFonts w:ascii="Arial" w:hAnsi="Arial" w:cs="Arial"/>
          <w:color w:val="000000"/>
          <w:shd w:val="clear" w:color="auto" w:fill="FFFFFF"/>
          <w:lang w:val="en-GB"/>
        </w:rPr>
        <w:t xml:space="preserve">A long-term follow up of 136 </w:t>
      </w:r>
      <w:r w:rsidRPr="0028108F">
        <w:rPr>
          <w:rFonts w:ascii="Arial" w:hAnsi="Arial" w:cs="Arial"/>
          <w:color w:val="000000"/>
          <w:shd w:val="clear" w:color="auto" w:fill="FFFFFF"/>
          <w:lang w:val="en-GB" w:eastAsia="zh-TW"/>
        </w:rPr>
        <w:t>persons</w:t>
      </w:r>
      <w:r w:rsidRPr="0028108F">
        <w:rPr>
          <w:rFonts w:ascii="Arial" w:hAnsi="Arial" w:cs="Arial"/>
          <w:color w:val="000000"/>
          <w:shd w:val="clear" w:color="auto" w:fill="FFFFFF"/>
          <w:lang w:val="en-GB"/>
        </w:rPr>
        <w:t xml:space="preserve"> operated on for sex reassignment was done to evaluate the surgical outcome. Social and psychological adjustments were also investigated by a questionnaire in 90 of these 136 </w:t>
      </w:r>
      <w:r w:rsidRPr="0028108F">
        <w:rPr>
          <w:rFonts w:ascii="Arial" w:hAnsi="Arial" w:cs="Arial"/>
          <w:color w:val="000000"/>
          <w:shd w:val="clear" w:color="auto" w:fill="FFFFFF"/>
          <w:lang w:val="en-GB" w:eastAsia="zh-TW"/>
        </w:rPr>
        <w:t>person</w:t>
      </w:r>
      <w:r w:rsidRPr="0028108F">
        <w:rPr>
          <w:rFonts w:ascii="Arial" w:hAnsi="Arial" w:cs="Arial"/>
          <w:color w:val="000000"/>
          <w:shd w:val="clear" w:color="auto" w:fill="FFFFFF"/>
          <w:lang w:val="en-GB"/>
        </w:rPr>
        <w:t>s.</w:t>
      </w:r>
      <w:r w:rsidRPr="0028108F">
        <w:rPr>
          <w:rStyle w:val="apple-converted-space"/>
          <w:rFonts w:ascii="Arial" w:hAnsi="Arial" w:cs="Arial"/>
          <w:color w:val="000000"/>
          <w:shd w:val="clear" w:color="auto" w:fill="FFFFFF"/>
          <w:lang w:val="en-GB"/>
        </w:rPr>
        <w:t> </w:t>
      </w:r>
    </w:p>
  </w:footnote>
  <w:footnote w:id="595">
    <w:p w:rsidR="0022178B" w:rsidRPr="0028108F" w:rsidRDefault="0022178B" w:rsidP="00767F2F">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Nevertheless, it is revealed that review of the available literature also documents a downward trend in rates of post-surgical regrets over the last three decades.  See Byne, W, Bradley, S J, Coleman, E, Eyler, A, Green, R, Menvielle, E J, Meyer-Bahlburg, HFL, Pleak, R &amp; Tompkins, D (2012), “Report of the American Psychiatric Association Task Force on Treatment of Gender Identity Disorder”</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Archives Of Sexual Behavior</w:t>
      </w:r>
      <w:r w:rsidRPr="00181CF2">
        <w:rPr>
          <w:rFonts w:ascii="Arial" w:hAnsi="Arial" w:cs="Arial"/>
          <w:lang w:val="en-GB"/>
        </w:rPr>
        <w:t>, 41(4), 759</w:t>
      </w:r>
      <w:r w:rsidRPr="0028108F">
        <w:rPr>
          <w:rFonts w:ascii="Arial" w:hAnsi="Arial" w:cs="Arial"/>
          <w:lang w:val="en-GB"/>
        </w:rPr>
        <w:t xml:space="preserve"> to 796, at 782. </w:t>
      </w:r>
    </w:p>
  </w:footnote>
  <w:footnote w:id="596">
    <w:p w:rsidR="0022178B" w:rsidRPr="0028108F" w:rsidRDefault="0022178B" w:rsidP="008813DE">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ab/>
      </w:r>
      <w:r w:rsidRPr="0028108F">
        <w:rPr>
          <w:rFonts w:ascii="Arial" w:hAnsi="Arial" w:cs="Arial"/>
          <w:lang w:val="en-GB"/>
        </w:rPr>
        <w:t xml:space="preserve">See Walt Heyer, </w:t>
      </w:r>
      <w:r w:rsidRPr="008813DE">
        <w:rPr>
          <w:rFonts w:ascii="Arial" w:hAnsi="Arial" w:cs="Arial"/>
          <w:i/>
          <w:lang w:val="en-GB"/>
        </w:rPr>
        <w:t>Paper Genders: Pulling the Mask Off the Transgender Phenomenon</w:t>
      </w:r>
      <w:r w:rsidRPr="00181CF2">
        <w:rPr>
          <w:rFonts w:ascii="Arial" w:hAnsi="Arial" w:cs="Arial"/>
          <w:i/>
          <w:lang w:val="en-GB"/>
        </w:rPr>
        <w:t>,</w:t>
      </w:r>
      <w:r w:rsidRPr="00C57CE1">
        <w:rPr>
          <w:rFonts w:ascii="Arial" w:hAnsi="Arial" w:cs="Arial"/>
          <w:lang w:val="en-GB"/>
        </w:rPr>
        <w:t xml:space="preserve"> </w:t>
      </w:r>
      <w:r w:rsidRPr="0028108F">
        <w:rPr>
          <w:rFonts w:ascii="Arial" w:hAnsi="Arial" w:cs="Arial"/>
          <w:i/>
          <w:lang w:val="en-GB"/>
        </w:rPr>
        <w:t>Make Waves</w:t>
      </w:r>
      <w:r w:rsidRPr="00181CF2">
        <w:rPr>
          <w:rFonts w:ascii="Arial" w:hAnsi="Arial" w:cs="Arial"/>
          <w:lang w:val="en-GB"/>
        </w:rPr>
        <w:t xml:space="preserve"> </w:t>
      </w:r>
      <w:r w:rsidRPr="0028108F">
        <w:rPr>
          <w:rFonts w:ascii="Arial" w:hAnsi="Arial" w:cs="Arial"/>
          <w:i/>
          <w:lang w:val="en-GB"/>
        </w:rPr>
        <w:t>Publishing</w:t>
      </w:r>
      <w:r w:rsidRPr="00181CF2">
        <w:rPr>
          <w:rFonts w:ascii="Arial" w:hAnsi="Arial" w:cs="Arial"/>
          <w:lang w:val="en-GB"/>
        </w:rPr>
        <w:t xml:space="preserve">, 2nd printing, June 2011, at </w:t>
      </w:r>
      <w:r>
        <w:rPr>
          <w:rFonts w:ascii="Arial" w:hAnsi="Arial" w:cs="Arial"/>
          <w:lang w:val="en-GB"/>
        </w:rPr>
        <w:t>86</w:t>
      </w:r>
      <w:r>
        <w:rPr>
          <w:rFonts w:ascii="Arial" w:hAnsi="Arial" w:cs="Arial" w:hint="eastAsia"/>
          <w:lang w:val="en-GB" w:eastAsia="zh-TW"/>
        </w:rPr>
        <w:t xml:space="preserve"> to </w:t>
      </w:r>
      <w:r w:rsidRPr="0028108F">
        <w:rPr>
          <w:rFonts w:ascii="Arial" w:hAnsi="Arial" w:cs="Arial"/>
          <w:lang w:val="en-GB"/>
        </w:rPr>
        <w:t>87.</w:t>
      </w:r>
    </w:p>
  </w:footnote>
  <w:footnote w:id="597">
    <w:p w:rsidR="0022178B" w:rsidRPr="0028108F" w:rsidRDefault="0022178B" w:rsidP="00916B6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LC Paper No. CB(2)1359/13-14(07), available at:</w:t>
      </w:r>
    </w:p>
    <w:p w:rsidR="0022178B" w:rsidRPr="0028108F" w:rsidRDefault="0022178B" w:rsidP="00916B6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81" w:history="1">
        <w:r w:rsidRPr="000C65F0">
          <w:rPr>
            <w:rStyle w:val="Hyperlink"/>
            <w:rFonts w:ascii="Arial" w:hAnsi="Arial" w:cs="Arial"/>
          </w:rPr>
          <w:t>http://www.legco.gov.hk/yr13-14/english/bc/bc52/papers/bc520429cb2-1359-7-e.pdf</w:t>
        </w:r>
      </w:hyperlink>
      <w:r w:rsidRPr="0028108F">
        <w:rPr>
          <w:rFonts w:ascii="Arial" w:hAnsi="Arial" w:cs="Arial"/>
          <w:lang w:val="en-GB"/>
        </w:rPr>
        <w:t>.</w:t>
      </w:r>
      <w:r>
        <w:rPr>
          <w:rFonts w:ascii="Arial" w:hAnsi="Arial" w:cs="Arial"/>
          <w:lang w:val="en-GB"/>
        </w:rPr>
        <w:t xml:space="preserve"> </w:t>
      </w:r>
    </w:p>
  </w:footnote>
  <w:footnote w:id="598">
    <w:p w:rsidR="0022178B" w:rsidRPr="00181CF2" w:rsidRDefault="0022178B" w:rsidP="008A27C8">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Cohen-Kettenis, PT, &amp; Gooren, LJG (1999), “Transsexualism: a review of etiology, diagnosis and treatment”</w:t>
      </w:r>
      <w:r w:rsidRPr="00181CF2">
        <w:rPr>
          <w:rFonts w:ascii="Arial" w:hAnsi="Arial" w:cs="Arial"/>
          <w:lang w:val="en-GB"/>
        </w:rPr>
        <w:t xml:space="preserve">, </w:t>
      </w:r>
      <w:r w:rsidRPr="0028108F">
        <w:rPr>
          <w:rFonts w:ascii="Arial" w:hAnsi="Arial" w:cs="Arial"/>
          <w:i/>
          <w:lang w:val="en-GB"/>
        </w:rPr>
        <w:t>Journal of Psychosomatic Research</w:t>
      </w:r>
      <w:r w:rsidRPr="00181CF2">
        <w:rPr>
          <w:rFonts w:ascii="Arial" w:hAnsi="Arial" w:cs="Arial"/>
          <w:lang w:val="en-GB"/>
        </w:rPr>
        <w:t>.</w:t>
      </w:r>
    </w:p>
  </w:footnote>
  <w:footnote w:id="599">
    <w:p w:rsidR="0022178B" w:rsidRPr="00181CF2" w:rsidRDefault="0022178B" w:rsidP="008A27C8">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Smith, Y L, Van Goozen, S H, Kuiper, A J, &amp; Cohen-Kettenis, PT (2005), “Sex Outcomes and predictors of treatment for adolescent and adult transsexuals”</w:t>
      </w:r>
      <w:r w:rsidRPr="00181CF2">
        <w:rPr>
          <w:rFonts w:ascii="Arial" w:hAnsi="Arial" w:cs="Arial"/>
          <w:lang w:val="en-GB"/>
        </w:rPr>
        <w:t>.</w:t>
      </w:r>
    </w:p>
  </w:footnote>
  <w:footnote w:id="600">
    <w:p w:rsidR="0022178B" w:rsidRPr="00181CF2" w:rsidRDefault="0022178B" w:rsidP="004B2E95">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Murad, M, Elamin, M, Garcia, M, Mullan, R, Murad, A, Erwin, P, </w:t>
      </w:r>
      <w:r w:rsidRPr="0028108F">
        <w:rPr>
          <w:rFonts w:ascii="Arial" w:hAnsi="Arial" w:cs="Arial"/>
          <w:i/>
          <w:lang w:val="en-GB"/>
        </w:rPr>
        <w:t>et al</w:t>
      </w:r>
      <w:r w:rsidRPr="00181CF2">
        <w:rPr>
          <w:rFonts w:ascii="Arial" w:hAnsi="Arial" w:cs="Arial"/>
          <w:lang w:val="en-GB"/>
        </w:rPr>
        <w:t xml:space="preserve">. (2010), </w:t>
      </w:r>
      <w:r w:rsidRPr="00C57CE1">
        <w:rPr>
          <w:rFonts w:ascii="Arial" w:hAnsi="Arial" w:cs="Arial"/>
          <w:lang w:val="en-GB"/>
        </w:rPr>
        <w:t>“</w:t>
      </w:r>
      <w:r w:rsidRPr="0028108F">
        <w:rPr>
          <w:rFonts w:ascii="Arial" w:hAnsi="Arial" w:cs="Arial"/>
          <w:lang w:val="en-GB"/>
        </w:rPr>
        <w:t>Hormone therapy and sex reassignment: A systematic review and meta-analysis of quality of life and psychosocial outcomes”</w:t>
      </w:r>
      <w:r w:rsidRPr="00181CF2">
        <w:rPr>
          <w:rFonts w:ascii="Arial" w:hAnsi="Arial" w:cs="Arial"/>
          <w:lang w:val="en-GB"/>
        </w:rPr>
        <w:t xml:space="preserve">, </w:t>
      </w:r>
      <w:r w:rsidRPr="0028108F">
        <w:rPr>
          <w:rFonts w:ascii="Arial" w:hAnsi="Arial" w:cs="Arial"/>
          <w:i/>
          <w:lang w:val="en-GB"/>
        </w:rPr>
        <w:t>Clinical Endocrinology</w:t>
      </w:r>
      <w:r w:rsidRPr="00181CF2">
        <w:rPr>
          <w:rFonts w:ascii="Arial" w:hAnsi="Arial" w:cs="Arial"/>
          <w:lang w:val="en-GB"/>
        </w:rPr>
        <w:t>.</w:t>
      </w:r>
    </w:p>
  </w:footnote>
  <w:footnote w:id="601">
    <w:p w:rsidR="0022178B" w:rsidRPr="00181CF2" w:rsidRDefault="0022178B" w:rsidP="004B2E95">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Hembree WC, Cohen-Kettenis P, Delemarre-van de Waal HA, Gooren LJ, Meyer WJ, Spack NP, Tangpricha V, Montori VM, “Endocrine treatment of transsexual persons: An endocrine society clinical practice guideline”</w:t>
      </w:r>
      <w:r w:rsidRPr="00181CF2">
        <w:rPr>
          <w:rFonts w:ascii="Arial" w:hAnsi="Arial" w:cs="Arial"/>
          <w:lang w:val="en-GB"/>
        </w:rPr>
        <w:t>, </w:t>
      </w:r>
      <w:r w:rsidRPr="0028108F">
        <w:rPr>
          <w:rFonts w:ascii="Arial" w:hAnsi="Arial" w:cs="Arial"/>
          <w:i/>
          <w:lang w:val="en-GB"/>
        </w:rPr>
        <w:t>Journal of Clinical Endocrinology &amp; Metabolism</w:t>
      </w:r>
      <w:r>
        <w:rPr>
          <w:rFonts w:ascii="Arial" w:hAnsi="Arial" w:cs="Arial"/>
          <w:lang w:val="en-GB"/>
        </w:rPr>
        <w:t> 2009; 94(9): 3132</w:t>
      </w:r>
      <w:r>
        <w:rPr>
          <w:rFonts w:ascii="Arial" w:hAnsi="Arial" w:cs="Arial" w:hint="eastAsia"/>
          <w:lang w:val="en-GB" w:eastAsia="zh-TW"/>
        </w:rPr>
        <w:t xml:space="preserve"> to </w:t>
      </w:r>
      <w:r w:rsidRPr="00181CF2">
        <w:rPr>
          <w:rFonts w:ascii="Arial" w:hAnsi="Arial" w:cs="Arial"/>
          <w:lang w:val="en-GB"/>
        </w:rPr>
        <w:t>3154. </w:t>
      </w:r>
    </w:p>
  </w:footnote>
  <w:footnote w:id="602">
    <w:p w:rsidR="0022178B" w:rsidRPr="0028108F" w:rsidRDefault="0022178B" w:rsidP="004B2E95">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Cohen-Kettenis PT, Delemarre-van de Waal HA, Gooren LJG, “The treatment of adolescent transsexuals: Changing insights”</w:t>
      </w:r>
      <w:r w:rsidRPr="00181CF2">
        <w:rPr>
          <w:rFonts w:ascii="Arial" w:hAnsi="Arial" w:cs="Arial"/>
          <w:lang w:val="en-GB"/>
        </w:rPr>
        <w:t>,</w:t>
      </w:r>
      <w:r w:rsidRPr="00C57CE1">
        <w:rPr>
          <w:rFonts w:ascii="Arial" w:hAnsi="Arial" w:cs="Arial"/>
          <w:lang w:val="en-GB"/>
        </w:rPr>
        <w:t> </w:t>
      </w:r>
      <w:r w:rsidRPr="0028108F">
        <w:rPr>
          <w:rFonts w:ascii="Arial" w:hAnsi="Arial" w:cs="Arial"/>
          <w:i/>
          <w:lang w:val="en-GB"/>
        </w:rPr>
        <w:t>The Journal of Sexual Me</w:t>
      </w:r>
      <w:r w:rsidRPr="0028108F">
        <w:rPr>
          <w:rStyle w:val="ref-journal"/>
          <w:rFonts w:ascii="Arial" w:hAnsi="Arial" w:cs="Arial"/>
          <w:i/>
          <w:color w:val="000000"/>
          <w:shd w:val="clear" w:color="auto" w:fill="FFFFFF"/>
          <w:lang w:val="en-GB"/>
        </w:rPr>
        <w:t>dicine</w:t>
      </w:r>
      <w:r w:rsidRPr="00181CF2">
        <w:rPr>
          <w:rStyle w:val="ref-journal"/>
          <w:rFonts w:ascii="Arial" w:hAnsi="Arial" w:cs="Arial"/>
          <w:color w:val="000000"/>
          <w:shd w:val="clear" w:color="auto" w:fill="FFFFFF"/>
          <w:lang w:val="en-GB"/>
        </w:rPr>
        <w:t xml:space="preserve"> </w:t>
      </w:r>
      <w:r w:rsidRPr="00C57CE1">
        <w:rPr>
          <w:rFonts w:ascii="Arial" w:hAnsi="Arial" w:cs="Arial"/>
          <w:color w:val="000000"/>
          <w:shd w:val="clear" w:color="auto" w:fill="FFFFFF"/>
          <w:lang w:val="en-GB"/>
        </w:rPr>
        <w:t xml:space="preserve">2008; </w:t>
      </w:r>
      <w:r w:rsidRPr="0028108F">
        <w:rPr>
          <w:rStyle w:val="ref-vol"/>
          <w:rFonts w:ascii="Arial" w:hAnsi="Arial" w:cs="Arial"/>
          <w:color w:val="000000"/>
          <w:shd w:val="clear" w:color="auto" w:fill="FFFFFF"/>
          <w:lang w:val="en-GB"/>
        </w:rPr>
        <w:t>5</w:t>
      </w:r>
      <w:r>
        <w:rPr>
          <w:rFonts w:ascii="Arial" w:hAnsi="Arial" w:cs="Arial"/>
          <w:color w:val="000000"/>
          <w:shd w:val="clear" w:color="auto" w:fill="FFFFFF"/>
          <w:lang w:val="en-GB"/>
        </w:rPr>
        <w:t>(8): 1892</w:t>
      </w:r>
      <w:r>
        <w:rPr>
          <w:rFonts w:ascii="Arial" w:hAnsi="Arial" w:cs="Arial" w:hint="eastAsia"/>
          <w:color w:val="000000"/>
          <w:shd w:val="clear" w:color="auto" w:fill="FFFFFF"/>
          <w:lang w:val="en-GB" w:eastAsia="zh-TW"/>
        </w:rPr>
        <w:t xml:space="preserve"> to </w:t>
      </w:r>
      <w:r w:rsidRPr="0028108F">
        <w:rPr>
          <w:rFonts w:ascii="Arial" w:hAnsi="Arial" w:cs="Arial"/>
          <w:color w:val="000000"/>
          <w:shd w:val="clear" w:color="auto" w:fill="FFFFFF"/>
          <w:lang w:val="en-GB"/>
        </w:rPr>
        <w:t>1897.</w:t>
      </w:r>
    </w:p>
  </w:footnote>
  <w:footnote w:id="603">
    <w:p w:rsidR="0022178B" w:rsidRPr="00181CF2"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State of California Department of Managed Health Care, Letter No. 12-K, “Gender Nondiscrimination Requirements”</w:t>
      </w:r>
      <w:r w:rsidRPr="00181CF2">
        <w:rPr>
          <w:rFonts w:ascii="Arial" w:hAnsi="Arial" w:cs="Arial"/>
          <w:lang w:val="en-GB"/>
        </w:rPr>
        <w:t>, 9 April 2013.</w:t>
      </w:r>
    </w:p>
  </w:footnote>
  <w:footnote w:id="604">
    <w:p w:rsidR="0022178B" w:rsidRPr="0028108F"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Madeline B Deutsch, MD MPH, “Gender-affirming Surgeries in the Era of Insurance Coverage: Developing a Framework for Psychosocial Support and Care Navigation in the Perioperative Period”, </w:t>
      </w:r>
      <w:r w:rsidRPr="0028108F">
        <w:rPr>
          <w:rFonts w:ascii="Arial" w:hAnsi="Arial" w:cs="Arial"/>
          <w:i/>
          <w:lang w:val="en-GB"/>
        </w:rPr>
        <w:t>Journal of Health Care for the Poor and Underserved</w:t>
      </w:r>
      <w:r w:rsidRPr="0028108F">
        <w:rPr>
          <w:rFonts w:ascii="Arial" w:hAnsi="Arial" w:cs="Arial"/>
          <w:lang w:val="en-GB"/>
        </w:rPr>
        <w:t xml:space="preserve"> 27 </w:t>
      </w:r>
      <w:r w:rsidRPr="0028108F">
        <w:rPr>
          <w:rFonts w:ascii="Arial" w:hAnsi="Arial" w:cs="Arial"/>
          <w:color w:val="000000"/>
          <w:shd w:val="clear" w:color="auto" w:fill="FFFFFF"/>
        </w:rPr>
        <w:t>2016; 27(2):386-91</w:t>
      </w:r>
      <w:r w:rsidRPr="0028108F">
        <w:rPr>
          <w:rFonts w:ascii="Arial" w:hAnsi="Arial" w:cs="Arial"/>
          <w:lang w:val="en-GB"/>
        </w:rPr>
        <w:t>.</w:t>
      </w:r>
    </w:p>
  </w:footnote>
  <w:footnote w:id="605">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5</w:t>
      </w:r>
      <w:r>
        <w:rPr>
          <w:rFonts w:ascii="Arial" w:hAnsi="Arial" w:cs="Arial"/>
          <w:lang w:val="en-GB"/>
        </w:rPr>
        <w:t>,</w:t>
      </w:r>
      <w:r w:rsidRPr="0028108F">
        <w:rPr>
          <w:rFonts w:ascii="Arial" w:hAnsi="Arial" w:cs="Arial"/>
          <w:lang w:val="en-GB"/>
        </w:rPr>
        <w:t xml:space="preserve"> 165, 171 (2011).  See also </w:t>
      </w:r>
      <w:r>
        <w:rPr>
          <w:rFonts w:ascii="Arial" w:hAnsi="Arial" w:cs="Arial"/>
          <w:lang w:val="en-GB"/>
        </w:rPr>
        <w:t xml:space="preserve">WPATH, </w:t>
      </w:r>
      <w:r w:rsidRPr="0028108F">
        <w:rPr>
          <w:rFonts w:ascii="Arial" w:hAnsi="Arial" w:cs="Arial"/>
          <w:lang w:val="en-GB" w:eastAsia="zh-TW"/>
        </w:rPr>
        <w:t>“</w:t>
      </w:r>
      <w:r w:rsidRPr="0028108F">
        <w:rPr>
          <w:rFonts w:ascii="Arial" w:hAnsi="Arial" w:cs="Arial"/>
          <w:lang w:val="en-GB"/>
        </w:rPr>
        <w:t>Identity Recognition Statement”</w:t>
      </w:r>
      <w:r w:rsidRPr="00181CF2">
        <w:rPr>
          <w:rFonts w:ascii="Arial" w:hAnsi="Arial" w:cs="Arial"/>
          <w:i/>
          <w:lang w:val="en-GB"/>
        </w:rPr>
        <w:t xml:space="preserve">, </w:t>
      </w:r>
      <w:r w:rsidRPr="00C57CE1">
        <w:rPr>
          <w:rFonts w:ascii="Arial" w:hAnsi="Arial" w:cs="Arial"/>
          <w:lang w:val="en-GB"/>
        </w:rPr>
        <w:t>16 June 2010</w:t>
      </w:r>
      <w:r w:rsidRPr="0028108F">
        <w:rPr>
          <w:rFonts w:ascii="Arial" w:hAnsi="Arial" w:cs="Arial"/>
          <w:lang w:val="en-GB"/>
        </w:rPr>
        <w:t xml:space="preserve">.  See also </w:t>
      </w:r>
      <w:r>
        <w:rPr>
          <w:rFonts w:ascii="Arial" w:hAnsi="Arial" w:cs="Arial"/>
          <w:lang w:val="en-GB"/>
        </w:rPr>
        <w:t>American Psychological Association, “</w:t>
      </w:r>
      <w:r w:rsidRPr="0028108F">
        <w:rPr>
          <w:rFonts w:ascii="Arial" w:hAnsi="Arial" w:cs="Arial"/>
          <w:lang w:val="en-GB"/>
        </w:rPr>
        <w:t>Transgender, Gender Identity &amp; Gender Expression Non</w:t>
      </w:r>
      <w:r w:rsidRPr="00181CF2">
        <w:rPr>
          <w:rFonts w:ascii="Arial" w:hAnsi="Arial" w:cs="Arial"/>
          <w:lang w:val="en-GB" w:eastAsia="zh-TW"/>
        </w:rPr>
        <w:t>-</w:t>
      </w:r>
      <w:r w:rsidRPr="0028108F">
        <w:rPr>
          <w:rFonts w:ascii="Arial" w:hAnsi="Arial" w:cs="Arial"/>
          <w:lang w:val="en-GB"/>
        </w:rPr>
        <w:t>Discrimination”</w:t>
      </w:r>
      <w:r w:rsidRPr="00181CF2">
        <w:rPr>
          <w:rFonts w:ascii="Arial" w:hAnsi="Arial" w:cs="Arial"/>
          <w:lang w:val="en-GB"/>
        </w:rPr>
        <w:t>, Aug</w:t>
      </w:r>
      <w:r>
        <w:rPr>
          <w:rFonts w:ascii="Arial" w:hAnsi="Arial" w:cs="Arial"/>
          <w:lang w:val="en-GB"/>
        </w:rPr>
        <w:t>ust</w:t>
      </w:r>
      <w:r w:rsidRPr="00181CF2">
        <w:rPr>
          <w:rFonts w:ascii="Arial" w:hAnsi="Arial" w:cs="Arial"/>
          <w:lang w:val="en-GB"/>
        </w:rPr>
        <w:t xml:space="preserve"> 2008, available a</w:t>
      </w:r>
      <w:r w:rsidRPr="00C57CE1">
        <w:rPr>
          <w:rFonts w:ascii="Arial" w:hAnsi="Arial" w:cs="Arial"/>
          <w:lang w:val="en-GB"/>
        </w:rPr>
        <w:t>t:</w:t>
      </w:r>
    </w:p>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 xml:space="preserve"> </w:t>
      </w:r>
      <w:r w:rsidRPr="0028108F">
        <w:rPr>
          <w:rFonts w:ascii="Arial" w:hAnsi="Arial" w:cs="Arial"/>
          <w:lang w:val="en-GB"/>
        </w:rPr>
        <w:tab/>
      </w:r>
      <w:hyperlink r:id="rId82" w:history="1">
        <w:r w:rsidRPr="0028108F">
          <w:rPr>
            <w:rStyle w:val="Hyperlink"/>
            <w:rFonts w:ascii="Arial" w:hAnsi="Arial" w:cs="Arial"/>
            <w:lang w:val="en-GB"/>
          </w:rPr>
          <w:t>http://www.apa.org/about/policy/transgender.aspx</w:t>
        </w:r>
      </w:hyperlink>
      <w:r w:rsidRPr="0028108F">
        <w:rPr>
          <w:rFonts w:ascii="Arial" w:hAnsi="Arial" w:cs="Arial"/>
          <w:lang w:val="en-GB"/>
        </w:rPr>
        <w:t xml:space="preserve">. </w:t>
      </w:r>
    </w:p>
  </w:footnote>
  <w:footnote w:id="606">
    <w:p w:rsidR="0022178B" w:rsidRPr="00C57CE1"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19 </w:t>
      </w:r>
      <w:r w:rsidRPr="0028108F">
        <w:rPr>
          <w:rFonts w:ascii="Arial" w:hAnsi="Arial" w:cs="Arial"/>
          <w:i/>
          <w:lang w:val="en-GB"/>
        </w:rPr>
        <w:t>Mich J Gender &amp; L</w:t>
      </w:r>
      <w:r w:rsidRPr="00181CF2">
        <w:rPr>
          <w:rFonts w:ascii="Arial" w:hAnsi="Arial" w:cs="Arial"/>
          <w:lang w:val="en-GB"/>
        </w:rPr>
        <w:t xml:space="preserve"> 373 (2013), at 408-409</w:t>
      </w:r>
      <w:r w:rsidRPr="00C57CE1">
        <w:rPr>
          <w:rFonts w:ascii="Arial" w:hAnsi="Arial" w:cs="Arial"/>
          <w:lang w:val="en-GB"/>
        </w:rPr>
        <w:t>.</w:t>
      </w:r>
    </w:p>
  </w:footnote>
  <w:footnote w:id="607">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Joint Committee on Human Rights, </w:t>
      </w:r>
      <w:r w:rsidRPr="0028108F">
        <w:rPr>
          <w:rFonts w:ascii="Arial" w:hAnsi="Arial" w:cs="Arial"/>
          <w:i/>
          <w:lang w:val="en-GB"/>
        </w:rPr>
        <w:t>Nineteenth Report of Session 2002–03 (Draft Gender Recognition Bill) (2002–03)</w:t>
      </w:r>
      <w:r w:rsidRPr="0028108F">
        <w:rPr>
          <w:rFonts w:ascii="Arial" w:hAnsi="Arial" w:cs="Arial"/>
          <w:lang w:val="en-GB"/>
        </w:rPr>
        <w:t>, HL Paper No.188-I, HC Paper No.1276-1, p. 13.</w:t>
      </w:r>
    </w:p>
  </w:footnote>
  <w:footnote w:id="608">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David Lammy, “Parliamentary Under-Secretary of State for Constitutional Affairs”</w:t>
      </w:r>
      <w:r w:rsidRPr="00181CF2">
        <w:rPr>
          <w:rFonts w:ascii="Arial" w:hAnsi="Arial" w:cs="Arial"/>
          <w:lang w:val="en-GB"/>
        </w:rPr>
        <w:t xml:space="preserve">, </w:t>
      </w:r>
      <w:r w:rsidRPr="0028108F">
        <w:rPr>
          <w:rFonts w:ascii="Arial" w:hAnsi="Arial" w:cs="Arial"/>
          <w:i/>
          <w:lang w:val="en-GB"/>
        </w:rPr>
        <w:t>418 PARE. DEB., H.C.</w:t>
      </w:r>
      <w:r w:rsidRPr="00181CF2">
        <w:rPr>
          <w:rFonts w:ascii="Arial" w:hAnsi="Arial" w:cs="Arial"/>
          <w:lang w:val="en-GB"/>
        </w:rPr>
        <w:t xml:space="preserve"> (6th ser.) (2004), p.</w:t>
      </w:r>
      <w:r w:rsidRPr="00C57CE1">
        <w:rPr>
          <w:rFonts w:ascii="Arial" w:hAnsi="Arial" w:cs="Arial"/>
          <w:lang w:val="en-GB"/>
        </w:rPr>
        <w:t xml:space="preserve"> </w:t>
      </w:r>
      <w:r w:rsidRPr="0028108F">
        <w:rPr>
          <w:rFonts w:ascii="Arial" w:hAnsi="Arial" w:cs="Arial"/>
          <w:lang w:val="en-GB"/>
        </w:rPr>
        <w:t>53.</w:t>
      </w:r>
    </w:p>
  </w:footnote>
  <w:footnote w:id="609">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Michael Kirby, “Transgender Law Reform: Ten Commandments of Hong Kong”</w:t>
      </w:r>
      <w:r w:rsidRPr="00181CF2">
        <w:rPr>
          <w:rFonts w:ascii="Arial" w:hAnsi="Arial" w:cs="Arial"/>
          <w:lang w:val="en-GB"/>
        </w:rPr>
        <w:t xml:space="preserve">, </w:t>
      </w:r>
      <w:r w:rsidRPr="00C57CE1">
        <w:rPr>
          <w:rFonts w:ascii="Arial" w:hAnsi="Arial" w:cs="Arial"/>
          <w:lang w:val="en-GB" w:eastAsia="zh-TW"/>
        </w:rPr>
        <w:t xml:space="preserve">unpublished, </w:t>
      </w:r>
      <w:r w:rsidRPr="0028108F">
        <w:rPr>
          <w:rFonts w:ascii="Arial" w:hAnsi="Arial" w:cs="Arial"/>
          <w:i/>
          <w:lang w:val="en-GB"/>
        </w:rPr>
        <w:t>United Nations Development Programme High-Level Roundtable on Gender Identity Rights and the Law in Asia and the Pacific, Hong Kong</w:t>
      </w:r>
      <w:r w:rsidRPr="00181CF2">
        <w:rPr>
          <w:rFonts w:ascii="Arial" w:hAnsi="Arial" w:cs="Arial"/>
          <w:lang w:val="en-GB"/>
        </w:rPr>
        <w:t>, 2 October 2014</w:t>
      </w:r>
      <w:r w:rsidRPr="00C57CE1">
        <w:rPr>
          <w:rFonts w:ascii="Arial" w:hAnsi="Arial" w:cs="Arial"/>
          <w:lang w:val="en-GB" w:eastAsia="zh-TW"/>
        </w:rPr>
        <w:t xml:space="preserve"> (organised by the United Nations Development Programme and HKU Faculty of Law</w:t>
      </w:r>
      <w:r w:rsidRPr="0028108F">
        <w:rPr>
          <w:rFonts w:ascii="Arial" w:hAnsi="Arial" w:cs="Arial"/>
          <w:lang w:val="en-GB" w:eastAsia="zh-TW"/>
        </w:rPr>
        <w:t>’s Centre for Comparative and Public Law)</w:t>
      </w:r>
      <w:r w:rsidRPr="0028108F">
        <w:rPr>
          <w:rFonts w:ascii="Arial" w:hAnsi="Arial" w:cs="Arial"/>
          <w:lang w:val="en-GB"/>
        </w:rPr>
        <w:t>.</w:t>
      </w:r>
    </w:p>
  </w:footnote>
  <w:footnote w:id="610">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Harvard Law Review: Volume 127, 6 Number 2013 - April 2014, at 1869.  See also Thomas Hammarberg, “Human Rights and Gender Identity”</w:t>
      </w:r>
      <w:r w:rsidRPr="00181CF2">
        <w:rPr>
          <w:rFonts w:ascii="Arial" w:hAnsi="Arial" w:cs="Arial"/>
          <w:lang w:val="en-GB"/>
        </w:rPr>
        <w:t xml:space="preserve">, (CommDH/ Issue Paper (2009)), at </w:t>
      </w:r>
      <w:r w:rsidRPr="0028108F">
        <w:rPr>
          <w:rFonts w:ascii="Arial" w:hAnsi="Arial" w:cs="Arial"/>
          <w:lang w:val="en-GB"/>
        </w:rPr>
        <w:t>19 (</w:t>
      </w:r>
      <w:r w:rsidRPr="0028108F">
        <w:rPr>
          <w:rFonts w:ascii="Arial" w:hAnsi="Arial" w:cs="Arial"/>
          <w:i/>
          <w:lang w:val="en-GB"/>
        </w:rPr>
        <w:t>sterilisation would undermine transgender families and forces individuals to choose between recognition and their right to reproduce</w:t>
      </w:r>
      <w:r w:rsidRPr="0028108F">
        <w:rPr>
          <w:rFonts w:ascii="Arial" w:hAnsi="Arial" w:cs="Arial"/>
          <w:lang w:val="en-GB"/>
        </w:rPr>
        <w:t>).</w:t>
      </w:r>
    </w:p>
  </w:footnote>
  <w:footnote w:id="611">
    <w:p w:rsidR="0022178B" w:rsidRPr="0028108F" w:rsidRDefault="0022178B" w:rsidP="00CA234A">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 xml:space="preserve">See </w:t>
      </w:r>
      <w:r w:rsidRPr="0028108F">
        <w:rPr>
          <w:rFonts w:ascii="Arial" w:hAnsi="Arial" w:cs="Arial"/>
          <w:lang w:val="en-GB"/>
        </w:rPr>
        <w:t>Centre for Medical Ethics and Law, Faculty of Law of the University of Hong Kong, “Submission to the Legislative Council and the Security Bureau of the Hong Kong SAR on the Legal Status of Transsexual and Transgender Persons in Hong Kong</w:t>
      </w:r>
      <w:r w:rsidRPr="00181CF2">
        <w:rPr>
          <w:rFonts w:ascii="Arial" w:hAnsi="Arial" w:cs="Arial"/>
          <w:lang w:val="en-GB"/>
        </w:rPr>
        <w:t>”</w:t>
      </w:r>
      <w:r w:rsidRPr="00C57CE1">
        <w:rPr>
          <w:rFonts w:ascii="Arial" w:hAnsi="Arial" w:cs="Arial"/>
          <w:lang w:val="en-GB"/>
        </w:rPr>
        <w:t xml:space="preserve"> [in Relation to the M</w:t>
      </w:r>
      <w:r w:rsidRPr="0028108F">
        <w:rPr>
          <w:rFonts w:ascii="Arial" w:hAnsi="Arial" w:cs="Arial"/>
          <w:lang w:val="en-GB"/>
        </w:rPr>
        <w:t>arriage (Amendment) Bill 2014] (Occasional Paper No 1, March 2014</w:t>
      </w:r>
      <w:r>
        <w:rPr>
          <w:rFonts w:ascii="Arial" w:hAnsi="Arial" w:cs="Arial" w:hint="eastAsia"/>
          <w:lang w:val="en-GB" w:eastAsia="zh-TW"/>
        </w:rPr>
        <w:t xml:space="preserve">; </w:t>
      </w:r>
      <w:r w:rsidRPr="0028108F">
        <w:rPr>
          <w:rFonts w:ascii="Arial" w:hAnsi="Arial" w:cs="Arial"/>
          <w:lang w:val="en-GB"/>
        </w:rPr>
        <w:t>LC Paper No. CB(2)1052/13-14(01)</w:t>
      </w:r>
      <w:r>
        <w:rPr>
          <w:rFonts w:ascii="Arial" w:hAnsi="Arial" w:cs="Arial" w:hint="eastAsia"/>
          <w:lang w:val="en-GB" w:eastAsia="zh-TW"/>
        </w:rPr>
        <w:t>)</w:t>
      </w:r>
      <w:r w:rsidRPr="0028108F">
        <w:rPr>
          <w:rFonts w:ascii="Arial" w:hAnsi="Arial" w:cs="Arial"/>
          <w:lang w:val="en-GB"/>
        </w:rPr>
        <w:t>, at 4 and 5.</w:t>
      </w:r>
    </w:p>
  </w:footnote>
  <w:footnote w:id="612">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Micah Grzywnowicz is a transgender activist involved in LGBT</w:t>
      </w:r>
      <w:r>
        <w:rPr>
          <w:rFonts w:ascii="Arial" w:hAnsi="Arial" w:cs="Arial"/>
          <w:lang w:val="en-GB"/>
        </w:rPr>
        <w:t>I</w:t>
      </w:r>
      <w:r w:rsidRPr="0028108F">
        <w:rPr>
          <w:rFonts w:ascii="Arial" w:hAnsi="Arial" w:cs="Arial"/>
          <w:lang w:val="en-GB"/>
        </w:rPr>
        <w:t>Q movements since 2005, and is one of the Executive Board members of the European Region of the International Lesbian, Gay, Bisexual, Trans and Intersex Association (ILGA-Europe), which is a European NGO.</w:t>
      </w:r>
    </w:p>
  </w:footnote>
  <w:footnote w:id="613">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Micah Grzywnowicz, “Consent Signed with Invisible Ink: Sterilization of Trans* People and Legal Gender Recognition</w:t>
      </w:r>
      <w:r>
        <w:rPr>
          <w:rFonts w:ascii="Arial" w:hAnsi="Arial" w:cs="Arial"/>
          <w:lang w:val="en-GB" w:eastAsia="zh-TW"/>
        </w:rPr>
        <w:t>”</w:t>
      </w:r>
      <w:r>
        <w:rPr>
          <w:rFonts w:ascii="Arial" w:hAnsi="Arial" w:cs="Arial" w:hint="eastAsia"/>
          <w:lang w:val="en-GB" w:eastAsia="zh-TW"/>
        </w:rPr>
        <w:t>,</w:t>
      </w:r>
      <w:r w:rsidRPr="0028108F">
        <w:rPr>
          <w:rFonts w:ascii="Arial" w:hAnsi="Arial" w:cs="Arial"/>
          <w:lang w:val="en-GB"/>
        </w:rPr>
        <w:t xml:space="preserve"> in </w:t>
      </w:r>
      <w:r w:rsidRPr="008813DE">
        <w:rPr>
          <w:rFonts w:ascii="Arial" w:hAnsi="Arial" w:cs="Arial"/>
          <w:i/>
          <w:lang w:val="en-GB"/>
        </w:rPr>
        <w:t>Torture in Healthcare Settings: Reflections on the Special Rapporteur on Torture’s 2013 Thematic Report</w:t>
      </w:r>
      <w:r w:rsidRPr="00181CF2">
        <w:rPr>
          <w:rFonts w:ascii="Arial" w:hAnsi="Arial" w:cs="Arial"/>
          <w:lang w:val="en-GB"/>
        </w:rPr>
        <w:t xml:space="preserve"> (2014), </w:t>
      </w:r>
      <w:r w:rsidRPr="0028108F">
        <w:rPr>
          <w:rFonts w:ascii="Arial" w:hAnsi="Arial" w:cs="Arial"/>
          <w:i/>
          <w:lang w:val="en-GB"/>
        </w:rPr>
        <w:t>Washington College of Law, Center for Human Rights &amp; Humanitarian Law</w:t>
      </w:r>
      <w:r w:rsidRPr="00181CF2">
        <w:rPr>
          <w:rFonts w:ascii="Arial" w:hAnsi="Arial" w:cs="Arial"/>
          <w:lang w:val="en-GB"/>
        </w:rPr>
        <w:t xml:space="preserve">, </w:t>
      </w:r>
      <w:r w:rsidRPr="0028108F">
        <w:rPr>
          <w:rFonts w:ascii="Arial" w:hAnsi="Arial" w:cs="Arial"/>
          <w:lang w:val="en-GB"/>
        </w:rPr>
        <w:t>at 78.</w:t>
      </w:r>
    </w:p>
  </w:footnote>
  <w:footnote w:id="614">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the UK Home Office, </w:t>
      </w:r>
      <w:r w:rsidRPr="0028108F">
        <w:rPr>
          <w:rFonts w:ascii="Arial" w:hAnsi="Arial" w:cs="Arial"/>
          <w:i/>
          <w:lang w:val="en-GB"/>
        </w:rPr>
        <w:t>Report of the Interdepartmental Working Group on Transsexual People</w:t>
      </w:r>
      <w:r w:rsidRPr="0028108F">
        <w:rPr>
          <w:rFonts w:ascii="Arial" w:hAnsi="Arial" w:cs="Arial"/>
          <w:lang w:val="en-GB"/>
        </w:rPr>
        <w:t xml:space="preserve"> (April 2000), at paragraphs 4.12 </w:t>
      </w:r>
      <w:r>
        <w:rPr>
          <w:rFonts w:ascii="Arial" w:hAnsi="Arial" w:cs="Arial" w:hint="eastAsia"/>
          <w:lang w:val="en-GB" w:eastAsia="zh-TW"/>
        </w:rPr>
        <w:t xml:space="preserve">to </w:t>
      </w:r>
      <w:r w:rsidRPr="0028108F">
        <w:rPr>
          <w:rFonts w:ascii="Arial" w:hAnsi="Arial" w:cs="Arial"/>
          <w:lang w:val="en-GB"/>
        </w:rPr>
        <w:t xml:space="preserve">4.13 (available at: </w:t>
      </w:r>
    </w:p>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83" w:history="1">
        <w:r w:rsidRPr="008813DE">
          <w:rPr>
            <w:rStyle w:val="Hyperlink"/>
            <w:rFonts w:ascii="Arial" w:hAnsi="Arial" w:cs="Arial"/>
          </w:rPr>
          <w:t>http://www.dca.gov.uk/constitution/transsex/wgtrans.pdf</w:t>
        </w:r>
      </w:hyperlink>
      <w:r w:rsidRPr="0028108F">
        <w:rPr>
          <w:rFonts w:ascii="Arial" w:hAnsi="Arial" w:cs="Arial"/>
          <w:lang w:val="en-GB"/>
        </w:rPr>
        <w:t>).</w:t>
      </w:r>
    </w:p>
  </w:footnote>
  <w:footnote w:id="615">
    <w:p w:rsidR="0022178B" w:rsidRPr="00C57CE1"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Lisa Mottet, “Modernizing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 xml:space="preserve">, </w:t>
      </w:r>
      <w:r w:rsidRPr="0028108F">
        <w:rPr>
          <w:rFonts w:ascii="Arial" w:hAnsi="Arial" w:cs="Arial"/>
          <w:i/>
          <w:lang w:val="en-GB"/>
        </w:rPr>
        <w:t>19 Mich J Gender &amp; L</w:t>
      </w:r>
      <w:r w:rsidRPr="00C57CE1">
        <w:rPr>
          <w:rFonts w:ascii="Arial" w:hAnsi="Arial" w:cs="Arial"/>
          <w:lang w:val="en-GB"/>
        </w:rPr>
        <w:t xml:space="preserve"> 373 (2013), at 405.</w:t>
      </w:r>
    </w:p>
  </w:footnote>
  <w:footnote w:id="616">
    <w:p w:rsidR="0022178B" w:rsidRPr="00C57CE1"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WPATH, “2015 Statement on Identity Recognition</w:t>
      </w:r>
      <w:r w:rsidRPr="00181CF2">
        <w:rPr>
          <w:rFonts w:ascii="Arial" w:hAnsi="Arial" w:cs="Arial"/>
          <w:lang w:val="en-GB"/>
        </w:rPr>
        <w:t>,</w:t>
      </w:r>
      <w:r w:rsidRPr="0028108F">
        <w:rPr>
          <w:rFonts w:ascii="Arial" w:hAnsi="Arial" w:cs="Arial"/>
          <w:lang w:val="en-GB"/>
        </w:rPr>
        <w:t>”</w:t>
      </w:r>
      <w:r w:rsidRPr="00C57CE1">
        <w:rPr>
          <w:rFonts w:ascii="Arial" w:hAnsi="Arial" w:cs="Arial"/>
          <w:lang w:val="en-GB"/>
        </w:rPr>
        <w:t xml:space="preserve"> 19 January 2015.</w:t>
      </w:r>
    </w:p>
  </w:footnote>
  <w:footnote w:id="617">
    <w:p w:rsidR="0022178B" w:rsidRPr="00C57CE1"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American Medical Association</w:t>
      </w:r>
      <w:r w:rsidRPr="0028108F">
        <w:rPr>
          <w:rFonts w:ascii="Arial" w:hAnsi="Arial" w:cs="Arial"/>
          <w:lang w:val="en-GB"/>
        </w:rPr>
        <w:t>, “AMA Calls for Modernizing Birth Certificate Policies”</w:t>
      </w:r>
      <w:r w:rsidRPr="00181CF2">
        <w:rPr>
          <w:rFonts w:ascii="Arial" w:hAnsi="Arial" w:cs="Arial"/>
          <w:lang w:val="en-GB"/>
        </w:rPr>
        <w:t>, dated 9 June 2</w:t>
      </w:r>
      <w:r w:rsidRPr="00C57CE1">
        <w:rPr>
          <w:rFonts w:ascii="Arial" w:hAnsi="Arial" w:cs="Arial"/>
          <w:lang w:val="en-GB"/>
        </w:rPr>
        <w:t xml:space="preserve">014. </w:t>
      </w:r>
    </w:p>
  </w:footnote>
  <w:footnote w:id="618">
    <w:p w:rsidR="0022178B" w:rsidRPr="00181CF2"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Kenji Yoshino,</w:t>
      </w:r>
      <w:r w:rsidRPr="0028108F">
        <w:rPr>
          <w:rFonts w:ascii="Arial" w:hAnsi="Arial" w:cs="Arial"/>
          <w:i/>
          <w:lang w:val="en-GB"/>
        </w:rPr>
        <w:t xml:space="preserve"> </w:t>
      </w:r>
      <w:r w:rsidRPr="0028108F">
        <w:rPr>
          <w:rFonts w:ascii="Arial" w:hAnsi="Arial" w:cs="Arial"/>
          <w:lang w:val="en-GB"/>
        </w:rPr>
        <w:t>“Sex and the City: New York City Bungles Transgender Equality”</w:t>
      </w:r>
      <w:r w:rsidRPr="0028108F">
        <w:rPr>
          <w:rFonts w:ascii="Arial" w:hAnsi="Arial" w:cs="Arial"/>
          <w:i/>
          <w:lang w:val="en-GB"/>
        </w:rPr>
        <w:t>,</w:t>
      </w:r>
      <w:r w:rsidRPr="00181CF2">
        <w:rPr>
          <w:rFonts w:ascii="Arial" w:hAnsi="Arial" w:cs="Arial"/>
          <w:lang w:val="en-GB"/>
        </w:rPr>
        <w:t xml:space="preserve"> </w:t>
      </w:r>
      <w:r w:rsidRPr="0028108F">
        <w:rPr>
          <w:rFonts w:ascii="Arial" w:hAnsi="Arial" w:cs="Arial"/>
          <w:i/>
          <w:lang w:val="en-GB"/>
        </w:rPr>
        <w:t>SLATE</w:t>
      </w:r>
      <w:r w:rsidRPr="00181CF2">
        <w:rPr>
          <w:rFonts w:ascii="Arial" w:hAnsi="Arial" w:cs="Arial"/>
          <w:lang w:val="en-GB"/>
        </w:rPr>
        <w:t>, 11 December 2006.</w:t>
      </w:r>
    </w:p>
  </w:footnote>
  <w:footnote w:id="619">
    <w:p w:rsidR="0022178B" w:rsidRPr="00181CF2"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Sarah Morice-Brubaker (assistant professor of theology at Phillips Theological Seminary in Tulsa), “What The Conservative Christian “Fake-Trans Bathroom Creeper” Has To Do With Suburban Anxiety”</w:t>
      </w:r>
      <w:r w:rsidRPr="00181CF2">
        <w:rPr>
          <w:rFonts w:ascii="Arial" w:hAnsi="Arial" w:cs="Arial"/>
          <w:lang w:val="en-GB"/>
        </w:rPr>
        <w:t>, 30 June 2015, available at:</w:t>
      </w:r>
    </w:p>
    <w:p w:rsidR="0022178B" w:rsidRPr="0028108F"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tab/>
      </w:r>
      <w:hyperlink r:id="rId84" w:history="1">
        <w:r w:rsidRPr="0028108F">
          <w:rPr>
            <w:rStyle w:val="Hyperlink"/>
            <w:rFonts w:ascii="Arial" w:hAnsi="Arial" w:cs="Arial"/>
            <w:lang w:val="en-GB"/>
          </w:rPr>
          <w:t>http://religiondispatches.org/what-the-conservative-christian-fake-trans-bathroom-creeper-has-to-do-with-suburban-anxiety/</w:t>
        </w:r>
      </w:hyperlink>
      <w:r w:rsidRPr="0028108F">
        <w:rPr>
          <w:rFonts w:ascii="Arial" w:hAnsi="Arial" w:cs="Arial"/>
          <w:lang w:val="en-GB"/>
        </w:rPr>
        <w:t>.</w:t>
      </w:r>
    </w:p>
  </w:footnote>
  <w:footnote w:id="620">
    <w:p w:rsidR="0022178B" w:rsidRPr="0028108F" w:rsidRDefault="0022178B">
      <w:pPr>
        <w:pStyle w:val="FootnoteText"/>
        <w:tabs>
          <w:tab w:val="left" w:pos="851"/>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r>
      <w:r w:rsidRPr="0028108F">
        <w:rPr>
          <w:rFonts w:ascii="Arial" w:hAnsi="Arial" w:cs="Arial"/>
          <w:lang w:val="en-GB"/>
        </w:rPr>
        <w:t xml:space="preserve">Lisa Mottet, “Modernizing State Vital Statistics Statutes and Policies to Ensure Accurate Gender Markers on Birth Certificates: A Good Government Approach to Recognizing the Lives of Transgender People”, </w:t>
      </w:r>
      <w:r w:rsidRPr="0028108F">
        <w:rPr>
          <w:rFonts w:ascii="Arial" w:hAnsi="Arial" w:cs="Arial"/>
          <w:i/>
          <w:lang w:val="en-GB"/>
        </w:rPr>
        <w:t>19 Mich J Gender &amp; L</w:t>
      </w:r>
      <w:r w:rsidRPr="0028108F">
        <w:rPr>
          <w:rFonts w:ascii="Arial" w:hAnsi="Arial" w:cs="Arial"/>
          <w:lang w:val="en-GB"/>
        </w:rPr>
        <w:t xml:space="preserve"> 373 (2013), at</w:t>
      </w:r>
      <w:r w:rsidRPr="0028108F">
        <w:rPr>
          <w:rFonts w:ascii="Arial" w:hAnsi="Arial" w:cs="Arial"/>
          <w:lang w:val="en-GB" w:eastAsia="zh-TW"/>
        </w:rPr>
        <w:t xml:space="preserve"> </w:t>
      </w:r>
      <w:r w:rsidRPr="0028108F">
        <w:rPr>
          <w:rFonts w:ascii="Arial" w:hAnsi="Arial" w:cs="Arial"/>
          <w:lang w:val="en-GB"/>
        </w:rPr>
        <w:t>418.</w:t>
      </w:r>
    </w:p>
  </w:footnote>
  <w:footnote w:id="621">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Same as above,</w:t>
      </w:r>
      <w:r w:rsidRPr="00181CF2">
        <w:rPr>
          <w:rFonts w:ascii="Arial" w:hAnsi="Arial" w:cs="Arial"/>
          <w:lang w:val="en-GB"/>
        </w:rPr>
        <w:t xml:space="preserve"> at 418</w:t>
      </w:r>
      <w:r w:rsidRPr="0028108F">
        <w:rPr>
          <w:rFonts w:ascii="Arial" w:hAnsi="Arial" w:cs="Arial"/>
          <w:lang w:val="en-GB"/>
        </w:rPr>
        <w:t xml:space="preserve"> to 419.</w:t>
      </w:r>
    </w:p>
  </w:footnote>
  <w:footnote w:id="622">
    <w:p w:rsidR="0022178B" w:rsidRPr="00181CF2"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Same as above,</w:t>
      </w:r>
      <w:r w:rsidRPr="00181CF2">
        <w:rPr>
          <w:rFonts w:ascii="Arial" w:hAnsi="Arial" w:cs="Arial"/>
          <w:lang w:val="en-GB"/>
        </w:rPr>
        <w:t xml:space="preserve"> at 415.</w:t>
      </w:r>
    </w:p>
  </w:footnote>
  <w:footnote w:id="623">
    <w:p w:rsidR="0022178B" w:rsidRPr="00181CF2"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Case, Mary Anne (2010), “Why not abolish laws of urinary segregation?”</w:t>
      </w:r>
      <w:r w:rsidRPr="00181CF2">
        <w:rPr>
          <w:rFonts w:ascii="Arial" w:hAnsi="Arial" w:cs="Arial"/>
          <w:lang w:val="en-GB"/>
        </w:rPr>
        <w:t xml:space="preserve">, in Harvey Molotch, </w:t>
      </w:r>
      <w:r w:rsidRPr="00C57CE1">
        <w:rPr>
          <w:rFonts w:ascii="Arial" w:hAnsi="Arial" w:cs="Arial"/>
          <w:lang w:val="en-GB"/>
        </w:rPr>
        <w:t xml:space="preserve">&amp; Laura Noren (Eds.), </w:t>
      </w:r>
      <w:r w:rsidRPr="0028108F">
        <w:rPr>
          <w:rFonts w:ascii="Arial" w:hAnsi="Arial" w:cs="Arial"/>
          <w:lang w:val="en-GB"/>
        </w:rPr>
        <w:t>“Toilet: Public restrooms and the politics of sharing”</w:t>
      </w:r>
      <w:r w:rsidRPr="00181CF2">
        <w:rPr>
          <w:rFonts w:ascii="Arial" w:hAnsi="Arial" w:cs="Arial"/>
          <w:lang w:val="en-GB"/>
        </w:rPr>
        <w:t xml:space="preserve"> </w:t>
      </w:r>
      <w:r w:rsidRPr="00C57CE1">
        <w:rPr>
          <w:rFonts w:ascii="Arial" w:hAnsi="Arial" w:cs="Arial"/>
          <w:lang w:val="en-GB"/>
        </w:rPr>
        <w:t>(pp. 211</w:t>
      </w:r>
      <w:r>
        <w:rPr>
          <w:rFonts w:ascii="Arial" w:hAnsi="Arial" w:cs="Arial" w:hint="eastAsia"/>
          <w:lang w:val="en-GB" w:eastAsia="zh-TW"/>
        </w:rPr>
        <w:t xml:space="preserve"> to </w:t>
      </w:r>
      <w:r w:rsidRPr="00C57CE1">
        <w:rPr>
          <w:rFonts w:ascii="Arial" w:hAnsi="Arial" w:cs="Arial"/>
          <w:lang w:val="en-GB"/>
        </w:rPr>
        <w:t xml:space="preserve">225), </w:t>
      </w:r>
      <w:r w:rsidRPr="0028108F">
        <w:rPr>
          <w:rFonts w:ascii="Arial" w:hAnsi="Arial" w:cs="Arial"/>
          <w:i/>
          <w:lang w:val="en-GB"/>
        </w:rPr>
        <w:t>New York University Press</w:t>
      </w:r>
      <w:r w:rsidRPr="00181CF2">
        <w:rPr>
          <w:rFonts w:ascii="Arial" w:hAnsi="Arial" w:cs="Arial"/>
          <w:lang w:val="en-GB"/>
        </w:rPr>
        <w:t xml:space="preserve">.  See also Cavanagh, Sheila (2010), </w:t>
      </w:r>
      <w:r w:rsidRPr="00C57CE1">
        <w:rPr>
          <w:rFonts w:ascii="Arial" w:hAnsi="Arial" w:cs="Arial"/>
          <w:lang w:val="en-GB"/>
        </w:rPr>
        <w:t>“</w:t>
      </w:r>
      <w:r w:rsidRPr="0028108F">
        <w:rPr>
          <w:rFonts w:ascii="Arial" w:hAnsi="Arial" w:cs="Arial"/>
          <w:lang w:val="en-GB"/>
        </w:rPr>
        <w:t>Queering bathrooms: Gender, sexuality and the hygienic imagination”</w:t>
      </w:r>
      <w:r w:rsidRPr="00181CF2">
        <w:rPr>
          <w:rFonts w:ascii="Arial" w:hAnsi="Arial" w:cs="Arial"/>
          <w:lang w:val="en-GB"/>
        </w:rPr>
        <w:t xml:space="preserve">, </w:t>
      </w:r>
      <w:r w:rsidRPr="0028108F">
        <w:rPr>
          <w:rFonts w:ascii="Arial" w:hAnsi="Arial" w:cs="Arial"/>
          <w:i/>
          <w:lang w:val="en-GB"/>
        </w:rPr>
        <w:t>Toronto University Press</w:t>
      </w:r>
      <w:r w:rsidRPr="00181CF2">
        <w:rPr>
          <w:rFonts w:ascii="Arial" w:hAnsi="Arial" w:cs="Arial"/>
          <w:lang w:val="en-GB"/>
        </w:rPr>
        <w:t>.</w:t>
      </w:r>
    </w:p>
  </w:footnote>
  <w:footnote w:id="624">
    <w:p w:rsidR="0022178B" w:rsidRPr="00181CF2"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eg, Rebecca Stinson (a male-to-female transgender person), “I’m a Trans woman and I don’t want gender neutral toilets”</w:t>
      </w:r>
      <w:r w:rsidRPr="00181CF2">
        <w:rPr>
          <w:rFonts w:ascii="Arial" w:hAnsi="Arial" w:cs="Arial"/>
          <w:lang w:val="en-GB"/>
        </w:rPr>
        <w:t xml:space="preserve">, 24 March 2015, available at: </w:t>
      </w:r>
    </w:p>
    <w:p w:rsidR="0022178B" w:rsidRPr="0028108F"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tab/>
      </w:r>
      <w:hyperlink r:id="rId85" w:history="1">
        <w:r w:rsidRPr="0028108F">
          <w:rPr>
            <w:rStyle w:val="Hyperlink"/>
            <w:rFonts w:ascii="Arial" w:hAnsi="Arial" w:cs="Arial"/>
            <w:lang w:val="en-GB"/>
          </w:rPr>
          <w:t>http://thetab.com/uk/northumbria/2015/03/24/im-a-trans-woman-and-i-dont-want-gender-neutral-toilets-7359</w:t>
        </w:r>
      </w:hyperlink>
      <w:r w:rsidRPr="0028108F">
        <w:rPr>
          <w:rFonts w:ascii="Arial" w:hAnsi="Arial" w:cs="Arial"/>
          <w:lang w:val="en-GB"/>
        </w:rPr>
        <w:t xml:space="preserve">. </w:t>
      </w:r>
    </w:p>
  </w:footnote>
  <w:footnote w:id="625">
    <w:p w:rsidR="0022178B" w:rsidRPr="00181CF2"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Sheila Jeffreys, “The politics of the toilet: A feminist response to the campaign to </w:t>
      </w:r>
      <w:r w:rsidRPr="00181CF2">
        <w:rPr>
          <w:rFonts w:ascii="Arial" w:hAnsi="Arial" w:cs="Arial"/>
          <w:lang w:val="en-GB" w:eastAsia="zh-TW"/>
        </w:rPr>
        <w:t>‘</w:t>
      </w:r>
      <w:r w:rsidRPr="0028108F">
        <w:rPr>
          <w:rFonts w:ascii="Arial" w:hAnsi="Arial" w:cs="Arial"/>
          <w:lang w:val="en-GB"/>
        </w:rPr>
        <w:t>degender</w:t>
      </w:r>
      <w:r w:rsidRPr="00181CF2">
        <w:rPr>
          <w:rFonts w:ascii="Arial" w:hAnsi="Arial" w:cs="Arial"/>
          <w:lang w:val="en-GB" w:eastAsia="zh-TW"/>
        </w:rPr>
        <w:t>’</w:t>
      </w:r>
      <w:r w:rsidRPr="0028108F">
        <w:rPr>
          <w:rFonts w:ascii="Arial" w:hAnsi="Arial" w:cs="Arial"/>
          <w:lang w:val="en-GB"/>
        </w:rPr>
        <w:t xml:space="preserve"> a women’s space</w:t>
      </w:r>
      <w:r w:rsidRPr="00181CF2">
        <w:rPr>
          <w:rFonts w:ascii="Arial" w:hAnsi="Arial" w:cs="Arial"/>
          <w:lang w:val="en-GB"/>
        </w:rPr>
        <w:t>,</w:t>
      </w:r>
      <w:r w:rsidRPr="0028108F">
        <w:rPr>
          <w:rFonts w:ascii="Arial" w:hAnsi="Arial" w:cs="Arial"/>
          <w:lang w:val="en-GB"/>
        </w:rPr>
        <w:t>”</w:t>
      </w:r>
      <w:r w:rsidRPr="00C57CE1">
        <w:rPr>
          <w:rFonts w:ascii="Arial" w:hAnsi="Arial" w:cs="Arial"/>
          <w:lang w:val="en-GB"/>
        </w:rPr>
        <w:t xml:space="preserve"> </w:t>
      </w:r>
      <w:r w:rsidRPr="0028108F">
        <w:rPr>
          <w:rFonts w:ascii="Arial" w:hAnsi="Arial" w:cs="Arial"/>
          <w:i/>
          <w:lang w:val="en-GB"/>
        </w:rPr>
        <w:t>University of Melbourne, VIC</w:t>
      </w:r>
      <w:r w:rsidRPr="00181CF2">
        <w:rPr>
          <w:rFonts w:ascii="Arial" w:hAnsi="Arial" w:cs="Arial"/>
          <w:lang w:val="en-GB"/>
        </w:rPr>
        <w:t xml:space="preserve"> 3010, Australia, 7 June 2014, available at: </w:t>
      </w:r>
    </w:p>
    <w:p w:rsidR="0022178B" w:rsidRPr="0028108F" w:rsidRDefault="0022178B">
      <w:pPr>
        <w:pStyle w:val="FootnoteText"/>
        <w:tabs>
          <w:tab w:val="left" w:pos="851"/>
        </w:tabs>
        <w:ind w:left="708" w:hangingChars="354" w:hanging="708"/>
        <w:jc w:val="both"/>
        <w:rPr>
          <w:rFonts w:ascii="Arial" w:hAnsi="Arial" w:cs="Arial"/>
          <w:lang w:val="en-GB"/>
        </w:rPr>
      </w:pPr>
      <w:r w:rsidRPr="00C57CE1">
        <w:rPr>
          <w:rFonts w:ascii="Arial" w:hAnsi="Arial" w:cs="Arial"/>
          <w:lang w:val="en-GB"/>
        </w:rPr>
        <w:tab/>
      </w:r>
      <w:hyperlink r:id="rId86" w:history="1">
        <w:r w:rsidRPr="0028108F">
          <w:rPr>
            <w:rStyle w:val="Hyperlink"/>
            <w:rFonts w:ascii="Arial" w:hAnsi="Arial" w:cs="Arial"/>
            <w:lang w:val="en-GB"/>
          </w:rPr>
          <w:t>http://www.sheilajeffreys.com/wp-content/uploads/2014/08/toilet-article.pdfpublished-version.pdf</w:t>
        </w:r>
      </w:hyperlink>
      <w:r w:rsidRPr="0028108F">
        <w:rPr>
          <w:rFonts w:ascii="Arial" w:hAnsi="Arial" w:cs="Arial"/>
          <w:lang w:val="en-GB"/>
        </w:rPr>
        <w:t>.</w:t>
      </w:r>
    </w:p>
  </w:footnote>
  <w:footnote w:id="626">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lang w:val="en-GB" w:eastAsia="zh-TW"/>
        </w:rPr>
        <w:t>eg</w:t>
      </w:r>
      <w:r w:rsidRPr="0028108F">
        <w:rPr>
          <w:rFonts w:ascii="Arial" w:hAnsi="Arial" w:cs="Arial"/>
          <w:lang w:val="en-GB"/>
        </w:rPr>
        <w:t xml:space="preserve">, a gender neutral bathroom survey conducted by San Francisco Human Rights Commission in 2001, available at: </w:t>
      </w:r>
    </w:p>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87" w:history="1">
        <w:r w:rsidRPr="0028108F">
          <w:rPr>
            <w:rStyle w:val="Hyperlink"/>
            <w:rFonts w:ascii="Arial" w:hAnsi="Arial" w:cs="Arial"/>
            <w:lang w:val="en-GB"/>
          </w:rPr>
          <w:t>http://www.makezine.enoughenough.org/bathroomsurvey.htm</w:t>
        </w:r>
      </w:hyperlink>
      <w:r w:rsidRPr="0028108F">
        <w:rPr>
          <w:rFonts w:ascii="Arial" w:hAnsi="Arial" w:cs="Arial"/>
          <w:lang w:val="en-GB"/>
        </w:rPr>
        <w:t>.</w:t>
      </w:r>
    </w:p>
  </w:footnote>
  <w:footnote w:id="627">
    <w:p w:rsidR="0022178B" w:rsidRPr="00C57CE1"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NBC10.com</w:t>
      </w:r>
      <w:r w:rsidRPr="0028108F">
        <w:rPr>
          <w:rFonts w:ascii="Arial" w:hAnsi="Arial" w:cs="Arial"/>
          <w:lang w:val="en-GB"/>
        </w:rPr>
        <w:t>, “Gender-Neutral Restrooms Become the Law”</w:t>
      </w:r>
      <w:r w:rsidRPr="00181CF2">
        <w:rPr>
          <w:rFonts w:ascii="Arial" w:hAnsi="Arial" w:cs="Arial"/>
          <w:i/>
          <w:lang w:val="en-GB"/>
        </w:rPr>
        <w:t xml:space="preserve">, </w:t>
      </w:r>
      <w:r w:rsidRPr="00C57CE1">
        <w:rPr>
          <w:rFonts w:ascii="Arial" w:hAnsi="Arial" w:cs="Arial"/>
          <w:lang w:val="en-GB"/>
        </w:rPr>
        <w:t xml:space="preserve">10 May 2013, available at: </w:t>
      </w:r>
    </w:p>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tab/>
      </w:r>
      <w:hyperlink r:id="rId88" w:history="1">
        <w:r w:rsidRPr="0028108F">
          <w:rPr>
            <w:rStyle w:val="Hyperlink"/>
            <w:rFonts w:ascii="Arial" w:hAnsi="Arial" w:cs="Arial"/>
            <w:lang w:val="en-GB"/>
          </w:rPr>
          <w:t>http://www.nbcphiladelphia.com/news/local/LGBT-Gender-Neutral-Restrooms-206932591.html</w:t>
        </w:r>
      </w:hyperlink>
      <w:r w:rsidRPr="0028108F">
        <w:rPr>
          <w:rFonts w:ascii="Arial" w:hAnsi="Arial" w:cs="Arial"/>
          <w:lang w:val="en-GB"/>
        </w:rPr>
        <w:t>.</w:t>
      </w:r>
    </w:p>
  </w:footnote>
  <w:footnote w:id="628">
    <w:p w:rsidR="0022178B" w:rsidRPr="0028108F" w:rsidRDefault="0022178B">
      <w:pPr>
        <w:pStyle w:val="FootnoteText"/>
        <w:tabs>
          <w:tab w:val="left" w:pos="851"/>
        </w:tabs>
        <w:ind w:left="708" w:hangingChars="354" w:hanging="708"/>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D.C. Mun. Regs. tit. 4. § 802.2 (2006)</w:t>
      </w:r>
      <w:r w:rsidRPr="0028108F">
        <w:rPr>
          <w:rFonts w:ascii="Arial" w:hAnsi="Arial" w:cs="Arial"/>
          <w:lang w:val="en-GB" w:eastAsia="zh-TW"/>
        </w:rPr>
        <w:t>.</w:t>
      </w:r>
    </w:p>
  </w:footnote>
  <w:footnote w:id="629">
    <w:p w:rsidR="0022178B" w:rsidRPr="0028108F" w:rsidRDefault="0022178B">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Jens M Scherpe (ed), </w:t>
      </w:r>
      <w:r w:rsidRPr="0028108F">
        <w:rPr>
          <w:rFonts w:ascii="Arial" w:hAnsi="Arial" w:cs="Arial"/>
          <w:i/>
          <w:lang w:val="en-GB"/>
        </w:rPr>
        <w:t>The Legal Status of Transsexual and Transgender Persons</w:t>
      </w:r>
      <w:r w:rsidRPr="0028108F">
        <w:rPr>
          <w:rFonts w:ascii="Arial" w:hAnsi="Arial" w:cs="Arial"/>
          <w:lang w:val="en-GB"/>
        </w:rPr>
        <w:t xml:space="preserve"> (1st ed, December 2015), at 655. </w:t>
      </w:r>
    </w:p>
    <w:p w:rsidR="0022178B" w:rsidRPr="0028108F" w:rsidRDefault="0022178B" w:rsidP="004633AF">
      <w:pPr>
        <w:pStyle w:val="FootnoteText"/>
        <w:tabs>
          <w:tab w:val="left" w:pos="851"/>
        </w:tabs>
        <w:ind w:left="709" w:hanging="709"/>
        <w:jc w:val="both"/>
        <w:rPr>
          <w:rFonts w:ascii="Arial" w:hAnsi="Arial" w:cs="Arial"/>
          <w:lang w:val="en-GB"/>
        </w:rPr>
      </w:pPr>
    </w:p>
  </w:footnote>
  <w:footnote w:id="630">
    <w:p w:rsidR="0022178B" w:rsidRPr="0028108F" w:rsidRDefault="0022178B" w:rsidP="00984639">
      <w:pPr>
        <w:pStyle w:val="FootnoteText"/>
        <w:tabs>
          <w:tab w:val="left" w:pos="851"/>
        </w:tabs>
        <w:ind w:left="786" w:hangingChars="393" w:hanging="786"/>
        <w:jc w:val="both"/>
        <w:rPr>
          <w:rFonts w:ascii="Arial" w:hAnsi="Arial" w:cs="Arial"/>
          <w:lang w:val="en-GB" w:eastAsia="zh-TW"/>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Civil Code of Québec, section 71.</w:t>
      </w:r>
    </w:p>
  </w:footnote>
  <w:footnote w:id="631">
    <w:p w:rsidR="0022178B" w:rsidRPr="0028108F" w:rsidRDefault="0022178B" w:rsidP="00EC76FF">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Transsexuellengesetz</w:t>
      </w:r>
      <w:r w:rsidRPr="0028108F">
        <w:rPr>
          <w:rFonts w:ascii="Arial" w:hAnsi="Arial" w:cs="Arial"/>
          <w:lang w:val="en-GB"/>
        </w:rPr>
        <w:t>, the Law on Transsexuals of 10 September 1980 that entered into force on 1 January 1981.</w:t>
      </w:r>
    </w:p>
  </w:footnote>
  <w:footnote w:id="632">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Under the executive rules published by the Ministry of the Interior in 2008.</w:t>
      </w:r>
    </w:p>
  </w:footnote>
  <w:footnote w:id="633">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Law 111</w:t>
      </w:r>
      <w:r w:rsidRPr="0028108F">
        <w:rPr>
          <w:rFonts w:ascii="Arial" w:hAnsi="Arial" w:cs="Arial"/>
          <w:lang w:val="en-GB"/>
        </w:rPr>
        <w:t xml:space="preserve"> of July 2003, which took effect on 16 July 2004, called the “Act on </w:t>
      </w:r>
      <w:r w:rsidRPr="0028108F">
        <w:rPr>
          <w:rFonts w:ascii="Arial" w:hAnsi="Arial" w:cs="Arial"/>
          <w:lang w:val="en-GB" w:eastAsia="zh-TW"/>
        </w:rPr>
        <w:t>S</w:t>
      </w:r>
      <w:r w:rsidRPr="0028108F">
        <w:rPr>
          <w:rFonts w:ascii="Arial" w:hAnsi="Arial" w:cs="Arial"/>
          <w:lang w:val="en-GB"/>
        </w:rPr>
        <w:t xml:space="preserve">pecial </w:t>
      </w:r>
      <w:r w:rsidRPr="0028108F">
        <w:rPr>
          <w:rFonts w:ascii="Arial" w:hAnsi="Arial" w:cs="Arial"/>
          <w:lang w:val="en-GB" w:eastAsia="zh-TW"/>
        </w:rPr>
        <w:t>C</w:t>
      </w:r>
      <w:r w:rsidRPr="0028108F">
        <w:rPr>
          <w:rFonts w:ascii="Arial" w:hAnsi="Arial" w:cs="Arial"/>
          <w:lang w:val="en-GB"/>
        </w:rPr>
        <w:t xml:space="preserve">ases in </w:t>
      </w:r>
      <w:r w:rsidRPr="0028108F">
        <w:rPr>
          <w:rFonts w:ascii="Arial" w:hAnsi="Arial" w:cs="Arial"/>
          <w:lang w:val="en-GB" w:eastAsia="zh-TW"/>
        </w:rPr>
        <w:t>H</w:t>
      </w:r>
      <w:r w:rsidRPr="0028108F">
        <w:rPr>
          <w:rFonts w:ascii="Arial" w:hAnsi="Arial" w:cs="Arial"/>
          <w:lang w:val="en-GB"/>
        </w:rPr>
        <w:t xml:space="preserve">andling </w:t>
      </w:r>
      <w:r w:rsidRPr="0028108F">
        <w:rPr>
          <w:rFonts w:ascii="Arial" w:hAnsi="Arial" w:cs="Arial"/>
          <w:lang w:val="en-GB" w:eastAsia="zh-TW"/>
        </w:rPr>
        <w:t>G</w:t>
      </w:r>
      <w:r w:rsidRPr="0028108F">
        <w:rPr>
          <w:rFonts w:ascii="Arial" w:hAnsi="Arial" w:cs="Arial"/>
          <w:lang w:val="en-GB"/>
        </w:rPr>
        <w:t xml:space="preserve">ender for </w:t>
      </w:r>
      <w:r w:rsidRPr="0028108F">
        <w:rPr>
          <w:rFonts w:ascii="Arial" w:hAnsi="Arial" w:cs="Arial"/>
          <w:lang w:val="en-GB" w:eastAsia="zh-TW"/>
        </w:rPr>
        <w:t>P</w:t>
      </w:r>
      <w:r w:rsidRPr="0028108F">
        <w:rPr>
          <w:rFonts w:ascii="Arial" w:hAnsi="Arial" w:cs="Arial"/>
          <w:lang w:val="en-GB"/>
        </w:rPr>
        <w:t xml:space="preserve">eople with </w:t>
      </w:r>
      <w:r w:rsidRPr="0028108F">
        <w:rPr>
          <w:rFonts w:ascii="Arial" w:hAnsi="Arial" w:cs="Arial"/>
          <w:lang w:val="en-GB" w:eastAsia="zh-TW"/>
        </w:rPr>
        <w:t>G</w:t>
      </w:r>
      <w:r w:rsidRPr="0028108F">
        <w:rPr>
          <w:rFonts w:ascii="Arial" w:hAnsi="Arial" w:cs="Arial"/>
          <w:lang w:val="en-GB"/>
        </w:rPr>
        <w:t xml:space="preserve">ender </w:t>
      </w:r>
      <w:r w:rsidRPr="0028108F">
        <w:rPr>
          <w:rFonts w:ascii="Arial" w:hAnsi="Arial" w:cs="Arial"/>
          <w:lang w:val="en-GB" w:eastAsia="zh-TW"/>
        </w:rPr>
        <w:t>I</w:t>
      </w:r>
      <w:r w:rsidRPr="0028108F">
        <w:rPr>
          <w:rFonts w:ascii="Arial" w:hAnsi="Arial" w:cs="Arial"/>
          <w:lang w:val="en-GB"/>
        </w:rPr>
        <w:t xml:space="preserve">dentity </w:t>
      </w:r>
      <w:r w:rsidRPr="0028108F">
        <w:rPr>
          <w:rFonts w:ascii="Arial" w:hAnsi="Arial" w:cs="Arial"/>
          <w:lang w:val="en-GB" w:eastAsia="zh-TW"/>
        </w:rPr>
        <w:t>D</w:t>
      </w:r>
      <w:r w:rsidRPr="0028108F">
        <w:rPr>
          <w:rFonts w:ascii="Arial" w:hAnsi="Arial" w:cs="Arial"/>
          <w:lang w:val="en-GB"/>
        </w:rPr>
        <w:t>isorder” (revised in June 2008).</w:t>
      </w:r>
    </w:p>
  </w:footnote>
  <w:footnote w:id="634">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Article 4 of the Register of Civil Status Act.</w:t>
      </w:r>
    </w:p>
  </w:footnote>
  <w:footnote w:id="635">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Act on the Recognition of the Sex of Transsexual Individuals (</w:t>
      </w:r>
      <w:r w:rsidRPr="0028108F">
        <w:rPr>
          <w:rFonts w:ascii="Arial" w:hAnsi="Arial" w:cs="Arial"/>
          <w:i/>
          <w:lang w:val="en-GB"/>
        </w:rPr>
        <w:t>laki transseksuaalin sukupuolen vahvistamisesta</w:t>
      </w:r>
      <w:r w:rsidRPr="0028108F">
        <w:rPr>
          <w:rFonts w:ascii="Arial" w:hAnsi="Arial" w:cs="Arial"/>
          <w:lang w:val="en-GB" w:eastAsia="zh-TW"/>
        </w:rPr>
        <w:t xml:space="preserve">) </w:t>
      </w:r>
      <w:r w:rsidRPr="0028108F">
        <w:rPr>
          <w:rFonts w:ascii="Arial" w:hAnsi="Arial" w:cs="Arial"/>
          <w:lang w:val="en-GB"/>
        </w:rPr>
        <w:t>(563/2002).</w:t>
      </w:r>
    </w:p>
  </w:footnote>
  <w:footnote w:id="636">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Births, Deaths and Marriages Registration Act 1995, section 32DA.</w:t>
      </w:r>
    </w:p>
  </w:footnote>
  <w:footnote w:id="637">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Part 5 (sections 27A to 33) and section 64 of the Births, Deaths, Marriages and Relationship Registration Act 1995.</w:t>
      </w:r>
    </w:p>
  </w:footnote>
  <w:footnote w:id="638">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Vital Statistics Amendment Act, which received royal assent on 12 June 2014.</w:t>
      </w:r>
    </w:p>
  </w:footnote>
  <w:footnote w:id="639">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Gender Recognition Act (reformed in 2012), section 3.</w:t>
      </w:r>
    </w:p>
  </w:footnote>
  <w:footnote w:id="640">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Article 42 of the Civil Code.</w:t>
      </w:r>
    </w:p>
  </w:footnote>
  <w:footnote w:id="641">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Polish Civil Code.</w:t>
      </w:r>
    </w:p>
  </w:footnote>
  <w:footnote w:id="642">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Gender Identity Law (Law No 7/2011 of 15 March 2010).</w:t>
      </w:r>
    </w:p>
  </w:footnote>
  <w:footnote w:id="643">
    <w:p w:rsidR="0022178B" w:rsidRPr="00181CF2"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Ley 3/2007 Rectificacion registral de la sexo de las persona</w:t>
      </w:r>
      <w:r w:rsidRPr="00181CF2">
        <w:rPr>
          <w:rFonts w:ascii="Arial" w:hAnsi="Arial" w:cs="Arial"/>
          <w:lang w:val="en-GB"/>
        </w:rPr>
        <w:t>.</w:t>
      </w:r>
    </w:p>
  </w:footnote>
  <w:footnote w:id="644">
    <w:p w:rsidR="0022178B" w:rsidRPr="00181CF2" w:rsidRDefault="0022178B">
      <w:pPr>
        <w:pStyle w:val="FootnoteText"/>
        <w:tabs>
          <w:tab w:val="left" w:pos="851"/>
        </w:tabs>
        <w:ind w:left="786" w:hangingChars="393" w:hanging="786"/>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Examples of these jurisdic</w:t>
      </w:r>
      <w:r w:rsidRPr="000B4F6C">
        <w:rPr>
          <w:rFonts w:ascii="Arial" w:hAnsi="Arial" w:cs="Arial"/>
          <w:lang w:val="en-GB"/>
        </w:rPr>
        <w:t xml:space="preserve">tions are </w:t>
      </w:r>
      <w:r w:rsidRPr="008813DE">
        <w:rPr>
          <w:rFonts w:ascii="Arial" w:hAnsi="Arial" w:cs="Arial"/>
          <w:lang w:val="en-GB"/>
        </w:rPr>
        <w:t>all the Australian territories, Luxembourg, Malta and all the US States</w:t>
      </w:r>
      <w:r w:rsidRPr="000B4F6C">
        <w:rPr>
          <w:rFonts w:ascii="Arial" w:hAnsi="Arial" w:cs="Arial"/>
          <w:lang w:val="en-GB"/>
        </w:rPr>
        <w:t>.</w:t>
      </w:r>
      <w:r w:rsidRPr="00181CF2">
        <w:rPr>
          <w:rFonts w:ascii="Arial" w:hAnsi="Arial" w:cs="Arial"/>
          <w:lang w:val="en-GB"/>
        </w:rPr>
        <w:t xml:space="preserve"> </w:t>
      </w:r>
    </w:p>
  </w:footnote>
  <w:footnote w:id="645">
    <w:p w:rsidR="0022178B" w:rsidRPr="0028108F"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Transsexuellengesetz</w:t>
      </w:r>
      <w:r w:rsidRPr="0028108F">
        <w:rPr>
          <w:rFonts w:ascii="Arial" w:hAnsi="Arial" w:cs="Arial"/>
          <w:lang w:val="en-GB"/>
        </w:rPr>
        <w:t>, the Law on Transsexuals of 10 September 1980 that entered into force on 1 January 1981.</w:t>
      </w:r>
    </w:p>
  </w:footnote>
  <w:footnote w:id="646">
    <w:p w:rsidR="0022178B" w:rsidRPr="0028108F" w:rsidRDefault="0022178B">
      <w:pPr>
        <w:pStyle w:val="FootnoteText"/>
        <w:tabs>
          <w:tab w:val="left" w:pos="851"/>
        </w:tabs>
        <w:ind w:left="786" w:hangingChars="393" w:hanging="786"/>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Bundesverfassungsgericht </w:t>
      </w:r>
      <w:r w:rsidRPr="00181CF2">
        <w:rPr>
          <w:rFonts w:ascii="Arial" w:hAnsi="Arial" w:cs="Arial"/>
          <w:lang w:val="en-GB"/>
        </w:rPr>
        <w:t>18.7.2006 (1 BvL 1/04 –1 BvL 12/04), FamRZ 2006, 1818.  See also Jens M</w:t>
      </w:r>
      <w:r w:rsidRPr="0028108F">
        <w:rPr>
          <w:rFonts w:ascii="Arial" w:hAnsi="Arial" w:cs="Arial"/>
          <w:lang w:val="en-GB"/>
        </w:rPr>
        <w:t xml:space="preserve"> Scherpe, “The Nordic Countries in the Vanguard of European Family Law”</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Stockholm Institute for Scandinavian Law</w:t>
      </w:r>
      <w:r w:rsidRPr="00181CF2">
        <w:rPr>
          <w:rFonts w:ascii="Arial" w:hAnsi="Arial" w:cs="Arial"/>
          <w:lang w:val="en-GB"/>
        </w:rPr>
        <w:t xml:space="preserve"> 1957-2010, section 3.2.1, at </w:t>
      </w:r>
      <w:r w:rsidRPr="0028108F">
        <w:rPr>
          <w:rFonts w:ascii="Arial" w:hAnsi="Arial" w:cs="Arial"/>
          <w:lang w:val="en-GB"/>
        </w:rPr>
        <w:t>282</w:t>
      </w:r>
      <w:r w:rsidRPr="0028108F">
        <w:rPr>
          <w:rFonts w:ascii="Arial" w:hAnsi="Arial" w:cs="Arial"/>
          <w:lang w:val="en-GB" w:eastAsia="zh-TW"/>
        </w:rPr>
        <w:t>。</w:t>
      </w:r>
    </w:p>
  </w:footnote>
  <w:footnote w:id="647">
    <w:p w:rsidR="0022178B" w:rsidRPr="00181CF2"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Tribunale di Milano</w:t>
      </w:r>
      <w:r w:rsidRPr="00181CF2">
        <w:rPr>
          <w:rFonts w:ascii="Arial" w:hAnsi="Arial" w:cs="Arial"/>
          <w:lang w:val="en-GB"/>
        </w:rPr>
        <w:t xml:space="preserve"> </w:t>
      </w:r>
      <w:r w:rsidRPr="0028108F">
        <w:rPr>
          <w:rFonts w:ascii="Arial" w:hAnsi="Arial" w:cs="Arial"/>
          <w:i/>
          <w:lang w:val="en-GB"/>
        </w:rPr>
        <w:t>Sez. IX</w:t>
      </w:r>
      <w:r w:rsidRPr="00181CF2">
        <w:rPr>
          <w:rFonts w:ascii="Arial" w:hAnsi="Arial" w:cs="Arial"/>
          <w:lang w:val="en-GB"/>
        </w:rPr>
        <w:t xml:space="preserve">, 17 July 2000, Famiglia e Diritto (2000), 608 ff.  </w:t>
      </w:r>
      <w:r w:rsidRPr="0028108F">
        <w:rPr>
          <w:rFonts w:ascii="Arial" w:hAnsi="Arial" w:cs="Arial"/>
          <w:iCs/>
          <w:lang w:val="en-GB"/>
        </w:rPr>
        <w:t>See</w:t>
      </w:r>
      <w:r w:rsidRPr="00181CF2">
        <w:rPr>
          <w:rFonts w:ascii="Arial" w:hAnsi="Arial" w:cs="Arial"/>
          <w:i/>
          <w:iCs/>
          <w:lang w:val="en-GB"/>
        </w:rPr>
        <w:t xml:space="preserve"> </w:t>
      </w:r>
      <w:r w:rsidRPr="00C57CE1">
        <w:rPr>
          <w:rFonts w:ascii="Arial" w:hAnsi="Arial" w:cs="Arial"/>
          <w:lang w:val="en-GB"/>
        </w:rPr>
        <w:t xml:space="preserve">also Tribunale di Milano, 14 July 1997, </w:t>
      </w:r>
      <w:r w:rsidRPr="0028108F">
        <w:rPr>
          <w:rFonts w:ascii="Arial" w:hAnsi="Arial" w:cs="Arial"/>
          <w:lang w:val="en-GB"/>
        </w:rPr>
        <w:t>“Rivista di diritto internazionale privato e processuale 1998”</w:t>
      </w:r>
      <w:r w:rsidRPr="00181CF2">
        <w:rPr>
          <w:rFonts w:ascii="Arial" w:hAnsi="Arial" w:cs="Arial"/>
          <w:lang w:val="en-GB"/>
        </w:rPr>
        <w:t>, 508.</w:t>
      </w:r>
    </w:p>
  </w:footnote>
  <w:footnote w:id="648">
    <w:p w:rsidR="0022178B" w:rsidRPr="0028108F" w:rsidRDefault="0022178B">
      <w:pPr>
        <w:pStyle w:val="FootnoteText"/>
        <w:tabs>
          <w:tab w:val="left" w:pos="851"/>
        </w:tabs>
        <w:ind w:left="786" w:hangingChars="393" w:hanging="786"/>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iCs/>
          <w:lang w:val="en-GB"/>
        </w:rPr>
        <w:t xml:space="preserve">Norme in materia di rettificazione di attribuzione di sesso </w:t>
      </w:r>
      <w:r w:rsidRPr="0028108F">
        <w:rPr>
          <w:rFonts w:ascii="Arial" w:hAnsi="Arial" w:cs="Arial"/>
          <w:lang w:val="en-GB"/>
        </w:rPr>
        <w:t>(Act concerning the correction of gender assignment), Legge 14 aprile 1982, n. 164, Gazzetta Ufficiale n. 106, del 19 aprile 1982, p. 2879.</w:t>
      </w:r>
    </w:p>
  </w:footnote>
  <w:footnote w:id="649">
    <w:p w:rsidR="0022178B" w:rsidRPr="00181CF2" w:rsidRDefault="0022178B">
      <w:pPr>
        <w:pStyle w:val="FootnoteText"/>
        <w:tabs>
          <w:tab w:val="left" w:pos="851"/>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Basedow, Jürgen/ Jens M Scherpe (eds.), “</w:t>
      </w:r>
      <w:r w:rsidRPr="0028108F">
        <w:rPr>
          <w:rFonts w:ascii="Arial" w:hAnsi="Arial" w:cs="Arial"/>
          <w:iCs/>
          <w:lang w:val="en-GB"/>
        </w:rPr>
        <w:t>Transsexualität, Staatsangehörigkeit und internationales Privatrecht”</w:t>
      </w:r>
      <w:r w:rsidRPr="00181CF2">
        <w:rPr>
          <w:rFonts w:ascii="Arial" w:hAnsi="Arial" w:cs="Arial"/>
          <w:lang w:val="en-GB"/>
        </w:rPr>
        <w:t xml:space="preserve">, </w:t>
      </w:r>
      <w:r w:rsidRPr="0028108F">
        <w:rPr>
          <w:rFonts w:ascii="Arial" w:hAnsi="Arial" w:cs="Arial"/>
          <w:i/>
          <w:lang w:val="en-GB"/>
        </w:rPr>
        <w:t>Mohr Siebeck</w:t>
      </w:r>
      <w:r w:rsidRPr="00181CF2">
        <w:rPr>
          <w:rFonts w:ascii="Arial" w:hAnsi="Arial" w:cs="Arial"/>
          <w:lang w:val="en-GB"/>
        </w:rPr>
        <w:t>, 2004, at 42.</w:t>
      </w:r>
    </w:p>
  </w:footnote>
  <w:footnote w:id="650">
    <w:p w:rsidR="0022178B" w:rsidRPr="0028108F" w:rsidRDefault="0022178B">
      <w:pPr>
        <w:pStyle w:val="FootnoteText"/>
        <w:tabs>
          <w:tab w:val="left" w:pos="851"/>
        </w:tabs>
        <w:ind w:left="786" w:hangingChars="393" w:hanging="786"/>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Jens M Scherpe, “Focus: What</w:t>
      </w:r>
      <w:r w:rsidRPr="00181CF2">
        <w:rPr>
          <w:rFonts w:ascii="Arial" w:hAnsi="Arial" w:cs="Arial"/>
          <w:lang w:val="en-GB" w:eastAsia="zh-TW"/>
        </w:rPr>
        <w:t>’</w:t>
      </w:r>
      <w:r w:rsidRPr="0028108F">
        <w:rPr>
          <w:rFonts w:ascii="Arial" w:hAnsi="Arial" w:cs="Arial"/>
          <w:lang w:val="en-GB"/>
        </w:rPr>
        <w:t>s So ‘Unusual’ about W? - Changing One's Legal Gender in Europe -- The ‘W’ Case in Comparative Perspective”</w:t>
      </w:r>
      <w:r w:rsidRPr="00181CF2">
        <w:rPr>
          <w:rFonts w:ascii="Arial" w:hAnsi="Arial" w:cs="Arial"/>
          <w:lang w:val="en-GB"/>
        </w:rPr>
        <w:t xml:space="preserve"> (2011) 41 </w:t>
      </w:r>
      <w:r w:rsidRPr="00F86CD8">
        <w:rPr>
          <w:rFonts w:ascii="Arial" w:hAnsi="Arial" w:cs="Arial"/>
          <w:lang w:val="en-GB"/>
        </w:rPr>
        <w:t>HKLJ</w:t>
      </w:r>
      <w:r w:rsidRPr="0028108F">
        <w:rPr>
          <w:rFonts w:ascii="Arial" w:hAnsi="Arial" w:cs="Arial"/>
          <w:lang w:val="en-GB"/>
        </w:rPr>
        <w:t xml:space="preserve"> 109, at 118. </w:t>
      </w:r>
    </w:p>
  </w:footnote>
  <w:footnote w:id="651">
    <w:p w:rsidR="0022178B" w:rsidRPr="0028108F" w:rsidRDefault="0022178B">
      <w:pPr>
        <w:pStyle w:val="FootnoteText"/>
        <w:tabs>
          <w:tab w:val="left" w:pos="851"/>
        </w:tabs>
        <w:ind w:left="786" w:hangingChars="393" w:hanging="786"/>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Application no. 39432/06, 12 June 2007.</w:t>
      </w:r>
    </w:p>
  </w:footnote>
  <w:footnote w:id="652">
    <w:p w:rsidR="0022178B" w:rsidRPr="0028108F" w:rsidRDefault="0022178B">
      <w:pPr>
        <w:pStyle w:val="FootnoteText"/>
        <w:tabs>
          <w:tab w:val="left" w:pos="851"/>
        </w:tabs>
        <w:ind w:left="786" w:hangingChars="393" w:hanging="786"/>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In that case, the applicant was denied a renewal of residence permit in Italy because of the inconsistency of his name and gender between his Italy identity card and passport issued by Peru, a jurisdiction not recognising gender reassignment surgeries.  The applicant contended that his Article 8 right to a private and family life and Article 3 right against inhuman and degrading treatment had been violated because of the failure to obtain a new residence permit under Italian law.  The </w:t>
      </w:r>
      <w:r>
        <w:rPr>
          <w:rFonts w:ascii="Arial" w:hAnsi="Arial" w:cs="Arial"/>
          <w:lang w:val="en-GB"/>
        </w:rPr>
        <w:t xml:space="preserve">ECtHR </w:t>
      </w:r>
      <w:r w:rsidRPr="0028108F">
        <w:rPr>
          <w:rFonts w:ascii="Arial" w:hAnsi="Arial" w:cs="Arial"/>
          <w:lang w:val="en-GB"/>
        </w:rPr>
        <w:t xml:space="preserve">noted that neither the </w:t>
      </w:r>
      <w:r>
        <w:rPr>
          <w:rFonts w:ascii="Arial" w:hAnsi="Arial" w:cs="Arial"/>
          <w:lang w:val="en-GB"/>
        </w:rPr>
        <w:t>ECHR</w:t>
      </w:r>
      <w:r w:rsidRPr="0028108F">
        <w:rPr>
          <w:rFonts w:ascii="Arial" w:hAnsi="Arial" w:cs="Arial"/>
          <w:lang w:val="en-GB"/>
        </w:rPr>
        <w:t xml:space="preserve"> nor its Protocols conferred a right to a residence permit or a right to nationality.  In particular, the Court remarked that the Italian authorities had officially recognised the applicant’s gender reassignment surgery and his change of name, and had also issued the applicant a new identity card and a tax code card.  These were sufficient for the Italian authorities to discharge its obligations under Article 8.  The Court also found that the difficulties in which the applicant found himself were insufficient to reach the minimum level of gravity necessary to engage Article 3.</w:t>
      </w:r>
    </w:p>
  </w:footnote>
  <w:footnote w:id="653">
    <w:p w:rsidR="0022178B" w:rsidRPr="001F2048" w:rsidRDefault="0022178B" w:rsidP="004633AF">
      <w:pPr>
        <w:pStyle w:val="FootnoteText"/>
        <w:tabs>
          <w:tab w:val="left" w:pos="851"/>
        </w:tabs>
        <w:ind w:left="709" w:hanging="709"/>
        <w:jc w:val="both"/>
        <w:rPr>
          <w:rFonts w:ascii="Arial" w:hAnsi="Arial" w:cs="Arial"/>
          <w:lang w:val="en-GB"/>
        </w:rPr>
      </w:pPr>
      <w:r w:rsidRPr="001F2048">
        <w:rPr>
          <w:rStyle w:val="FootnoteReference"/>
          <w:rFonts w:ascii="Arial" w:hAnsi="Arial" w:cs="Arial"/>
          <w:vertAlign w:val="baseline"/>
          <w:lang w:val="en-GB"/>
        </w:rPr>
        <w:footnoteRef/>
      </w:r>
      <w:r w:rsidRPr="001F2048">
        <w:rPr>
          <w:rFonts w:ascii="Arial" w:hAnsi="Arial" w:cs="Arial"/>
          <w:lang w:val="en-GB"/>
        </w:rPr>
        <w:t xml:space="preserve"> </w:t>
      </w:r>
      <w:r w:rsidRPr="0011697F">
        <w:rPr>
          <w:rFonts w:ascii="Arial" w:hAnsi="Arial" w:cs="Arial"/>
          <w:color w:val="000000" w:themeColor="text1"/>
          <w:lang w:val="en-GB"/>
        </w:rPr>
        <w:tab/>
        <w:t xml:space="preserve">Cases having a </w:t>
      </w:r>
      <w:r w:rsidRPr="0011697F">
        <w:rPr>
          <w:rFonts w:ascii="Arial" w:hAnsi="Arial" w:cs="Arial"/>
          <w:i/>
          <w:color w:val="000000" w:themeColor="text1"/>
          <w:lang w:val="en-GB"/>
        </w:rPr>
        <w:t>“foreign element”</w:t>
      </w:r>
      <w:r w:rsidRPr="0011697F">
        <w:rPr>
          <w:rFonts w:ascii="Arial" w:hAnsi="Arial" w:cs="Arial"/>
          <w:color w:val="000000" w:themeColor="text1"/>
          <w:lang w:val="en-GB"/>
        </w:rPr>
        <w:t xml:space="preserve"> are those concerning a contact by Hong Kong law with some system of law other than Hong Kong law, and “</w:t>
      </w:r>
      <w:r w:rsidRPr="0011697F">
        <w:rPr>
          <w:rFonts w:ascii="Arial" w:hAnsi="Arial" w:cs="Arial"/>
          <w:i/>
          <w:color w:val="000000" w:themeColor="text1"/>
          <w:lang w:val="en-GB"/>
        </w:rPr>
        <w:t>[s]uch a contact may exist, for example, because a contract was made or to be performed in a foreign country, or because a tort was committed there, or because property was situated there, or because the parties are not [from Hong Kong]</w:t>
      </w:r>
      <w:r w:rsidRPr="0011697F">
        <w:rPr>
          <w:rFonts w:ascii="Arial" w:hAnsi="Arial" w:cs="Arial"/>
          <w:color w:val="000000" w:themeColor="text1"/>
          <w:lang w:val="en-GB"/>
        </w:rPr>
        <w:t xml:space="preserve">.”  See Dicey, Morris &amp; Collins, </w:t>
      </w:r>
      <w:r w:rsidRPr="0011697F">
        <w:rPr>
          <w:rFonts w:ascii="Arial" w:hAnsi="Arial" w:cs="Arial"/>
          <w:i/>
          <w:color w:val="000000" w:themeColor="text1"/>
          <w:lang w:val="en-GB"/>
        </w:rPr>
        <w:t>The Conflict of Laws</w:t>
      </w:r>
      <w:r w:rsidRPr="0011697F">
        <w:rPr>
          <w:rFonts w:ascii="Arial" w:hAnsi="Arial" w:cs="Arial"/>
          <w:color w:val="000000" w:themeColor="text1"/>
          <w:lang w:val="en-GB"/>
        </w:rPr>
        <w:t xml:space="preserve"> (15th ed, 2012, </w:t>
      </w:r>
      <w:r w:rsidRPr="0011697F">
        <w:rPr>
          <w:rFonts w:ascii="Arial" w:hAnsi="Arial" w:cs="Arial"/>
          <w:i/>
          <w:color w:val="000000" w:themeColor="text1"/>
          <w:lang w:val="en-GB"/>
        </w:rPr>
        <w:t>Swe</w:t>
      </w:r>
      <w:r w:rsidRPr="001F2048">
        <w:rPr>
          <w:rFonts w:ascii="Arial" w:hAnsi="Arial" w:cs="Arial"/>
          <w:i/>
          <w:lang w:val="en-GB"/>
        </w:rPr>
        <w:t>et &amp; Maxwell</w:t>
      </w:r>
      <w:r w:rsidRPr="001F2048">
        <w:rPr>
          <w:rFonts w:ascii="Arial" w:hAnsi="Arial" w:cs="Arial"/>
          <w:lang w:val="en-GB"/>
        </w:rPr>
        <w:t>), Vol 1, at paragraph 1-001.</w:t>
      </w:r>
    </w:p>
  </w:footnote>
  <w:footnote w:id="654">
    <w:p w:rsidR="0022178B" w:rsidRPr="001F2048" w:rsidRDefault="0022178B" w:rsidP="004633AF">
      <w:pPr>
        <w:pStyle w:val="FootnoteText"/>
        <w:tabs>
          <w:tab w:val="left" w:pos="851"/>
        </w:tabs>
        <w:ind w:left="709" w:hanging="709"/>
        <w:jc w:val="both"/>
        <w:rPr>
          <w:rFonts w:ascii="Arial" w:hAnsi="Arial" w:cs="Arial"/>
          <w:lang w:val="en-GB"/>
        </w:rPr>
      </w:pPr>
      <w:r w:rsidRPr="001F2048">
        <w:rPr>
          <w:rStyle w:val="FootnoteReference"/>
          <w:rFonts w:ascii="Arial" w:hAnsi="Arial" w:cs="Arial"/>
          <w:vertAlign w:val="baseline"/>
          <w:lang w:val="en-GB"/>
        </w:rPr>
        <w:footnoteRef/>
      </w:r>
      <w:r w:rsidRPr="001F2048">
        <w:rPr>
          <w:rFonts w:ascii="Arial" w:hAnsi="Arial" w:cs="Arial"/>
          <w:lang w:val="en-GB"/>
        </w:rPr>
        <w:t xml:space="preserve"> </w:t>
      </w:r>
      <w:r w:rsidRPr="001F2048">
        <w:rPr>
          <w:rFonts w:ascii="Arial" w:hAnsi="Arial" w:cs="Arial"/>
          <w:lang w:val="en-GB"/>
        </w:rPr>
        <w:tab/>
        <w:t xml:space="preserve">Dicey, Morris &amp; Collins, </w:t>
      </w:r>
      <w:r w:rsidRPr="001F2048">
        <w:rPr>
          <w:rFonts w:ascii="Arial" w:hAnsi="Arial" w:cs="Arial"/>
          <w:i/>
          <w:lang w:val="en-GB"/>
        </w:rPr>
        <w:t>The Conflict of Laws</w:t>
      </w:r>
      <w:r w:rsidRPr="001F2048">
        <w:rPr>
          <w:rFonts w:ascii="Arial" w:hAnsi="Arial" w:cs="Arial"/>
          <w:lang w:val="en-GB"/>
        </w:rPr>
        <w:t xml:space="preserve"> (15th ed, 2012, </w:t>
      </w:r>
      <w:r w:rsidRPr="001F2048">
        <w:rPr>
          <w:rFonts w:ascii="Arial" w:hAnsi="Arial" w:cs="Arial"/>
          <w:i/>
          <w:lang w:val="en-GB"/>
        </w:rPr>
        <w:t>Sweet &amp; Maxwell</w:t>
      </w:r>
      <w:r w:rsidRPr="001F2048">
        <w:rPr>
          <w:rFonts w:ascii="Arial" w:hAnsi="Arial" w:cs="Arial"/>
          <w:lang w:val="en-GB"/>
        </w:rPr>
        <w:t>), Vol 1, at paragraph 1-003.</w:t>
      </w:r>
    </w:p>
  </w:footnote>
  <w:footnote w:id="655">
    <w:p w:rsidR="0022178B" w:rsidRPr="00852612" w:rsidRDefault="0022178B" w:rsidP="004633AF">
      <w:pPr>
        <w:pStyle w:val="FootnoteText"/>
        <w:tabs>
          <w:tab w:val="left" w:pos="851"/>
        </w:tabs>
        <w:ind w:left="709" w:hanging="709"/>
        <w:jc w:val="both"/>
        <w:rPr>
          <w:rFonts w:ascii="Arial" w:hAnsi="Arial" w:cs="Arial"/>
          <w:lang w:val="en-GB"/>
        </w:rPr>
      </w:pPr>
      <w:r w:rsidRPr="001F2048">
        <w:rPr>
          <w:rStyle w:val="FootnoteReference"/>
          <w:rFonts w:ascii="Arial" w:hAnsi="Arial" w:cs="Arial"/>
          <w:vertAlign w:val="baseline"/>
          <w:lang w:val="en-GB"/>
        </w:rPr>
        <w:footnoteRef/>
      </w:r>
      <w:r w:rsidRPr="001F2048">
        <w:rPr>
          <w:rFonts w:ascii="Arial" w:hAnsi="Arial" w:cs="Arial"/>
          <w:lang w:val="en-GB"/>
        </w:rPr>
        <w:t xml:space="preserve"> </w:t>
      </w:r>
      <w:r w:rsidRPr="001F2048">
        <w:rPr>
          <w:rFonts w:ascii="Arial" w:hAnsi="Arial" w:cs="Arial"/>
          <w:lang w:val="en-GB"/>
        </w:rPr>
        <w:tab/>
      </w:r>
      <w:r w:rsidRPr="00852612">
        <w:rPr>
          <w:rFonts w:ascii="Arial" w:hAnsi="Arial" w:cs="Arial"/>
          <w:lang w:val="en-GB"/>
        </w:rPr>
        <w:t xml:space="preserve">Section 7 of the Hong Kong Reunification Ordinance </w:t>
      </w:r>
      <w:r w:rsidRPr="00852612">
        <w:rPr>
          <w:rFonts w:ascii="Arial" w:hAnsi="Arial" w:cs="Arial" w:hint="eastAsia"/>
          <w:lang w:val="en-GB" w:eastAsia="zh-TW"/>
        </w:rPr>
        <w:t xml:space="preserve">(Cap 2601) </w:t>
      </w:r>
      <w:r w:rsidRPr="00852612">
        <w:rPr>
          <w:rFonts w:ascii="Arial" w:hAnsi="Arial" w:cs="Arial"/>
          <w:lang w:val="en-GB"/>
        </w:rPr>
        <w:t>provides</w:t>
      </w:r>
      <w:r w:rsidRPr="00852612">
        <w:rPr>
          <w:rFonts w:ascii="Arial" w:hAnsi="Arial" w:cs="Arial"/>
          <w:lang w:val="en-GB" w:eastAsia="zh-TW"/>
        </w:rPr>
        <w:t xml:space="preserve">, </w:t>
      </w:r>
      <w:r w:rsidRPr="00852612">
        <w:rPr>
          <w:rFonts w:ascii="Arial" w:hAnsi="Arial" w:cs="Arial"/>
          <w:i/>
          <w:lang w:val="en-GB" w:eastAsia="zh-TW"/>
        </w:rPr>
        <w:t>inter alia,</w:t>
      </w:r>
      <w:r w:rsidRPr="00852612">
        <w:rPr>
          <w:rFonts w:ascii="Arial" w:hAnsi="Arial" w:cs="Arial"/>
          <w:lang w:val="en-GB"/>
        </w:rPr>
        <w:t xml:space="preserve"> that the common law and rules of equity will continue to have the force of law in Hong Kong</w:t>
      </w:r>
      <w:r w:rsidRPr="00852612">
        <w:rPr>
          <w:rFonts w:ascii="Arial" w:hAnsi="Arial" w:cs="Arial"/>
          <w:lang w:val="en-GB" w:eastAsia="zh-TW"/>
        </w:rPr>
        <w:t>.  Such laws and rules</w:t>
      </w:r>
      <w:r w:rsidRPr="00852612">
        <w:rPr>
          <w:rFonts w:ascii="Arial" w:hAnsi="Arial" w:cs="Arial"/>
          <w:lang w:val="en-GB"/>
        </w:rPr>
        <w:t xml:space="preserve"> includ</w:t>
      </w:r>
      <w:r w:rsidRPr="00852612">
        <w:rPr>
          <w:rFonts w:ascii="Arial" w:hAnsi="Arial" w:cs="Arial"/>
          <w:lang w:val="en-GB" w:eastAsia="zh-TW"/>
        </w:rPr>
        <w:t>e</w:t>
      </w:r>
      <w:r w:rsidRPr="00852612">
        <w:rPr>
          <w:rFonts w:ascii="Arial" w:hAnsi="Arial" w:cs="Arial"/>
          <w:lang w:val="en-GB"/>
        </w:rPr>
        <w:t xml:space="preserve"> in the context of conflict of laws matters concerning domicile, contract and tort.  In other areas, such as family law and the enforcement of foreign judgments, local legislation has evolved to precede the common law.</w:t>
      </w:r>
    </w:p>
  </w:footnote>
  <w:footnote w:id="656">
    <w:p w:rsidR="0022178B" w:rsidRPr="00852612" w:rsidRDefault="0022178B" w:rsidP="004633AF">
      <w:pPr>
        <w:pStyle w:val="FootnoteText"/>
        <w:tabs>
          <w:tab w:val="left" w:pos="851"/>
        </w:tabs>
        <w:ind w:left="709" w:hanging="709"/>
        <w:jc w:val="both"/>
        <w:rPr>
          <w:rFonts w:ascii="Arial" w:hAnsi="Arial" w:cs="Arial"/>
          <w:lang w:val="en-GB"/>
        </w:rPr>
      </w:pPr>
      <w:r w:rsidRPr="00852612">
        <w:rPr>
          <w:rStyle w:val="FootnoteReference"/>
          <w:rFonts w:ascii="Arial" w:hAnsi="Arial" w:cs="Arial"/>
          <w:vertAlign w:val="baseline"/>
          <w:lang w:val="en-GB"/>
        </w:rPr>
        <w:footnoteRef/>
      </w:r>
      <w:r w:rsidRPr="00852612">
        <w:rPr>
          <w:rFonts w:ascii="Arial" w:hAnsi="Arial" w:cs="Arial"/>
          <w:lang w:val="en-GB"/>
        </w:rPr>
        <w:t xml:space="preserve"> </w:t>
      </w:r>
      <w:r w:rsidRPr="00852612">
        <w:rPr>
          <w:rFonts w:ascii="Arial" w:hAnsi="Arial" w:cs="Arial"/>
          <w:lang w:val="en-GB"/>
        </w:rPr>
        <w:tab/>
        <w:t>Conflict of laws deals with cases in areas such as: jurisdiction and foreign judgments; family law; domicile and residence; law of property; corporation and insolvency law; and contractual and non-contractual obligations.</w:t>
      </w:r>
    </w:p>
  </w:footnote>
  <w:footnote w:id="657">
    <w:p w:rsidR="0022178B" w:rsidRPr="00852612" w:rsidRDefault="0022178B" w:rsidP="00984639">
      <w:pPr>
        <w:pStyle w:val="FootnoteText"/>
        <w:tabs>
          <w:tab w:val="left" w:pos="851"/>
        </w:tabs>
        <w:ind w:left="708" w:hangingChars="354" w:hanging="708"/>
        <w:jc w:val="both"/>
        <w:rPr>
          <w:rFonts w:ascii="Arial" w:hAnsi="Arial" w:cs="Arial"/>
          <w:lang w:val="en-GB"/>
        </w:rPr>
      </w:pPr>
      <w:r w:rsidRPr="00852612">
        <w:rPr>
          <w:rStyle w:val="FootnoteReference"/>
          <w:rFonts w:ascii="Arial" w:hAnsi="Arial" w:cs="Arial"/>
          <w:vertAlign w:val="baseline"/>
          <w:lang w:val="en-GB"/>
        </w:rPr>
        <w:footnoteRef/>
      </w:r>
      <w:r w:rsidRPr="00852612">
        <w:rPr>
          <w:rFonts w:ascii="Arial" w:hAnsi="Arial" w:cs="Arial"/>
          <w:lang w:val="en-GB"/>
        </w:rPr>
        <w:t xml:space="preserve"> </w:t>
      </w:r>
      <w:r w:rsidRPr="00852612">
        <w:rPr>
          <w:rFonts w:ascii="Arial" w:hAnsi="Arial" w:cs="Arial"/>
          <w:lang w:val="en-GB"/>
        </w:rPr>
        <w:tab/>
        <w:t xml:space="preserve">The questions that arise in ‘conflict of laws’ cases usually involve three main preliminary matters: (1) whether the local court has the jurisdiction to hear and determine a dispute involving foreign elements; (2) if so, what is the law, either the domestic one or the foreign one, that should apply (ie, what the ‘choice of law’ is); (3) separately, whether the local court can recognise or enforce a foreign judgment purporting to determine the issue of a particular case that does not necessarily involve foreign elements.  See Dicey, Morris &amp; Collins, </w:t>
      </w:r>
      <w:r w:rsidRPr="00852612">
        <w:rPr>
          <w:rFonts w:ascii="Arial" w:hAnsi="Arial" w:cs="Arial"/>
          <w:i/>
          <w:lang w:val="en-GB"/>
        </w:rPr>
        <w:t>The Conflict of Laws</w:t>
      </w:r>
      <w:r w:rsidRPr="00852612">
        <w:rPr>
          <w:rFonts w:ascii="Arial" w:hAnsi="Arial" w:cs="Arial"/>
          <w:lang w:val="en-GB"/>
        </w:rPr>
        <w:t xml:space="preserve"> (15th ed, 2012, </w:t>
      </w:r>
      <w:r w:rsidRPr="00852612">
        <w:rPr>
          <w:rFonts w:ascii="Arial" w:hAnsi="Arial" w:cs="Arial"/>
          <w:i/>
          <w:lang w:val="en-GB"/>
        </w:rPr>
        <w:t>Sweet &amp; Maxwell</w:t>
      </w:r>
      <w:r w:rsidRPr="00852612">
        <w:rPr>
          <w:rFonts w:ascii="Arial" w:hAnsi="Arial" w:cs="Arial"/>
          <w:lang w:val="en-GB"/>
        </w:rPr>
        <w:t>), Vol 1, at paragraph 1-003.</w:t>
      </w:r>
    </w:p>
  </w:footnote>
  <w:footnote w:id="658">
    <w:p w:rsidR="0022178B" w:rsidRPr="00C57CE1" w:rsidRDefault="0022178B" w:rsidP="00984639">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at 20.</w:t>
      </w:r>
    </w:p>
  </w:footnote>
  <w:footnote w:id="659">
    <w:p w:rsidR="0022178B" w:rsidRPr="0028108F" w:rsidRDefault="0022178B" w:rsidP="00EC76FF">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xml:space="preserve">), at paragraph 2.008. </w:t>
      </w:r>
    </w:p>
  </w:footnote>
  <w:footnote w:id="660">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at paragraph 2.012.</w:t>
      </w:r>
    </w:p>
  </w:footnote>
  <w:footnote w:id="661">
    <w:p w:rsidR="0022178B" w:rsidRPr="0028108F" w:rsidRDefault="0022178B">
      <w:pPr>
        <w:pStyle w:val="FootnoteText"/>
        <w:tabs>
          <w:tab w:val="left" w:pos="851"/>
        </w:tabs>
        <w:ind w:left="708" w:hangingChars="354" w:hanging="708"/>
        <w:jc w:val="both"/>
        <w:rPr>
          <w:rFonts w:ascii="Arial" w:hAnsi="Arial" w:cs="Arial"/>
          <w:lang w:val="en-GB" w:eastAsia="zh-TW"/>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 Hague Conference on Private International law is a global inter-governmental organisation </w:t>
      </w:r>
      <w:r w:rsidRPr="0028108F">
        <w:rPr>
          <w:rFonts w:ascii="Arial" w:hAnsi="Arial" w:cs="Arial"/>
          <w:lang w:val="en-GB" w:eastAsia="zh-TW"/>
        </w:rPr>
        <w:t xml:space="preserve">currently </w:t>
      </w:r>
      <w:r w:rsidRPr="0028108F">
        <w:rPr>
          <w:rFonts w:ascii="Arial" w:hAnsi="Arial" w:cs="Arial"/>
          <w:lang w:val="en-GB"/>
        </w:rPr>
        <w:t xml:space="preserve">with </w:t>
      </w:r>
      <w:r w:rsidRPr="0028108F">
        <w:rPr>
          <w:rFonts w:ascii="Arial" w:hAnsi="Arial" w:cs="Arial"/>
          <w:lang w:val="en-GB" w:eastAsia="zh-TW"/>
        </w:rPr>
        <w:t>82</w:t>
      </w:r>
      <w:r w:rsidRPr="0028108F">
        <w:rPr>
          <w:rFonts w:ascii="Arial" w:hAnsi="Arial" w:cs="Arial"/>
          <w:lang w:val="en-GB"/>
        </w:rPr>
        <w:t xml:space="preserve"> members (</w:t>
      </w:r>
      <w:r w:rsidRPr="0028108F">
        <w:rPr>
          <w:rFonts w:ascii="Arial" w:hAnsi="Arial" w:cs="Arial"/>
          <w:lang w:val="en-GB" w:eastAsia="zh-TW"/>
        </w:rPr>
        <w:t>81</w:t>
      </w:r>
      <w:r w:rsidRPr="0028108F">
        <w:rPr>
          <w:rFonts w:ascii="Arial" w:hAnsi="Arial" w:cs="Arial"/>
          <w:lang w:val="en-GB"/>
        </w:rPr>
        <w:t xml:space="preserve"> States and the European Union) representing all continents.  It develops and services multilateral legal instruments which address the global needs on private international law rules.  The work of the Hague Conference involves “</w:t>
      </w:r>
      <w:r w:rsidRPr="0028108F">
        <w:rPr>
          <w:rFonts w:ascii="Arial" w:hAnsi="Arial" w:cs="Arial"/>
          <w:i/>
          <w:lang w:val="en-GB"/>
        </w:rPr>
        <w:t>finding internationally-agreed approaches to issues such as jurisdiction of the courts, applicable law, and the recognition and enforcement of judgments in a wide range of areas, from commercial law and banking law to international civil procedure and from child protection to matters of marriage and personal status.”</w:t>
      </w:r>
      <w:r>
        <w:rPr>
          <w:rFonts w:ascii="Arial" w:hAnsi="Arial" w:cs="Arial" w:hint="eastAsia"/>
          <w:lang w:val="en-GB" w:eastAsia="zh-TW"/>
        </w:rPr>
        <w:t xml:space="preserve">  See the website of </w:t>
      </w:r>
      <w:r>
        <w:rPr>
          <w:rFonts w:ascii="Arial" w:hAnsi="Arial" w:cs="Arial"/>
          <w:lang w:val="en-GB" w:eastAsia="zh-TW"/>
        </w:rPr>
        <w:t>The</w:t>
      </w:r>
      <w:r>
        <w:rPr>
          <w:rFonts w:ascii="Arial" w:hAnsi="Arial" w:cs="Arial" w:hint="eastAsia"/>
          <w:lang w:val="en-GB" w:eastAsia="zh-TW"/>
        </w:rPr>
        <w:t xml:space="preserve"> Hague Conference on Private International Law, available at:</w:t>
      </w:r>
      <w:r w:rsidRPr="0077736D">
        <w:t xml:space="preserve"> </w:t>
      </w:r>
      <w:hyperlink r:id="rId89" w:history="1">
        <w:r w:rsidRPr="00750692">
          <w:rPr>
            <w:rStyle w:val="Hyperlink"/>
            <w:rFonts w:ascii="Arial" w:hAnsi="Arial" w:cs="Arial"/>
            <w:lang w:val="en-GB" w:eastAsia="zh-TW"/>
          </w:rPr>
          <w:t>https://www.hcch.net/en/about</w:t>
        </w:r>
      </w:hyperlink>
      <w:r>
        <w:rPr>
          <w:rFonts w:ascii="Arial" w:hAnsi="Arial" w:cs="Arial" w:hint="eastAsia"/>
          <w:lang w:val="en-GB" w:eastAsia="zh-TW"/>
        </w:rPr>
        <w:t>.</w:t>
      </w:r>
      <w:r w:rsidRPr="0028108F">
        <w:rPr>
          <w:rFonts w:ascii="Arial" w:hAnsi="Arial" w:cs="Arial"/>
          <w:lang w:val="en-GB"/>
        </w:rPr>
        <w:t xml:space="preserve"> </w:t>
      </w:r>
    </w:p>
  </w:footnote>
  <w:footnote w:id="662">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Between 1951 and 2008, the Conference adopted 38 international Conventions which deal with various issues.  The most widely ratified include the Conventions on: the abolition of legalisation (Apostille); service of process; taking of evidence abroad; access to justice; international child abduction; inter-country adoption; conflicts of laws relating to the form of testamentary dispositions; maintenance obligations; and recognition of divorces.  At present, there are eight Conventions in force for Hong Kong, including: Convention of 5 October 1961 on the Conflicts of Laws Relating to the Form of Testamentary Dispositions; Convention of 5 October 1961 Abolishing the Requirement of Legalisation for Foreign Public Documents; Convention of 15 November 1965 on the Service Abroad of Judicial and Extrajudicial Documents in Civil or Commercial Matters; Convention of 1 June 1970 on the Recognition of Divorces and Legal Separations; Convention of 18 March 1970 on the Taking of Evidence Abroad in Civil or Commercial Matters; Convention of 25 October 1980 on the Civil Aspects of International Child Abduction; Convention of 1 July 1985 on the Law Applicable to Trusts and on their Recognition; and Convention of 29 May 1993 on Protection of Children and Co-operation in Respect of Intercountry Adoption.</w:t>
      </w:r>
    </w:p>
  </w:footnote>
  <w:footnote w:id="66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Fonts w:ascii="Arial" w:hAnsi="Arial" w:cs="Arial"/>
          <w:lang w:val="en-GB"/>
        </w:rPr>
        <w:tab/>
      </w:r>
      <w:r w:rsidRPr="0028108F">
        <w:rPr>
          <w:rFonts w:ascii="Arial" w:hAnsi="Arial" w:cs="Arial"/>
          <w:color w:val="000000"/>
          <w:lang w:val="en-GB"/>
        </w:rPr>
        <w:t xml:space="preserve">An international convention that directly correlates to gender recognition is the one issued in 2002 by </w:t>
      </w:r>
      <w:r w:rsidRPr="0028108F">
        <w:rPr>
          <w:rFonts w:ascii="Arial" w:hAnsi="Arial" w:cs="Arial"/>
          <w:color w:val="0D0D0D" w:themeColor="text1" w:themeTint="F2"/>
          <w:lang w:val="en-GB"/>
        </w:rPr>
        <w:t>another</w:t>
      </w:r>
      <w:r w:rsidRPr="0028108F">
        <w:rPr>
          <w:rFonts w:ascii="Arial" w:hAnsi="Arial" w:cs="Arial"/>
          <w:color w:val="000000"/>
          <w:lang w:val="en-GB"/>
        </w:rPr>
        <w:t xml:space="preserve"> international organisation, the International Commission on Civil Status (ICCS), which allows a contracting state to recognise “</w:t>
      </w:r>
      <w:r w:rsidRPr="0028108F">
        <w:rPr>
          <w:rFonts w:ascii="Arial" w:hAnsi="Arial" w:cs="Arial"/>
          <w:i/>
          <w:color w:val="000000"/>
          <w:lang w:val="en-GB"/>
        </w:rPr>
        <w:t>the final court or administrative decisions recording a person’s sex reassignment which have been taken by the competent authorities</w:t>
      </w:r>
      <w:r w:rsidRPr="0028108F">
        <w:rPr>
          <w:rFonts w:ascii="Arial" w:hAnsi="Arial" w:cs="Arial"/>
          <w:color w:val="000000"/>
          <w:lang w:val="en-GB"/>
        </w:rPr>
        <w:t xml:space="preserve">” in another contracting state.  The ICCS Convention will be expounded in </w:t>
      </w:r>
      <w:r>
        <w:rPr>
          <w:rFonts w:ascii="Arial" w:hAnsi="Arial" w:cs="Arial" w:hint="eastAsia"/>
          <w:color w:val="000000"/>
          <w:lang w:val="en-GB" w:eastAsia="zh-TW"/>
        </w:rPr>
        <w:t>paragraph 7.78 below</w:t>
      </w:r>
      <w:r w:rsidRPr="0028108F">
        <w:rPr>
          <w:rFonts w:ascii="Arial" w:hAnsi="Arial" w:cs="Arial"/>
          <w:color w:val="000000"/>
          <w:lang w:val="en-GB"/>
        </w:rPr>
        <w:t xml:space="preserve"> when the issues on recognising foreign gender recognition are discussed.</w:t>
      </w:r>
    </w:p>
  </w:footnote>
  <w:footnote w:id="664">
    <w:p w:rsidR="0022178B" w:rsidRPr="0028108F" w:rsidRDefault="0022178B" w:rsidP="00984639">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lang w:val="en-GB"/>
        </w:rPr>
        <w:tab/>
      </w:r>
      <w:r w:rsidRPr="0028108F">
        <w:rPr>
          <w:rFonts w:ascii="Arial" w:hAnsi="Arial" w:cs="Arial"/>
          <w:lang w:val="en-GB"/>
        </w:rPr>
        <w:t xml:space="preserve">For more descriptions and examples of connecting factors, see Dicey, Morris &amp; Collins, </w:t>
      </w:r>
      <w:r w:rsidRPr="00181CF2">
        <w:rPr>
          <w:rFonts w:ascii="Arial" w:hAnsi="Arial" w:cs="Arial"/>
          <w:i/>
          <w:lang w:val="en-GB"/>
        </w:rPr>
        <w:t xml:space="preserve">The Conflict of </w:t>
      </w:r>
      <w:r w:rsidRPr="00C57CE1">
        <w:rPr>
          <w:rFonts w:ascii="Arial" w:hAnsi="Arial" w:cs="Arial"/>
          <w:i/>
          <w:lang w:val="en-GB"/>
        </w:rPr>
        <w:t>Laws</w:t>
      </w:r>
      <w:r w:rsidRPr="0028108F">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paragraphs 1-079 and 1-080.</w:t>
      </w:r>
    </w:p>
  </w:footnote>
  <w:footnote w:id="665">
    <w:p w:rsidR="0022178B" w:rsidRPr="0028108F" w:rsidRDefault="0022178B" w:rsidP="00EC76F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 at paragraphs 1-082 and 1-083.</w:t>
      </w:r>
    </w:p>
  </w:footnote>
  <w:footnote w:id="666">
    <w:p w:rsidR="0022178B" w:rsidRPr="00C57CE1"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at 303.</w:t>
      </w:r>
    </w:p>
  </w:footnote>
  <w:footnote w:id="667">
    <w:p w:rsidR="0022178B" w:rsidRPr="0028108F" w:rsidRDefault="0022178B">
      <w:pPr>
        <w:pStyle w:val="FootnoteText"/>
        <w:tabs>
          <w:tab w:val="left" w:pos="709"/>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 at 304.</w:t>
      </w:r>
    </w:p>
  </w:footnote>
  <w:footnote w:id="668">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 at 303.</w:t>
      </w:r>
    </w:p>
  </w:footnote>
  <w:footnote w:id="669">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670">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671">
    <w:p w:rsidR="0022178B" w:rsidRPr="0028108F" w:rsidRDefault="0022178B">
      <w:pPr>
        <w:pStyle w:val="FootnoteText"/>
        <w:tabs>
          <w:tab w:val="left" w:pos="851"/>
        </w:tabs>
        <w:ind w:left="708" w:hangingChars="354" w:hanging="708"/>
        <w:jc w:val="both"/>
        <w:rPr>
          <w:rFonts w:ascii="Arial" w:hAnsi="Arial" w:cs="Arial"/>
          <w:lang w:val="en-GB" w:eastAsia="zh-TW"/>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Same as above.</w:t>
      </w:r>
    </w:p>
  </w:footnote>
  <w:footnote w:id="672">
    <w:p w:rsidR="0022178B" w:rsidRPr="00181CF2" w:rsidRDefault="0022178B">
      <w:pPr>
        <w:pStyle w:val="FootnoteText"/>
        <w:tabs>
          <w:tab w:val="left" w:pos="851"/>
        </w:tabs>
        <w:ind w:left="708" w:hangingChars="354" w:hanging="708"/>
        <w:jc w:val="both"/>
        <w:rPr>
          <w:rFonts w:ascii="Arial" w:hAnsi="Arial" w:cs="Arial"/>
          <w:lang w:val="en-GB" w:eastAsia="zh-TW"/>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Mason v Mason </w:t>
      </w:r>
      <w:r w:rsidRPr="00181CF2">
        <w:rPr>
          <w:rFonts w:ascii="Arial" w:hAnsi="Arial" w:cs="Arial"/>
          <w:lang w:val="en-GB"/>
        </w:rPr>
        <w:t xml:space="preserve">(1885) EDC 330, at 337. </w:t>
      </w:r>
      <w:r w:rsidRPr="00C57CE1">
        <w:rPr>
          <w:rFonts w:ascii="Arial" w:hAnsi="Arial" w:cs="Arial"/>
          <w:lang w:val="en-GB" w:eastAsia="zh-TW"/>
        </w:rPr>
        <w:t xml:space="preserve"> </w:t>
      </w:r>
      <w:r w:rsidRPr="0028108F">
        <w:rPr>
          <w:rFonts w:ascii="Arial" w:hAnsi="Arial" w:cs="Arial"/>
          <w:lang w:val="en-GB"/>
        </w:rPr>
        <w:t xml:space="preserve">In </w:t>
      </w:r>
      <w:r w:rsidRPr="0028108F">
        <w:rPr>
          <w:rFonts w:ascii="Arial" w:hAnsi="Arial" w:cs="Arial"/>
          <w:i/>
          <w:lang w:val="en-GB"/>
        </w:rPr>
        <w:t>Whicker v Hume</w:t>
      </w:r>
      <w:r w:rsidRPr="00181CF2">
        <w:rPr>
          <w:rFonts w:ascii="Arial" w:hAnsi="Arial" w:cs="Arial"/>
          <w:lang w:val="en-GB"/>
        </w:rPr>
        <w:t>, 7 H L Cas 124, at 160, 11 E R 50, at 64 (1858), Lord Carnworth observed:</w:t>
      </w:r>
      <w:r w:rsidRPr="0028108F">
        <w:rPr>
          <w:rFonts w:ascii="Arial" w:hAnsi="Arial" w:cs="Arial"/>
          <w:i/>
          <w:lang w:val="en-GB"/>
        </w:rPr>
        <w:t xml:space="preserve"> </w:t>
      </w:r>
      <w:r w:rsidRPr="0028108F">
        <w:rPr>
          <w:rFonts w:ascii="Arial" w:hAnsi="Arial" w:cs="Arial"/>
          <w:i/>
          <w:lang w:val="en-GB" w:eastAsia="zh-TW"/>
        </w:rPr>
        <w:t>“</w:t>
      </w:r>
      <w:r w:rsidRPr="0028108F">
        <w:rPr>
          <w:rFonts w:ascii="Arial" w:hAnsi="Arial" w:cs="Arial"/>
          <w:i/>
          <w:lang w:val="en-GB"/>
        </w:rPr>
        <w:t>By domicile, we mean home, the permanent home; and if you do not understand your permanent home, I am afraid that no illustration drawn from foreign writers or foreign languages will very much help you to it.</w:t>
      </w:r>
      <w:r w:rsidRPr="0028108F">
        <w:rPr>
          <w:rFonts w:ascii="Arial" w:hAnsi="Arial" w:cs="Arial"/>
          <w:i/>
          <w:lang w:val="en-GB" w:eastAsia="zh-TW"/>
        </w:rPr>
        <w:t>”</w:t>
      </w:r>
    </w:p>
  </w:footnote>
  <w:footnote w:id="673">
    <w:p w:rsidR="0022178B" w:rsidRPr="0028108F" w:rsidRDefault="0022178B">
      <w:pPr>
        <w:pStyle w:val="FootnoteText"/>
        <w:tabs>
          <w:tab w:val="left" w:pos="851"/>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at paragraph 7.003.</w:t>
      </w:r>
    </w:p>
  </w:footnote>
  <w:footnote w:id="674">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In </w:t>
      </w:r>
      <w:r w:rsidRPr="0028108F">
        <w:rPr>
          <w:rFonts w:ascii="Arial" w:hAnsi="Arial" w:cs="Arial"/>
          <w:i/>
          <w:lang w:val="en-GB"/>
        </w:rPr>
        <w:t xml:space="preserve">de Lasala v de Lasala </w:t>
      </w:r>
      <w:r w:rsidRPr="0028108F">
        <w:rPr>
          <w:rFonts w:ascii="Arial" w:hAnsi="Arial" w:cs="Arial"/>
          <w:lang w:val="en-GB"/>
        </w:rPr>
        <w:t xml:space="preserve">(unrep, </w:t>
      </w:r>
      <w:r w:rsidRPr="0028108F">
        <w:rPr>
          <w:rFonts w:ascii="Arial" w:hAnsi="Arial" w:cs="Arial"/>
          <w:i/>
          <w:lang w:val="en-GB"/>
        </w:rPr>
        <w:t>CACV 6/1976</w:t>
      </w:r>
      <w:r w:rsidRPr="00181CF2">
        <w:rPr>
          <w:rFonts w:ascii="Arial" w:hAnsi="Arial" w:cs="Arial"/>
          <w:lang w:val="en-GB"/>
        </w:rPr>
        <w:t xml:space="preserve">, 17 Dec 1976), the Court of Appeal held that temporarily staying in a hotel was sufficient to amount to being a </w:t>
      </w:r>
      <w:r w:rsidRPr="00C57CE1">
        <w:rPr>
          <w:rFonts w:ascii="Arial" w:hAnsi="Arial" w:cs="Arial"/>
          <w:i/>
          <w:lang w:val="en-GB"/>
        </w:rPr>
        <w:t>“resident”</w:t>
      </w:r>
      <w:r w:rsidRPr="0028108F">
        <w:rPr>
          <w:rFonts w:ascii="Arial" w:hAnsi="Arial" w:cs="Arial"/>
          <w:lang w:val="en-GB"/>
        </w:rPr>
        <w:t xml:space="preserve"> in Hong Kong for the purposes of the Matrimonial Proceedings and Property Ordinance (Cap 192).</w:t>
      </w:r>
    </w:p>
  </w:footnote>
  <w:footnote w:id="675">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Graeme Johnston, </w:t>
      </w:r>
      <w:r w:rsidRPr="008813DE">
        <w:rPr>
          <w:rFonts w:ascii="Arial" w:hAnsi="Arial" w:cs="Arial"/>
          <w:i/>
          <w:lang w:val="en-GB"/>
        </w:rPr>
        <w:t>The Conflict of Laws in Hong Kong</w:t>
      </w:r>
      <w:r w:rsidRPr="00C57CE1">
        <w:rPr>
          <w:rFonts w:ascii="Arial" w:hAnsi="Arial" w:cs="Arial"/>
          <w:lang w:val="en-GB"/>
        </w:rPr>
        <w:t xml:space="preserve"> (2nd ed, 2012, </w:t>
      </w:r>
      <w:r w:rsidRPr="001A0A1D">
        <w:rPr>
          <w:rFonts w:ascii="Arial" w:hAnsi="Arial" w:cs="Arial"/>
          <w:i/>
          <w:lang w:val="en-GB"/>
        </w:rPr>
        <w:t>Sweet &amp; Maxwell</w:t>
      </w:r>
      <w:r w:rsidRPr="00C57CE1">
        <w:rPr>
          <w:rFonts w:ascii="Arial" w:hAnsi="Arial" w:cs="Arial"/>
          <w:lang w:val="en-GB"/>
        </w:rPr>
        <w:t xml:space="preserve">), at </w:t>
      </w:r>
      <w:r w:rsidRPr="0028108F">
        <w:rPr>
          <w:rFonts w:ascii="Arial" w:hAnsi="Arial" w:cs="Arial"/>
          <w:lang w:val="en-GB"/>
        </w:rPr>
        <w:t>paragraph 7.003.</w:t>
      </w:r>
    </w:p>
  </w:footnote>
  <w:footnote w:id="676">
    <w:p w:rsidR="0022178B" w:rsidRPr="0028108F" w:rsidRDefault="0022178B">
      <w:pPr>
        <w:pStyle w:val="FootnoteText"/>
        <w:tabs>
          <w:tab w:val="left" w:pos="851"/>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Domicile Ordinance</w:t>
      </w:r>
      <w:r w:rsidRPr="0028108F">
        <w:rPr>
          <w:rFonts w:ascii="Arial" w:hAnsi="Arial" w:cs="Arial"/>
          <w:lang w:val="en-GB" w:eastAsia="zh-TW"/>
        </w:rPr>
        <w:t xml:space="preserve"> (Cap 596)</w:t>
      </w:r>
      <w:r w:rsidRPr="0028108F">
        <w:rPr>
          <w:rFonts w:ascii="Arial" w:hAnsi="Arial" w:cs="Arial"/>
          <w:lang w:val="en-GB"/>
        </w:rPr>
        <w:t xml:space="preserve">, section 3.  For the position at common law, see </w:t>
      </w:r>
      <w:r w:rsidRPr="0028108F">
        <w:rPr>
          <w:rFonts w:ascii="Arial" w:hAnsi="Arial" w:cs="Arial"/>
          <w:i/>
          <w:lang w:val="en-GB"/>
        </w:rPr>
        <w:t xml:space="preserve">Mark v Mark </w:t>
      </w:r>
      <w:r w:rsidRPr="0028108F">
        <w:rPr>
          <w:rFonts w:ascii="Arial" w:hAnsi="Arial" w:cs="Arial"/>
          <w:lang w:val="en-GB"/>
        </w:rPr>
        <w:t xml:space="preserve">[2006] 1 AC 98.  See also 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at 306, and Dicey, Morris &amp; Collins,</w:t>
      </w:r>
      <w:r w:rsidRPr="0028108F">
        <w:rPr>
          <w:rFonts w:ascii="Arial" w:hAnsi="Arial" w:cs="Arial"/>
          <w:i/>
          <w:lang w:val="en-GB"/>
        </w:rPr>
        <w:t xml:space="preserve">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28108F">
        <w:rPr>
          <w:rFonts w:ascii="Arial" w:hAnsi="Arial" w:cs="Arial"/>
          <w:lang w:val="en-GB"/>
        </w:rPr>
        <w:t>) Vol 1, at paragraphs 6-014 to 6-016.</w:t>
      </w:r>
    </w:p>
  </w:footnote>
  <w:footnote w:id="677">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Bell v Kennedy </w:t>
      </w:r>
      <w:r w:rsidRPr="0028108F">
        <w:rPr>
          <w:rFonts w:ascii="Arial" w:hAnsi="Arial" w:cs="Arial"/>
          <w:lang w:val="en-GB"/>
        </w:rPr>
        <w:t>[1868] LR 1 Sc &amp; Div 307, cited in Dicey, Morris &amp; Collins,</w:t>
      </w:r>
      <w:r w:rsidRPr="0028108F">
        <w:rPr>
          <w:rFonts w:ascii="Arial" w:hAnsi="Arial" w:cs="Arial"/>
          <w:i/>
          <w:lang w:val="en-GB"/>
        </w:rPr>
        <w:t xml:space="preserve">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 6-036.</w:t>
      </w:r>
    </w:p>
  </w:footnote>
  <w:footnote w:id="678">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In less clear-cut common law cases, it has been held that </w:t>
      </w:r>
      <w:r w:rsidRPr="0028108F">
        <w:rPr>
          <w:rFonts w:ascii="Arial" w:hAnsi="Arial" w:cs="Arial"/>
          <w:i/>
          <w:lang w:val="en-GB"/>
        </w:rPr>
        <w:t>“residence”</w:t>
      </w:r>
      <w:r w:rsidRPr="0028108F">
        <w:rPr>
          <w:rFonts w:ascii="Arial" w:hAnsi="Arial" w:cs="Arial"/>
          <w:lang w:val="en-GB"/>
        </w:rPr>
        <w:t xml:space="preserve"> for the purpose of acquiring a domicile means physical presence </w:t>
      </w:r>
      <w:r w:rsidRPr="0028108F">
        <w:rPr>
          <w:rFonts w:ascii="Arial" w:hAnsi="Arial" w:cs="Arial"/>
          <w:i/>
          <w:lang w:val="en-GB"/>
        </w:rPr>
        <w:t>“as an inhabitant”</w:t>
      </w:r>
      <w:r w:rsidRPr="0028108F">
        <w:rPr>
          <w:rFonts w:ascii="Arial" w:hAnsi="Arial" w:cs="Arial"/>
          <w:lang w:val="en-GB"/>
        </w:rPr>
        <w:t xml:space="preserve">, and this would effectively exclude presence merely as a visitor, see: </w:t>
      </w:r>
      <w:r w:rsidRPr="0028108F">
        <w:rPr>
          <w:rFonts w:ascii="Arial" w:hAnsi="Arial" w:cs="Arial"/>
          <w:i/>
          <w:lang w:val="en-GB"/>
        </w:rPr>
        <w:t xml:space="preserve">IRC v Duchess of Portland </w:t>
      </w:r>
      <w:r w:rsidRPr="0028108F">
        <w:rPr>
          <w:rFonts w:ascii="Arial" w:hAnsi="Arial" w:cs="Arial"/>
          <w:lang w:val="en-GB"/>
        </w:rPr>
        <w:t>[1982] Ch 314, at 319, cited in Dicey, Morris &amp; Collins,</w:t>
      </w:r>
      <w:r w:rsidRPr="0028108F">
        <w:rPr>
          <w:rFonts w:ascii="Arial" w:hAnsi="Arial" w:cs="Arial"/>
          <w:i/>
          <w:lang w:val="en-GB"/>
        </w:rPr>
        <w:t xml:space="preserve">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paragraphs 6.034 and 6.036.</w:t>
      </w:r>
    </w:p>
    <w:p w:rsidR="0022178B" w:rsidRPr="0028108F"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r w:rsidRPr="0028108F">
        <w:rPr>
          <w:rFonts w:ascii="Arial" w:hAnsi="Arial" w:cs="Arial"/>
          <w:lang w:val="en-GB"/>
        </w:rPr>
        <w:tab/>
      </w:r>
      <w:r w:rsidRPr="0028108F">
        <w:rPr>
          <w:rFonts w:ascii="Arial" w:hAnsi="Arial" w:cs="Arial"/>
          <w:lang w:val="en-GB"/>
        </w:rPr>
        <w:tab/>
        <w:t xml:space="preserve">Further, under common law, in a case where a person has two homes, he might be deemed an inhabitant of the country in which he has his </w:t>
      </w:r>
      <w:r w:rsidRPr="0028108F">
        <w:rPr>
          <w:rFonts w:ascii="Arial" w:hAnsi="Arial" w:cs="Arial"/>
          <w:i/>
          <w:lang w:val="en-GB"/>
        </w:rPr>
        <w:t>“chief residence”</w:t>
      </w:r>
      <w:r w:rsidRPr="0028108F">
        <w:rPr>
          <w:rFonts w:ascii="Arial" w:hAnsi="Arial" w:cs="Arial"/>
          <w:lang w:val="en-GB"/>
        </w:rPr>
        <w:t xml:space="preserve">, see </w:t>
      </w:r>
      <w:r w:rsidRPr="0028108F">
        <w:rPr>
          <w:rFonts w:ascii="Arial" w:hAnsi="Arial" w:cs="Arial"/>
          <w:i/>
          <w:lang w:val="en-GB"/>
        </w:rPr>
        <w:t xml:space="preserve">Henwood v Barlow Clowes International Ltd </w:t>
      </w:r>
      <w:r w:rsidRPr="0028108F">
        <w:rPr>
          <w:rFonts w:ascii="Arial" w:hAnsi="Arial" w:cs="Arial"/>
          <w:lang w:val="en-GB"/>
        </w:rPr>
        <w:t xml:space="preserve">[2008] EWCA Civ 577, at </w:t>
      </w:r>
      <w:r>
        <w:rPr>
          <w:rFonts w:ascii="Arial" w:hAnsi="Arial" w:cs="Arial" w:hint="eastAsia"/>
          <w:lang w:val="en-GB" w:eastAsia="zh-TW"/>
        </w:rPr>
        <w:t xml:space="preserve">paragraph </w:t>
      </w:r>
      <w:r w:rsidRPr="0028108F">
        <w:rPr>
          <w:rFonts w:ascii="Arial" w:hAnsi="Arial" w:cs="Arial"/>
          <w:lang w:val="en-GB"/>
        </w:rPr>
        <w:t xml:space="preserve">104.  See also, </w:t>
      </w:r>
      <w:r w:rsidRPr="0028108F">
        <w:rPr>
          <w:rFonts w:ascii="Arial" w:hAnsi="Arial" w:cs="Arial"/>
          <w:i/>
          <w:lang w:val="en-GB"/>
        </w:rPr>
        <w:t xml:space="preserve">Plummer v IRC </w:t>
      </w:r>
      <w:r w:rsidRPr="0028108F">
        <w:rPr>
          <w:rFonts w:ascii="Arial" w:hAnsi="Arial" w:cs="Arial"/>
          <w:lang w:val="en-GB"/>
        </w:rPr>
        <w:t>[1988] 1 WLR 292, where a party had a home in England where she finished school, did a secretarial course and went to university, and a home in Guernsey where her family lived and where she spent many weekends and some holidays.  It was concluded that Guernsey was not her place of chief residence and that a domicile had not been acquired there.  See also Dicey, Morris &amp; Collins,</w:t>
      </w:r>
      <w:r w:rsidRPr="0028108F">
        <w:rPr>
          <w:rFonts w:ascii="Arial" w:hAnsi="Arial" w:cs="Arial"/>
          <w:i/>
          <w:lang w:val="en-GB"/>
        </w:rPr>
        <w:t xml:space="preserve">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 6.035.</w:t>
      </w:r>
    </w:p>
  </w:footnote>
  <w:footnote w:id="679">
    <w:p w:rsidR="0022178B" w:rsidRPr="0028108F" w:rsidRDefault="0022178B">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CMV Clarkson &amp; Jonathan Hill, </w:t>
      </w:r>
      <w:r w:rsidRPr="00181CF2">
        <w:rPr>
          <w:rFonts w:ascii="Arial" w:hAnsi="Arial" w:cs="Arial"/>
          <w:i/>
          <w:lang w:val="en-GB"/>
        </w:rPr>
        <w:t xml:space="preserve">The </w:t>
      </w:r>
      <w:r w:rsidRPr="00C57CE1">
        <w:rPr>
          <w:rFonts w:ascii="Arial" w:hAnsi="Arial" w:cs="Arial"/>
          <w:i/>
          <w:lang w:val="en-GB"/>
        </w:rPr>
        <w:t>Conflict of Laws</w:t>
      </w:r>
      <w:r w:rsidRPr="0028108F">
        <w:rPr>
          <w:rFonts w:ascii="Arial" w:hAnsi="Arial" w:cs="Arial"/>
          <w:lang w:val="en-GB"/>
        </w:rPr>
        <w:t xml:space="preserve"> (4th ed, 2011, </w:t>
      </w:r>
      <w:r w:rsidRPr="008813DE">
        <w:rPr>
          <w:rFonts w:ascii="Arial" w:hAnsi="Arial" w:cs="Arial"/>
          <w:i/>
          <w:lang w:val="en-GB"/>
        </w:rPr>
        <w:t>Oxford University Press</w:t>
      </w:r>
      <w:r w:rsidRPr="0028108F">
        <w:rPr>
          <w:rFonts w:ascii="Arial" w:hAnsi="Arial" w:cs="Arial"/>
          <w:lang w:val="en-GB"/>
        </w:rPr>
        <w:t>), at 318 to 321.</w:t>
      </w:r>
    </w:p>
  </w:footnote>
  <w:footnote w:id="680">
    <w:p w:rsidR="0022178B" w:rsidRPr="0028108F" w:rsidRDefault="0022178B">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As Kindersley VC said in </w:t>
      </w:r>
      <w:r w:rsidRPr="0028108F">
        <w:rPr>
          <w:rFonts w:ascii="Arial" w:hAnsi="Arial" w:cs="Arial"/>
          <w:i/>
          <w:lang w:val="en-GB"/>
        </w:rPr>
        <w:t>Drevon v Drevon</w:t>
      </w:r>
      <w:r w:rsidRPr="00181CF2">
        <w:rPr>
          <w:rFonts w:ascii="Arial" w:hAnsi="Arial" w:cs="Arial"/>
          <w:lang w:val="en-GB"/>
        </w:rPr>
        <w:t xml:space="preserve"> [1864] 34 LJ Ch 129 at 133, </w:t>
      </w:r>
      <w:r w:rsidRPr="0028108F">
        <w:rPr>
          <w:rFonts w:ascii="Arial" w:hAnsi="Arial" w:cs="Arial"/>
          <w:i/>
          <w:lang w:val="en-GB"/>
        </w:rPr>
        <w:t>“[T]here is no act, no circumstance in a man’s life, however trivial it may be in itself, which ought to be left out of consideration in trying the question whether there was an intention to change the domicile. A trivial act might possibly be of more weight with regard to determining this question than an act which was of more importance to a man in his lifetime”</w:t>
      </w:r>
      <w:r w:rsidRPr="00181CF2">
        <w:rPr>
          <w:rFonts w:ascii="Arial" w:hAnsi="Arial" w:cs="Arial"/>
          <w:lang w:val="en-GB"/>
        </w:rPr>
        <w:t xml:space="preserve">, cited in Dicey, Morris &amp; Collins, </w:t>
      </w:r>
      <w:r w:rsidRPr="0028108F">
        <w:rPr>
          <w:rFonts w:ascii="Arial" w:hAnsi="Arial" w:cs="Arial"/>
          <w:i/>
          <w:lang w:val="en-GB"/>
        </w:rPr>
        <w:t>The Conflict of Laws</w:t>
      </w:r>
      <w:r w:rsidRPr="0028108F">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 6.048.</w:t>
      </w:r>
    </w:p>
  </w:footnote>
  <w:footnote w:id="681">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Domicile Ordinance</w:t>
      </w:r>
      <w:r>
        <w:rPr>
          <w:rFonts w:ascii="Arial" w:hAnsi="Arial" w:cs="Arial" w:hint="eastAsia"/>
          <w:lang w:val="en-GB" w:eastAsia="zh-TW"/>
        </w:rPr>
        <w:t xml:space="preserve"> (Cap 596)</w:t>
      </w:r>
      <w:r w:rsidRPr="0028108F">
        <w:rPr>
          <w:rFonts w:ascii="Arial" w:hAnsi="Arial" w:cs="Arial"/>
          <w:lang w:val="en-GB"/>
        </w:rPr>
        <w:t xml:space="preserve">, section 4(1).  Two presumptions apply for </w:t>
      </w:r>
      <w:r w:rsidRPr="0028108F">
        <w:rPr>
          <w:rFonts w:ascii="Arial" w:hAnsi="Arial" w:cs="Arial"/>
          <w:i/>
          <w:lang w:val="en-GB"/>
        </w:rPr>
        <w:t>“closely connected”</w:t>
      </w:r>
      <w:r w:rsidRPr="0028108F">
        <w:rPr>
          <w:rFonts w:ascii="Arial" w:hAnsi="Arial" w:cs="Arial"/>
          <w:lang w:val="en-GB"/>
        </w:rPr>
        <w:t>:</w:t>
      </w:r>
    </w:p>
    <w:p w:rsidR="0022178B" w:rsidRPr="0028108F" w:rsidRDefault="0022178B" w:rsidP="0028108F">
      <w:pPr>
        <w:pStyle w:val="FootnoteText"/>
        <w:tabs>
          <w:tab w:val="left" w:pos="1985"/>
        </w:tabs>
        <w:ind w:leftChars="532" w:left="1985" w:hangingChars="354" w:hanging="708"/>
        <w:jc w:val="both"/>
        <w:rPr>
          <w:rFonts w:ascii="Arial" w:hAnsi="Arial" w:cs="Arial"/>
          <w:lang w:val="en-GB"/>
        </w:rPr>
      </w:pPr>
      <w:r w:rsidRPr="0028108F">
        <w:rPr>
          <w:rFonts w:ascii="Arial" w:hAnsi="Arial" w:cs="Arial"/>
          <w:lang w:val="en-GB"/>
        </w:rPr>
        <w:t>1.</w:t>
      </w:r>
      <w:r w:rsidRPr="0028108F">
        <w:rPr>
          <w:rFonts w:ascii="Arial" w:hAnsi="Arial" w:cs="Arial"/>
          <w:lang w:val="en-GB"/>
        </w:rPr>
        <w:tab/>
        <w:t>Where the child’s parents are domiciled in the same country or territory and the child has his home with either or both of them, it is presumed that the child is most closely connected with that country or territory.</w:t>
      </w:r>
    </w:p>
    <w:p w:rsidR="0022178B" w:rsidRPr="0028108F" w:rsidRDefault="0022178B" w:rsidP="0028108F">
      <w:pPr>
        <w:pStyle w:val="FootnoteText"/>
        <w:tabs>
          <w:tab w:val="left" w:pos="1985"/>
        </w:tabs>
        <w:ind w:leftChars="532" w:left="1985" w:hangingChars="354" w:hanging="708"/>
        <w:jc w:val="both"/>
        <w:rPr>
          <w:rFonts w:ascii="Arial" w:hAnsi="Arial" w:cs="Arial"/>
          <w:lang w:val="en-GB" w:eastAsia="zh-TW"/>
        </w:rPr>
      </w:pPr>
      <w:r w:rsidRPr="0028108F">
        <w:rPr>
          <w:rFonts w:ascii="Arial" w:hAnsi="Arial" w:cs="Arial"/>
          <w:lang w:val="en-GB"/>
        </w:rPr>
        <w:tab/>
      </w:r>
    </w:p>
    <w:p w:rsidR="0022178B" w:rsidRPr="0028108F" w:rsidRDefault="0022178B" w:rsidP="0028108F">
      <w:pPr>
        <w:pStyle w:val="FootnoteText"/>
        <w:tabs>
          <w:tab w:val="left" w:pos="1985"/>
        </w:tabs>
        <w:ind w:leftChars="532" w:left="1985" w:hangingChars="354" w:hanging="708"/>
        <w:jc w:val="both"/>
        <w:rPr>
          <w:rFonts w:ascii="Arial" w:hAnsi="Arial" w:cs="Arial"/>
          <w:lang w:val="en-GB"/>
        </w:rPr>
      </w:pPr>
      <w:r w:rsidRPr="0028108F">
        <w:rPr>
          <w:rFonts w:ascii="Arial" w:hAnsi="Arial" w:cs="Arial"/>
          <w:lang w:val="en-GB"/>
        </w:rPr>
        <w:t>2.</w:t>
      </w:r>
      <w:r w:rsidRPr="0028108F">
        <w:rPr>
          <w:rFonts w:ascii="Arial" w:hAnsi="Arial" w:cs="Arial"/>
          <w:lang w:val="en-GB"/>
        </w:rPr>
        <w:tab/>
        <w:t>Where the parents are not domiciled in the same country or territory and the child has his home with one of them, but not with the other, it is presumed that the child is most closely connected with the country or territory in which the parent with whom he or she lives is domiciled.</w:t>
      </w:r>
    </w:p>
  </w:footnote>
  <w:footnote w:id="682">
    <w:p w:rsidR="0022178B" w:rsidRPr="00C57CE1" w:rsidRDefault="0022178B" w:rsidP="00984639">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lang w:val="en-GB"/>
        </w:rPr>
        <w:t>[1930] AC 588.</w:t>
      </w:r>
    </w:p>
  </w:footnote>
  <w:footnote w:id="683">
    <w:p w:rsidR="0022178B" w:rsidRPr="0028108F" w:rsidRDefault="0022178B" w:rsidP="00EC76FF">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28108F">
        <w:rPr>
          <w:rFonts w:ascii="Arial" w:hAnsi="Arial" w:cs="Arial"/>
          <w:lang w:val="en-GB"/>
        </w:rPr>
        <w:t xml:space="preserve">See also </w:t>
      </w:r>
      <w:r w:rsidRPr="0028108F">
        <w:rPr>
          <w:rFonts w:ascii="Arial" w:hAnsi="Arial" w:cs="Arial"/>
          <w:i/>
          <w:lang w:val="en-GB"/>
        </w:rPr>
        <w:t>R v R (Divorce: Jurisdiction: Domicile)</w:t>
      </w:r>
      <w:r w:rsidRPr="0028108F">
        <w:rPr>
          <w:rFonts w:ascii="Arial" w:hAnsi="Arial" w:cs="Arial"/>
          <w:lang w:val="en-GB"/>
        </w:rPr>
        <w:t xml:space="preserve"> [2006] 1 FLR 389.</w:t>
      </w:r>
    </w:p>
  </w:footnote>
  <w:footnote w:id="684">
    <w:p w:rsidR="0022178B" w:rsidRPr="00C57CE1" w:rsidRDefault="0022178B">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For example, the House of Lords decision of </w:t>
      </w:r>
      <w:r w:rsidRPr="00C57CE1">
        <w:rPr>
          <w:rFonts w:ascii="Arial" w:hAnsi="Arial" w:cs="Arial"/>
          <w:i/>
          <w:lang w:val="en-GB"/>
        </w:rPr>
        <w:t xml:space="preserve">Mark v Mark </w:t>
      </w:r>
      <w:r w:rsidRPr="0028108F">
        <w:rPr>
          <w:rFonts w:ascii="Arial" w:hAnsi="Arial" w:cs="Arial"/>
          <w:lang w:val="en-GB"/>
        </w:rPr>
        <w:t xml:space="preserve">[2006] 1 AC 98 and </w:t>
      </w:r>
      <w:r w:rsidRPr="0028108F">
        <w:rPr>
          <w:rFonts w:ascii="Arial" w:hAnsi="Arial" w:cs="Arial"/>
          <w:i/>
          <w:lang w:val="en-GB"/>
        </w:rPr>
        <w:t xml:space="preserve">Holiday v Musa </w:t>
      </w:r>
      <w:r w:rsidRPr="0028108F">
        <w:rPr>
          <w:rFonts w:ascii="Arial" w:hAnsi="Arial" w:cs="Arial"/>
          <w:lang w:val="en-GB"/>
        </w:rPr>
        <w:t xml:space="preserve">[2010] 2 FLR 702.  See also, 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at 307 and 310.</w:t>
      </w:r>
    </w:p>
  </w:footnote>
  <w:footnote w:id="685">
    <w:p w:rsidR="0022178B" w:rsidRPr="0028108F" w:rsidRDefault="0022178B" w:rsidP="00DD3AE7">
      <w:pPr>
        <w:pStyle w:val="FootnoteText"/>
        <w:tabs>
          <w:tab w:val="left" w:pos="709"/>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Dicey, Morris &amp; Collins, </w:t>
      </w:r>
      <w:r w:rsidRPr="0028108F">
        <w:rPr>
          <w:rFonts w:ascii="Arial" w:hAnsi="Arial" w:cs="Arial"/>
          <w:i/>
          <w:lang w:val="en-GB"/>
        </w:rPr>
        <w:t>The Conflict of Laws</w:t>
      </w:r>
      <w:r w:rsidRPr="0028108F">
        <w:rPr>
          <w:rFonts w:ascii="Arial" w:hAnsi="Arial" w:cs="Arial"/>
          <w:lang w:val="en-GB"/>
        </w:rPr>
        <w:t xml:space="preserve"> (15th ed, 2012, </w:t>
      </w:r>
      <w:r w:rsidRPr="001A0A1D">
        <w:rPr>
          <w:rFonts w:ascii="Arial" w:hAnsi="Arial" w:cs="Arial"/>
          <w:i/>
          <w:lang w:val="en-GB"/>
        </w:rPr>
        <w:t>Sweet &amp; Maxwell</w:t>
      </w:r>
      <w:r w:rsidRPr="0028108F">
        <w:rPr>
          <w:rFonts w:ascii="Arial" w:hAnsi="Arial" w:cs="Arial"/>
          <w:lang w:val="en-GB"/>
        </w:rPr>
        <w:t>), Vol 1, at paragraphs 6-166 to 6-170.</w:t>
      </w:r>
    </w:p>
  </w:footnote>
  <w:footnote w:id="686">
    <w:p w:rsidR="0022178B" w:rsidRPr="0028108F" w:rsidRDefault="0022178B" w:rsidP="00DD3AE7">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Graeme Johnston, </w:t>
      </w:r>
      <w:r w:rsidRPr="008813DE">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at paragraph 7.006.  Johnston states that the advantages of nationality over domicile are that it can easily be ascertained and is, therefore, more certain, however the concept does not work efficiently where some people are stateless or have dual nationality, or when dealing with composite states such as the United States or the United Kingdom.  It can lead to highly unrealistic results when a person has long since left a country, but has failed to become naturalised elsewhere and has had to continue to be subject to the law of his former country.</w:t>
      </w:r>
    </w:p>
  </w:footnote>
  <w:footnote w:id="687">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at paragraph 7.018.</w:t>
      </w:r>
    </w:p>
  </w:footnote>
  <w:footnote w:id="688">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Sex Discrimination </w:t>
      </w:r>
      <w:r w:rsidRPr="0028108F">
        <w:rPr>
          <w:rFonts w:ascii="Arial" w:hAnsi="Arial" w:cs="Arial"/>
          <w:lang w:val="en-GB" w:eastAsia="zh-TW"/>
        </w:rPr>
        <w:t>O</w:t>
      </w:r>
      <w:r w:rsidRPr="0028108F">
        <w:rPr>
          <w:rFonts w:ascii="Arial" w:hAnsi="Arial" w:cs="Arial"/>
          <w:lang w:val="en-GB"/>
        </w:rPr>
        <w:t>rdinance Cap 480, sections 14(2), 41(3)(b), Family Status Discrimination Ordinance Cap 527, sections 10(2), 29(3)(b), Disability Discrimination Ordinance Cap 487, sections14(2), 40(3)(b).</w:t>
      </w:r>
    </w:p>
  </w:footnote>
  <w:footnote w:id="689">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Bankruptcy Ordinance Cap 6, section 4(1)(c).</w:t>
      </w:r>
    </w:p>
  </w:footnote>
  <w:footnote w:id="690">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R v Barnet London Borough Council, ex p Shah </w:t>
      </w:r>
      <w:r w:rsidRPr="0028108F">
        <w:rPr>
          <w:rFonts w:ascii="Arial" w:hAnsi="Arial" w:cs="Arial"/>
          <w:lang w:val="en-GB"/>
        </w:rPr>
        <w:t xml:space="preserve">[1983] 2 AC 309, </w:t>
      </w:r>
      <w:r w:rsidRPr="0028108F">
        <w:rPr>
          <w:rFonts w:ascii="Arial" w:hAnsi="Arial" w:cs="Arial"/>
          <w:i/>
          <w:lang w:val="en-GB"/>
        </w:rPr>
        <w:t xml:space="preserve">per </w:t>
      </w:r>
      <w:r w:rsidRPr="0028108F">
        <w:rPr>
          <w:rFonts w:ascii="Arial" w:hAnsi="Arial" w:cs="Arial"/>
          <w:lang w:val="en-GB"/>
        </w:rPr>
        <w:t xml:space="preserve">Lord Scarman, at 340-344.  For application of the ordinary rule, see 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at paragraph 7.019, footnote 64.</w:t>
      </w:r>
    </w:p>
  </w:footnote>
  <w:footnote w:id="691">
    <w:p w:rsidR="0022178B" w:rsidRPr="0028108F" w:rsidRDefault="0022178B" w:rsidP="009E78F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Prem Singh v Director of Immigration</w:t>
      </w:r>
      <w:r w:rsidRPr="0028108F">
        <w:rPr>
          <w:rFonts w:ascii="Arial" w:hAnsi="Arial" w:cs="Arial"/>
          <w:lang w:val="en-GB"/>
        </w:rPr>
        <w:t xml:space="preserve"> [2003] 1 HKLRD 550 (Court of Final Appeal) and </w:t>
      </w:r>
      <w:r w:rsidRPr="0028108F">
        <w:rPr>
          <w:rFonts w:ascii="Arial" w:hAnsi="Arial" w:cs="Arial"/>
          <w:i/>
          <w:lang w:val="en-GB"/>
        </w:rPr>
        <w:t>ZC v CN</w:t>
      </w:r>
      <w:r w:rsidRPr="0028108F">
        <w:rPr>
          <w:rFonts w:ascii="Arial" w:hAnsi="Arial" w:cs="Arial"/>
          <w:lang w:val="en-GB"/>
        </w:rPr>
        <w:t xml:space="preserve"> [2014] </w:t>
      </w:r>
      <w:r>
        <w:rPr>
          <w:rFonts w:ascii="Arial" w:hAnsi="Arial" w:cs="Arial"/>
          <w:lang w:val="en-GB"/>
        </w:rPr>
        <w:t>5 HKLRD 43 (CACV 225/2013)</w:t>
      </w:r>
      <w:r w:rsidRPr="0028108F">
        <w:rPr>
          <w:rFonts w:ascii="Arial" w:hAnsi="Arial" w:cs="Arial"/>
          <w:lang w:val="en-GB"/>
        </w:rPr>
        <w:t>.</w:t>
      </w:r>
    </w:p>
  </w:footnote>
  <w:footnote w:id="692">
    <w:p w:rsidR="0022178B" w:rsidRPr="0028108F" w:rsidRDefault="0022178B" w:rsidP="00F47842">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Dicey, Morris &amp; Collins,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 xml:space="preserve">paragraph 6-163.  See also </w:t>
      </w:r>
      <w:r w:rsidRPr="0028108F">
        <w:rPr>
          <w:rFonts w:ascii="Arial" w:hAnsi="Arial" w:cs="Arial"/>
          <w:i/>
          <w:lang w:val="en-GB"/>
        </w:rPr>
        <w:t xml:space="preserve">ZC v CN </w:t>
      </w:r>
      <w:r w:rsidRPr="0028108F">
        <w:rPr>
          <w:rFonts w:ascii="Arial" w:hAnsi="Arial" w:cs="Arial"/>
          <w:lang w:val="en-GB"/>
        </w:rPr>
        <w:t xml:space="preserve">[2014] </w:t>
      </w:r>
      <w:r>
        <w:rPr>
          <w:rFonts w:ascii="Arial" w:hAnsi="Arial" w:cs="Arial"/>
          <w:lang w:val="en-GB"/>
        </w:rPr>
        <w:t>5 HKLRD 43 (CACV 225/2013)</w:t>
      </w:r>
      <w:r w:rsidRPr="0028108F">
        <w:rPr>
          <w:rFonts w:ascii="Arial" w:hAnsi="Arial" w:cs="Arial"/>
          <w:lang w:val="en-GB"/>
        </w:rPr>
        <w:t xml:space="preserve">, </w:t>
      </w:r>
      <w:r>
        <w:rPr>
          <w:rFonts w:ascii="Arial" w:hAnsi="Arial" w:cs="Arial"/>
          <w:lang w:val="en-GB"/>
        </w:rPr>
        <w:t>at paragraph 8.3</w:t>
      </w:r>
      <w:r>
        <w:rPr>
          <w:rFonts w:ascii="Arial" w:hAnsi="Arial" w:cs="Arial" w:hint="eastAsia"/>
          <w:lang w:val="en-GB" w:eastAsia="zh-TW"/>
        </w:rPr>
        <w:t xml:space="preserve">, </w:t>
      </w:r>
      <w:r w:rsidRPr="0028108F">
        <w:rPr>
          <w:rFonts w:ascii="Arial" w:hAnsi="Arial" w:cs="Arial"/>
          <w:lang w:val="en-GB"/>
        </w:rPr>
        <w:t>in which the Hong Kong Court of Appeal ruled that “</w:t>
      </w:r>
      <w:r w:rsidRPr="0028108F">
        <w:rPr>
          <w:rFonts w:ascii="Arial" w:hAnsi="Arial" w:cs="Arial"/>
          <w:i/>
          <w:lang w:val="en-GB"/>
        </w:rPr>
        <w:t>Unlike domicile, one may have habitual or ordinary (the terms are the same) residence in two places at the same time</w:t>
      </w:r>
      <w:r w:rsidRPr="0028108F">
        <w:rPr>
          <w:rFonts w:ascii="Arial" w:hAnsi="Arial" w:cs="Arial"/>
          <w:lang w:val="en-GB"/>
        </w:rPr>
        <w:t>.”</w:t>
      </w:r>
    </w:p>
  </w:footnote>
  <w:footnote w:id="693">
    <w:p w:rsidR="0022178B" w:rsidRPr="0028108F" w:rsidRDefault="0022178B" w:rsidP="00F47842">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Reg v Barnet London Borough Council, ex parte Shah </w:t>
      </w:r>
      <w:r w:rsidRPr="0028108F">
        <w:rPr>
          <w:rFonts w:ascii="Arial" w:hAnsi="Arial" w:cs="Arial"/>
          <w:lang w:val="en-GB"/>
        </w:rPr>
        <w:t xml:space="preserve">[1983] 2 AC 309 (followed in </w:t>
      </w:r>
      <w:r w:rsidRPr="0028108F">
        <w:rPr>
          <w:rFonts w:ascii="Arial" w:hAnsi="Arial" w:cs="Arial"/>
          <w:i/>
          <w:lang w:val="en-GB"/>
        </w:rPr>
        <w:t>Director of Immigration v Ng Shun-Loi</w:t>
      </w:r>
      <w:r w:rsidRPr="0028108F">
        <w:rPr>
          <w:rFonts w:ascii="Arial" w:hAnsi="Arial" w:cs="Arial"/>
          <w:lang w:val="en-GB"/>
        </w:rPr>
        <w:t xml:space="preserve"> [1987] HKLR 798 and </w:t>
      </w:r>
      <w:r w:rsidRPr="0028108F">
        <w:rPr>
          <w:rFonts w:ascii="Arial" w:hAnsi="Arial" w:cs="Arial"/>
          <w:i/>
          <w:lang w:val="en-GB"/>
        </w:rPr>
        <w:t>Prem Singh v Director of Immigration</w:t>
      </w:r>
      <w:r w:rsidRPr="0028108F">
        <w:rPr>
          <w:rFonts w:ascii="Arial" w:hAnsi="Arial" w:cs="Arial"/>
          <w:lang w:val="en-GB"/>
        </w:rPr>
        <w:t xml:space="preserve"> [2003] 1 HKLRD 550).</w:t>
      </w:r>
    </w:p>
  </w:footnote>
  <w:footnote w:id="694">
    <w:p w:rsidR="0022178B" w:rsidRPr="0028108F" w:rsidRDefault="0022178B" w:rsidP="00EC76FF">
      <w:pPr>
        <w:pStyle w:val="FootnoteText"/>
        <w:tabs>
          <w:tab w:val="left" w:pos="709"/>
        </w:tabs>
        <w:ind w:left="708" w:hangingChars="354" w:hanging="708"/>
        <w:jc w:val="both"/>
        <w:rPr>
          <w:rFonts w:ascii="Arial" w:hAnsi="Arial" w:cs="Arial"/>
          <w:lang w:eastAsia="zh-TW"/>
        </w:rPr>
      </w:pPr>
      <w:r w:rsidRPr="0028108F">
        <w:rPr>
          <w:rFonts w:ascii="Arial" w:hAnsi="Arial" w:cs="Arial"/>
          <w:lang w:eastAsia="zh-TW"/>
        </w:rPr>
        <w:footnoteRef/>
      </w:r>
      <w:r w:rsidRPr="0028108F">
        <w:rPr>
          <w:rFonts w:ascii="Arial" w:hAnsi="Arial" w:cs="Arial"/>
          <w:lang w:eastAsia="zh-TW"/>
        </w:rPr>
        <w:t xml:space="preserve"> </w:t>
      </w:r>
      <w:r w:rsidRPr="0028108F">
        <w:rPr>
          <w:rFonts w:ascii="Arial" w:hAnsi="Arial" w:cs="Arial"/>
          <w:lang w:eastAsia="zh-TW"/>
        </w:rPr>
        <w:tab/>
        <w:t>See Johannes Chan SC (Hon) and CL Lim</w:t>
      </w:r>
      <w:r>
        <w:rPr>
          <w:rFonts w:ascii="Arial" w:hAnsi="Arial" w:cs="Arial"/>
          <w:lang w:val="en-US" w:eastAsia="zh-TW"/>
        </w:rPr>
        <w:t xml:space="preserve"> (eds)</w:t>
      </w:r>
      <w:r w:rsidRPr="0028108F">
        <w:rPr>
          <w:rFonts w:ascii="Arial" w:hAnsi="Arial" w:cs="Arial"/>
          <w:lang w:eastAsia="zh-TW"/>
        </w:rPr>
        <w:t xml:space="preserve">, </w:t>
      </w:r>
      <w:r w:rsidRPr="0028108F">
        <w:rPr>
          <w:rFonts w:ascii="Arial" w:hAnsi="Arial" w:cs="Arial"/>
          <w:i/>
          <w:lang w:eastAsia="zh-TW"/>
        </w:rPr>
        <w:t>Law of The Hong Kong Constitution</w:t>
      </w:r>
      <w:r w:rsidRPr="00C57CE1">
        <w:rPr>
          <w:rFonts w:ascii="Arial" w:hAnsi="Arial" w:cs="Arial"/>
          <w:lang w:eastAsia="zh-TW"/>
        </w:rPr>
        <w:t xml:space="preserve"> </w:t>
      </w:r>
      <w:r w:rsidRPr="0028108F">
        <w:rPr>
          <w:rFonts w:ascii="Arial" w:hAnsi="Arial" w:cs="Arial"/>
          <w:lang w:val="en-US" w:eastAsia="zh-TW"/>
        </w:rPr>
        <w:t>(</w:t>
      </w:r>
      <w:r w:rsidRPr="0028108F">
        <w:rPr>
          <w:rFonts w:ascii="Arial" w:hAnsi="Arial" w:cs="Arial"/>
          <w:lang w:eastAsia="zh-TW"/>
        </w:rPr>
        <w:t xml:space="preserve">2nd ed, </w:t>
      </w:r>
      <w:r w:rsidRPr="001A0A1D">
        <w:rPr>
          <w:rFonts w:ascii="Arial" w:hAnsi="Arial" w:cs="Arial"/>
          <w:i/>
          <w:lang w:eastAsia="zh-TW"/>
        </w:rPr>
        <w:t>Thomson Reuters Hong Kong Limited trading as Sweet &amp; Maxwell</w:t>
      </w:r>
      <w:r w:rsidRPr="00181CF2">
        <w:rPr>
          <w:rFonts w:ascii="Arial" w:hAnsi="Arial" w:cs="Arial"/>
          <w:lang w:eastAsia="zh-TW"/>
        </w:rPr>
        <w:t>, 2015</w:t>
      </w:r>
      <w:r w:rsidRPr="00C57CE1">
        <w:rPr>
          <w:rFonts w:ascii="Arial" w:hAnsi="Arial" w:cs="Arial"/>
          <w:lang w:val="en-US" w:eastAsia="zh-TW"/>
        </w:rPr>
        <w:t>)</w:t>
      </w:r>
      <w:r w:rsidRPr="0028108F">
        <w:rPr>
          <w:rFonts w:ascii="Arial" w:hAnsi="Arial" w:cs="Arial"/>
          <w:lang w:eastAsia="zh-TW"/>
        </w:rPr>
        <w:t>, at paragraphs 5.030</w:t>
      </w:r>
      <w:r>
        <w:rPr>
          <w:rFonts w:ascii="Arial" w:hAnsi="Arial" w:cs="Arial" w:hint="eastAsia"/>
          <w:lang w:eastAsia="zh-TW"/>
        </w:rPr>
        <w:t xml:space="preserve"> to </w:t>
      </w:r>
      <w:r w:rsidRPr="0028108F">
        <w:rPr>
          <w:rFonts w:ascii="Arial" w:hAnsi="Arial" w:cs="Arial"/>
          <w:lang w:eastAsia="zh-TW"/>
        </w:rPr>
        <w:t>5.031.</w:t>
      </w:r>
    </w:p>
  </w:footnote>
  <w:footnote w:id="695">
    <w:p w:rsidR="0022178B" w:rsidRPr="0028108F" w:rsidRDefault="0022178B" w:rsidP="00EC76FF">
      <w:pPr>
        <w:pStyle w:val="FootnoteText"/>
        <w:tabs>
          <w:tab w:val="left" w:pos="709"/>
        </w:tabs>
        <w:ind w:left="708" w:hangingChars="354" w:hanging="708"/>
        <w:jc w:val="both"/>
        <w:rPr>
          <w:rFonts w:ascii="Arial" w:hAnsi="Arial" w:cs="Arial"/>
          <w:lang w:eastAsia="zh-TW"/>
        </w:rPr>
      </w:pPr>
      <w:r w:rsidRPr="00181CF2">
        <w:rPr>
          <w:rStyle w:val="FootnoteReference"/>
          <w:rFonts w:ascii="Arial" w:hAnsi="Arial" w:cs="Arial"/>
          <w:vertAlign w:val="baseline"/>
        </w:rPr>
        <w:footnoteRef/>
      </w:r>
      <w:r w:rsidRPr="00C57CE1">
        <w:rPr>
          <w:rFonts w:ascii="Arial" w:hAnsi="Arial" w:cs="Arial"/>
        </w:rPr>
        <w:t xml:space="preserve"> </w:t>
      </w:r>
      <w:r w:rsidRPr="0028108F">
        <w:rPr>
          <w:rFonts w:ascii="Arial" w:hAnsi="Arial" w:cs="Arial"/>
          <w:lang w:eastAsia="zh-TW"/>
        </w:rPr>
        <w:tab/>
        <w:t>Section 1A of the Registration of Persons Ordinance (Cap 177) defines a “</w:t>
      </w:r>
      <w:r w:rsidRPr="0028108F">
        <w:rPr>
          <w:rFonts w:ascii="Arial" w:hAnsi="Arial" w:cs="Arial"/>
          <w:i/>
          <w:lang w:eastAsia="zh-TW"/>
        </w:rPr>
        <w:t>permanent identity card</w:t>
      </w:r>
      <w:r w:rsidRPr="0028108F">
        <w:rPr>
          <w:rFonts w:ascii="Arial" w:hAnsi="Arial" w:cs="Arial"/>
          <w:lang w:eastAsia="zh-TW"/>
        </w:rPr>
        <w:t>” to be “</w:t>
      </w:r>
      <w:r w:rsidRPr="0028108F">
        <w:rPr>
          <w:rFonts w:ascii="Arial" w:hAnsi="Arial" w:cs="Arial"/>
          <w:i/>
          <w:lang w:eastAsia="zh-TW"/>
        </w:rPr>
        <w:t xml:space="preserve">an identity card </w:t>
      </w:r>
      <w:r w:rsidRPr="0028108F">
        <w:rPr>
          <w:rFonts w:ascii="Arial" w:hAnsi="Arial" w:cs="Arial"/>
          <w:i/>
          <w:lang w:val="en-GB"/>
        </w:rPr>
        <w:t>which</w:t>
      </w:r>
      <w:r w:rsidRPr="0028108F">
        <w:rPr>
          <w:rFonts w:ascii="Arial" w:hAnsi="Arial" w:cs="Arial"/>
          <w:i/>
          <w:lang w:eastAsia="zh-TW"/>
        </w:rPr>
        <w:t xml:space="preserve"> contains a statement that the holder has the right of abode in Hong Kong</w:t>
      </w:r>
      <w:r w:rsidRPr="0028108F">
        <w:rPr>
          <w:rFonts w:ascii="Arial" w:hAnsi="Arial" w:cs="Arial"/>
          <w:lang w:eastAsia="zh-TW"/>
        </w:rPr>
        <w:t>”.</w:t>
      </w:r>
    </w:p>
  </w:footnote>
  <w:footnote w:id="696">
    <w:p w:rsidR="0022178B" w:rsidRPr="0028108F" w:rsidRDefault="0022178B" w:rsidP="00EC76FF">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Vallejos v Commissioner of Registration</w:t>
      </w:r>
      <w:r w:rsidRPr="0028108F">
        <w:rPr>
          <w:rFonts w:ascii="Arial" w:hAnsi="Arial" w:cs="Arial"/>
          <w:lang w:val="en-GB"/>
        </w:rPr>
        <w:t xml:space="preserve"> (2013) 16 </w:t>
      </w:r>
      <w:r w:rsidRPr="007841FD">
        <w:rPr>
          <w:rFonts w:ascii="Arial" w:hAnsi="Arial" w:cs="Arial"/>
          <w:lang w:val="en-GB"/>
        </w:rPr>
        <w:t>HKCFAR</w:t>
      </w:r>
      <w:r w:rsidRPr="0028108F">
        <w:rPr>
          <w:rFonts w:ascii="Arial" w:hAnsi="Arial" w:cs="Arial"/>
          <w:lang w:val="en-GB"/>
        </w:rPr>
        <w:t xml:space="preserve"> 45, at paragraphs 80</w:t>
      </w:r>
      <w:r>
        <w:rPr>
          <w:rFonts w:ascii="Arial" w:hAnsi="Arial" w:cs="Arial" w:hint="eastAsia"/>
          <w:lang w:val="en-GB" w:eastAsia="zh-TW"/>
        </w:rPr>
        <w:t xml:space="preserve"> to </w:t>
      </w:r>
      <w:r w:rsidRPr="0028108F">
        <w:rPr>
          <w:rFonts w:ascii="Arial" w:hAnsi="Arial" w:cs="Arial"/>
          <w:lang w:val="en-GB"/>
        </w:rPr>
        <w:t xml:space="preserve">81. </w:t>
      </w:r>
    </w:p>
  </w:footnote>
  <w:footnote w:id="697">
    <w:p w:rsidR="0022178B" w:rsidRPr="0028108F" w:rsidRDefault="0022178B" w:rsidP="00EC76FF">
      <w:pPr>
        <w:pStyle w:val="FootnoteText"/>
        <w:tabs>
          <w:tab w:val="left" w:pos="709"/>
        </w:tabs>
        <w:ind w:left="708" w:hangingChars="354" w:hanging="708"/>
        <w:jc w:val="both"/>
        <w:rPr>
          <w:rFonts w:ascii="Arial" w:hAnsi="Arial" w:cs="Arial"/>
          <w:lang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section 3(1) of the Registration of Persons Ordinance (Cap 177) and section 25 of the Registration of Persons Regulations (Cap 177A).</w:t>
      </w:r>
    </w:p>
  </w:footnote>
  <w:footnote w:id="698">
    <w:p w:rsidR="0022178B" w:rsidRPr="0028108F" w:rsidRDefault="0022178B" w:rsidP="00C652F7">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t>See C</w:t>
      </w:r>
      <w:r w:rsidRPr="0028108F">
        <w:rPr>
          <w:rFonts w:ascii="Arial" w:hAnsi="Arial" w:cs="Arial"/>
          <w:lang w:val="en-GB"/>
        </w:rPr>
        <w:t xml:space="preserve">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xml:space="preserve">), at 329; see also Dicey, Morris &amp; Collins,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181CF2">
        <w:rPr>
          <w:rFonts w:ascii="Arial" w:hAnsi="Arial" w:cs="Arial"/>
          <w:lang w:val="en-GB"/>
        </w:rPr>
        <w:t>)</w:t>
      </w:r>
      <w:r w:rsidRPr="00C57CE1">
        <w:rPr>
          <w:rFonts w:ascii="Arial" w:hAnsi="Arial" w:cs="Arial"/>
          <w:lang w:val="en-GB"/>
        </w:rPr>
        <w:t xml:space="preserve">, Vol 1, at </w:t>
      </w:r>
      <w:r w:rsidRPr="0028108F">
        <w:rPr>
          <w:rFonts w:ascii="Arial" w:hAnsi="Arial" w:cs="Arial"/>
          <w:lang w:val="en-GB"/>
        </w:rPr>
        <w:t>paragraph 6-123.</w:t>
      </w:r>
    </w:p>
  </w:footnote>
  <w:footnote w:id="699">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Domicile and Matrimonial Proceedings Act 1973, section 5(2).</w:t>
      </w:r>
    </w:p>
  </w:footnote>
  <w:footnote w:id="700">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701">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Domicile and Matrimonial Proceedings Act 1973, section 5(3)(b).</w:t>
      </w:r>
    </w:p>
  </w:footnote>
  <w:footnote w:id="702">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Family Law Act 1986, section 46(1)(b).</w:t>
      </w:r>
    </w:p>
  </w:footnote>
  <w:footnote w:id="703">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Wills Act 1963, section 1.</w:t>
      </w:r>
    </w:p>
  </w:footnote>
  <w:footnote w:id="704">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Family Law Act 1986, section 3.</w:t>
      </w:r>
    </w:p>
  </w:footnote>
  <w:footnote w:id="705">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Adoption and Children Act 2002, section 47(3).</w:t>
      </w:r>
    </w:p>
  </w:footnote>
  <w:footnote w:id="706">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Child Abduction and Custody Act 1985, schedule 1, article 4.</w:t>
      </w:r>
    </w:p>
  </w:footnote>
  <w:footnote w:id="707">
    <w:p w:rsidR="0022178B" w:rsidRPr="0028108F" w:rsidRDefault="0022178B" w:rsidP="00767F2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Eg, Child Abduction and Custody Ordinance Cap 512, section 2 and schedule 1.</w:t>
      </w:r>
    </w:p>
  </w:footnote>
  <w:footnote w:id="708">
    <w:p w:rsidR="0022178B" w:rsidRPr="0028108F" w:rsidRDefault="0022178B" w:rsidP="00767F2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Eg, Parent and Child Ordinance Cap 429, sections 6 and 12.</w:t>
      </w:r>
    </w:p>
  </w:footnote>
  <w:footnote w:id="709">
    <w:p w:rsidR="0022178B" w:rsidRPr="0028108F" w:rsidRDefault="0022178B" w:rsidP="00FF741E">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Eg, Unconscionable Contracts Ordinance Cap 458, section 7.</w:t>
      </w:r>
    </w:p>
  </w:footnote>
  <w:footnote w:id="710">
    <w:p w:rsidR="0022178B" w:rsidRPr="0028108F" w:rsidRDefault="0022178B" w:rsidP="008A27C8">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Wills Ordinance Cap 30, section 24.</w:t>
      </w:r>
    </w:p>
  </w:footnote>
  <w:footnote w:id="711">
    <w:p w:rsidR="0022178B" w:rsidRPr="0028108F" w:rsidRDefault="0022178B" w:rsidP="008A27C8">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High Court </w:t>
      </w:r>
      <w:r>
        <w:rPr>
          <w:rFonts w:ascii="Arial" w:hAnsi="Arial" w:cs="Arial"/>
          <w:lang w:val="en-GB"/>
        </w:rPr>
        <w:t>O</w:t>
      </w:r>
      <w:r w:rsidRPr="0028108F">
        <w:rPr>
          <w:rFonts w:ascii="Arial" w:hAnsi="Arial" w:cs="Arial"/>
          <w:lang w:val="en-GB"/>
        </w:rPr>
        <w:t>rdinance Cap 4, sections 12B and 12C; RHC Order 75 rule 4.</w:t>
      </w:r>
    </w:p>
  </w:footnote>
  <w:footnote w:id="712">
    <w:p w:rsidR="0022178B" w:rsidRPr="00181CF2" w:rsidRDefault="0022178B" w:rsidP="008A27C8">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Rogerson, </w:t>
      </w:r>
      <w:r w:rsidRPr="0028108F">
        <w:rPr>
          <w:rFonts w:ascii="Arial" w:hAnsi="Arial" w:cs="Arial"/>
          <w:lang w:val="en-GB" w:eastAsia="zh-TW"/>
        </w:rPr>
        <w:t>“</w:t>
      </w:r>
      <w:r w:rsidRPr="0028108F">
        <w:rPr>
          <w:rFonts w:ascii="Arial" w:hAnsi="Arial" w:cs="Arial"/>
          <w:lang w:val="en-GB"/>
        </w:rPr>
        <w:t>Habitual Residence: The New Domicile?</w:t>
      </w:r>
      <w:r w:rsidRPr="00181CF2">
        <w:rPr>
          <w:rFonts w:ascii="Arial" w:hAnsi="Arial" w:cs="Arial"/>
          <w:lang w:val="en-GB" w:eastAsia="zh-TW"/>
        </w:rPr>
        <w:t>”</w:t>
      </w:r>
      <w:r w:rsidRPr="00C57CE1">
        <w:rPr>
          <w:rFonts w:ascii="Arial" w:hAnsi="Arial" w:cs="Arial"/>
          <w:i/>
          <w:lang w:val="en-GB"/>
        </w:rPr>
        <w:t xml:space="preserve"> </w:t>
      </w:r>
      <w:r w:rsidRPr="0028108F">
        <w:rPr>
          <w:rFonts w:ascii="Arial" w:hAnsi="Arial" w:cs="Arial"/>
          <w:lang w:val="en-GB"/>
        </w:rPr>
        <w:t xml:space="preserve">(2000) 49 </w:t>
      </w:r>
      <w:r w:rsidRPr="008741E3">
        <w:rPr>
          <w:rFonts w:ascii="Arial" w:hAnsi="Arial" w:cs="Arial"/>
          <w:lang w:val="en-GB"/>
        </w:rPr>
        <w:t>ICLQ</w:t>
      </w:r>
      <w:r w:rsidRPr="00181CF2">
        <w:rPr>
          <w:rFonts w:ascii="Arial" w:hAnsi="Arial" w:cs="Arial"/>
          <w:lang w:val="en-GB"/>
        </w:rPr>
        <w:t xml:space="preserve"> 86 at 87.</w:t>
      </w:r>
    </w:p>
  </w:footnote>
  <w:footnote w:id="713">
    <w:p w:rsidR="0022178B" w:rsidRPr="0028108F" w:rsidRDefault="0022178B" w:rsidP="004B2E95">
      <w:pPr>
        <w:pStyle w:val="FootnoteText"/>
        <w:tabs>
          <w:tab w:val="left" w:pos="709"/>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[2006] 1 AC 98.</w:t>
      </w:r>
    </w:p>
  </w:footnote>
  <w:footnote w:id="714">
    <w:p w:rsidR="0022178B" w:rsidRPr="00C57CE1" w:rsidRDefault="0022178B" w:rsidP="004B2E95">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At paragraphs 15 and 37.  See also 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at 330.</w:t>
      </w:r>
    </w:p>
  </w:footnote>
  <w:footnote w:id="715">
    <w:p w:rsidR="0022178B" w:rsidRPr="0028108F" w:rsidRDefault="0022178B" w:rsidP="004B2E95">
      <w:pPr>
        <w:pStyle w:val="FootnoteText"/>
        <w:tabs>
          <w:tab w:val="left" w:pos="709"/>
        </w:tabs>
        <w:ind w:left="708" w:hangingChars="354" w:hanging="708"/>
        <w:jc w:val="both"/>
        <w:rPr>
          <w:rFonts w:ascii="Arial" w:hAnsi="Arial" w:cs="Arial"/>
          <w:lang w:val="en-GB"/>
        </w:rPr>
      </w:pPr>
      <w:r w:rsidRPr="00C57CE1">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Dicey, Morris &amp; Collins, </w:t>
      </w:r>
      <w:r w:rsidRPr="00181CF2">
        <w:rPr>
          <w:rFonts w:ascii="Arial" w:hAnsi="Arial" w:cs="Arial"/>
          <w:i/>
          <w:lang w:val="en-GB"/>
        </w:rPr>
        <w:t>The Confl</w:t>
      </w:r>
      <w:r w:rsidRPr="00C57CE1">
        <w:rPr>
          <w:rFonts w:ascii="Arial" w:hAnsi="Arial" w:cs="Arial"/>
          <w:i/>
          <w:lang w:val="en-GB"/>
        </w:rPr>
        <w:t>ict of Laws</w:t>
      </w:r>
      <w:r w:rsidRPr="0028108F">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paragraphs 6-125 to 6-134.</w:t>
      </w:r>
    </w:p>
  </w:footnote>
  <w:footnote w:id="716">
    <w:p w:rsidR="0022178B" w:rsidRPr="0028108F" w:rsidRDefault="0022178B" w:rsidP="004B2E95">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BLW v BWL </w:t>
      </w:r>
      <w:r w:rsidRPr="0028108F">
        <w:rPr>
          <w:rFonts w:ascii="Arial" w:hAnsi="Arial" w:cs="Arial"/>
          <w:lang w:val="en-GB"/>
        </w:rPr>
        <w:t>[2007] 2 HKLRD 193.</w:t>
      </w:r>
      <w:r w:rsidRPr="0028108F">
        <w:rPr>
          <w:rFonts w:ascii="Arial" w:hAnsi="Arial" w:cs="Arial"/>
          <w:i/>
          <w:lang w:val="en-GB"/>
        </w:rPr>
        <w:t xml:space="preserve">  </w:t>
      </w:r>
      <w:r w:rsidRPr="0028108F">
        <w:rPr>
          <w:rFonts w:ascii="Arial" w:hAnsi="Arial" w:cs="Arial"/>
          <w:lang w:val="en-GB"/>
        </w:rPr>
        <w:t>The issue in the this appeal was whether one of the parents, namely the mother has wrongfully retained the children of the family in Hong Kong.  The Court of Appeal ruled that when the children in question moved to Hong Kong they acquired a habitual residence there because the parents had expressly agreed that for 21 months the boys would live with the mother, which was a substantial time of the children’s lives.</w:t>
      </w:r>
    </w:p>
  </w:footnote>
  <w:footnote w:id="717">
    <w:p w:rsidR="0022178B" w:rsidRPr="0028108F" w:rsidRDefault="0022178B" w:rsidP="004B2E95">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 at paragraph 31(5).</w:t>
      </w:r>
    </w:p>
  </w:footnote>
  <w:footnote w:id="718">
    <w:p w:rsidR="0022178B" w:rsidRPr="00C57CE1" w:rsidRDefault="0022178B" w:rsidP="00813FAE">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 at 341.</w:t>
      </w:r>
    </w:p>
  </w:footnote>
  <w:footnote w:id="719">
    <w:p w:rsidR="0022178B" w:rsidRPr="0028108F" w:rsidRDefault="0022178B" w:rsidP="00813FAE">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720">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UK Law Com No 168, paragraph 3.6.</w:t>
      </w:r>
    </w:p>
  </w:footnote>
  <w:footnote w:id="721">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CMV Clarkson &amp; Jonathan Hill, </w:t>
      </w:r>
      <w:r w:rsidRPr="00181CF2">
        <w:rPr>
          <w:rFonts w:ascii="Arial" w:hAnsi="Arial" w:cs="Arial"/>
          <w:i/>
          <w:lang w:val="en-GB"/>
        </w:rPr>
        <w:t>The Conflict of Laws</w:t>
      </w:r>
      <w:r w:rsidRPr="00C57CE1">
        <w:rPr>
          <w:rFonts w:ascii="Arial" w:hAnsi="Arial" w:cs="Arial"/>
          <w:lang w:val="en-GB"/>
        </w:rPr>
        <w:t xml:space="preserve"> (4th ed, 2011, </w:t>
      </w:r>
      <w:r w:rsidRPr="008813DE">
        <w:rPr>
          <w:rFonts w:ascii="Arial" w:hAnsi="Arial" w:cs="Arial"/>
          <w:i/>
          <w:lang w:val="en-GB"/>
        </w:rPr>
        <w:t>Oxford University Press</w:t>
      </w:r>
      <w:r w:rsidRPr="00C57CE1">
        <w:rPr>
          <w:rFonts w:ascii="Arial" w:hAnsi="Arial" w:cs="Arial"/>
          <w:lang w:val="en-GB"/>
        </w:rPr>
        <w:t>)</w:t>
      </w:r>
      <w:r w:rsidRPr="0028108F">
        <w:rPr>
          <w:rFonts w:ascii="Arial" w:hAnsi="Arial" w:cs="Arial"/>
          <w:lang w:val="en-GB"/>
        </w:rPr>
        <w:t>, at 341.</w:t>
      </w:r>
    </w:p>
  </w:footnote>
  <w:footnote w:id="722">
    <w:p w:rsidR="0022178B" w:rsidRPr="00C57CE1"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Patrick Jiang, “Legislating for Transgender People: a Comparative Study of the Change of Legal Gender in Hong Kong, Singapore, Japan and the United Kingdom” </w:t>
      </w:r>
      <w:r w:rsidRPr="00181CF2">
        <w:rPr>
          <w:rFonts w:ascii="Arial" w:hAnsi="Arial" w:cs="Arial"/>
          <w:lang w:val="en-GB"/>
        </w:rPr>
        <w:t xml:space="preserve">(2013) 7 </w:t>
      </w:r>
      <w:r w:rsidRPr="008813DE">
        <w:rPr>
          <w:rFonts w:ascii="Arial" w:hAnsi="Arial" w:cs="Arial"/>
          <w:lang w:val="en-GB"/>
        </w:rPr>
        <w:t>HKJLS</w:t>
      </w:r>
      <w:r w:rsidRPr="00181CF2">
        <w:rPr>
          <w:rFonts w:ascii="Arial" w:hAnsi="Arial" w:cs="Arial"/>
          <w:lang w:val="en-GB"/>
        </w:rPr>
        <w:t xml:space="preserve"> 31, at 66.</w:t>
      </w:r>
    </w:p>
  </w:footnote>
  <w:footnote w:id="723">
    <w:p w:rsidR="0022178B" w:rsidRPr="0028108F"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color w:val="0D0D0D" w:themeColor="text1" w:themeTint="F2"/>
          <w:kern w:val="0"/>
          <w:lang w:val="en-GB"/>
        </w:rPr>
        <w:footnoteRef/>
      </w:r>
      <w:r w:rsidRPr="0028108F">
        <w:rPr>
          <w:rFonts w:ascii="Arial" w:hAnsi="Arial" w:cs="Arial"/>
          <w:lang w:val="en-GB"/>
        </w:rPr>
        <w:t xml:space="preserve"> </w:t>
      </w:r>
      <w:r w:rsidRPr="0028108F">
        <w:rPr>
          <w:rFonts w:ascii="Arial" w:hAnsi="Arial" w:cs="Arial"/>
          <w:lang w:val="en-GB"/>
        </w:rPr>
        <w:tab/>
        <w:t>Carol Malone, “Why is NHS money wasted on treating transgender kids who aren’t old enough to understand?”</w:t>
      </w:r>
      <w:r w:rsidRPr="00181CF2">
        <w:rPr>
          <w:rFonts w:ascii="Arial" w:hAnsi="Arial" w:cs="Arial"/>
          <w:lang w:val="en-GB"/>
        </w:rPr>
        <w:t xml:space="preserve">, </w:t>
      </w:r>
      <w:r w:rsidRPr="008813DE">
        <w:rPr>
          <w:rFonts w:ascii="Arial" w:hAnsi="Arial" w:cs="Arial"/>
          <w:i/>
          <w:lang w:val="en-GB"/>
        </w:rPr>
        <w:t>Mirror</w:t>
      </w:r>
      <w:r w:rsidRPr="00181CF2">
        <w:rPr>
          <w:rFonts w:ascii="Arial" w:hAnsi="Arial" w:cs="Arial"/>
          <w:lang w:val="en-GB"/>
        </w:rPr>
        <w:t>, 8 April 2014</w:t>
      </w:r>
      <w:r w:rsidRPr="0028108F">
        <w:rPr>
          <w:rFonts w:ascii="Arial" w:hAnsi="Arial" w:cs="Arial"/>
          <w:lang w:val="en-GB"/>
        </w:rPr>
        <w:t>.</w:t>
      </w:r>
    </w:p>
  </w:footnote>
  <w:footnote w:id="724">
    <w:p w:rsidR="0022178B" w:rsidRPr="0028108F"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 xml:space="preserve">See Peter Dunne, “Ten years of gender recognition in the United Kingdom: still a </w:t>
      </w:r>
      <w:r w:rsidRPr="0028108F">
        <w:rPr>
          <w:rFonts w:ascii="Arial" w:hAnsi="Arial" w:cs="Arial"/>
          <w:lang w:val="en-GB" w:eastAsia="zh-TW"/>
        </w:rPr>
        <w:t>‘</w:t>
      </w:r>
      <w:r w:rsidRPr="0028108F">
        <w:rPr>
          <w:rFonts w:ascii="Arial" w:hAnsi="Arial" w:cs="Arial"/>
          <w:lang w:val="en-GB"/>
        </w:rPr>
        <w:t>model for reform</w:t>
      </w:r>
      <w:r w:rsidRPr="0028108F">
        <w:rPr>
          <w:rFonts w:ascii="Arial" w:hAnsi="Arial" w:cs="Arial"/>
          <w:lang w:val="en-GB" w:eastAsia="zh-TW"/>
        </w:rPr>
        <w:t xml:space="preserve">’ </w:t>
      </w:r>
      <w:r w:rsidRPr="0028108F">
        <w:rPr>
          <w:rFonts w:ascii="Arial" w:hAnsi="Arial" w:cs="Arial"/>
          <w:lang w:val="en-GB"/>
        </w:rPr>
        <w:t>?”</w:t>
      </w:r>
      <w:r w:rsidRPr="00181CF2">
        <w:rPr>
          <w:rFonts w:ascii="Arial" w:hAnsi="Arial" w:cs="Arial"/>
          <w:lang w:val="en-GB"/>
        </w:rPr>
        <w:t xml:space="preserve"> </w:t>
      </w:r>
      <w:r w:rsidRPr="00C57CE1">
        <w:rPr>
          <w:rFonts w:ascii="Arial" w:hAnsi="Arial" w:cs="Arial"/>
          <w:lang w:val="en-GB"/>
        </w:rPr>
        <w:t xml:space="preserve">(2015) </w:t>
      </w:r>
      <w:r w:rsidRPr="00F86CD8">
        <w:rPr>
          <w:rFonts w:ascii="Arial" w:hAnsi="Arial" w:cs="Arial"/>
          <w:lang w:val="en-GB"/>
        </w:rPr>
        <w:t>Public Law</w:t>
      </w:r>
      <w:r w:rsidRPr="00181CF2">
        <w:rPr>
          <w:rFonts w:ascii="Arial" w:hAnsi="Arial" w:cs="Arial"/>
          <w:lang w:val="en-GB"/>
        </w:rPr>
        <w:t xml:space="preserve"> 530, at </w:t>
      </w:r>
      <w:r w:rsidRPr="0028108F">
        <w:rPr>
          <w:rFonts w:ascii="Arial" w:hAnsi="Arial" w:cs="Arial"/>
          <w:lang w:val="en-GB"/>
        </w:rPr>
        <w:t>4.</w:t>
      </w:r>
    </w:p>
  </w:footnote>
  <w:footnote w:id="725">
    <w:p w:rsidR="0022178B" w:rsidRPr="0028108F"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C </w:t>
      </w:r>
      <w:r w:rsidRPr="0028108F">
        <w:rPr>
          <w:rFonts w:ascii="Arial" w:hAnsi="Arial" w:cs="Arial"/>
          <w:i/>
          <w:lang w:val="en-GB"/>
        </w:rPr>
        <w:t>Nono</w:t>
      </w:r>
      <w:r w:rsidRPr="0028108F">
        <w:rPr>
          <w:rFonts w:ascii="Arial" w:hAnsi="Arial" w:cs="Arial"/>
          <w:lang w:val="en-GB"/>
        </w:rPr>
        <w:t xml:space="preserve"> (ed), </w:t>
      </w:r>
      <w:r w:rsidRPr="0028108F">
        <w:rPr>
          <w:rFonts w:ascii="Arial" w:hAnsi="Arial" w:cs="Arial"/>
          <w:i/>
          <w:lang w:val="en-GB"/>
        </w:rPr>
        <w:t xml:space="preserve">Kaisetsu: Sei Dôitsusei Shôgaisha Seibetsu Toriatsukai Tokureihô </w:t>
      </w:r>
      <w:r w:rsidRPr="0028108F">
        <w:rPr>
          <w:rFonts w:ascii="Arial" w:hAnsi="Arial" w:cs="Arial"/>
          <w:lang w:val="en-GB"/>
        </w:rPr>
        <w:t xml:space="preserve">[Commentary: Law Concerning Special Rules Regarding Sex Status of a Person with Gender Identity Disorder], Nihon Kajo Shuppan, Tokyo 2004, at pp. 87-88; S. Ondera, </w:t>
      </w:r>
      <w:r w:rsidRPr="0028108F">
        <w:rPr>
          <w:rFonts w:ascii="Arial" w:hAnsi="Arial" w:cs="Arial"/>
          <w:i/>
          <w:lang w:val="en-GB"/>
        </w:rPr>
        <w:t xml:space="preserve">Sei Dôitsusei Shôgaisha no Seibetsu no Toriatsukai no Tokurei ni kansuru Hôritsu </w:t>
      </w:r>
      <w:r w:rsidRPr="0028108F">
        <w:rPr>
          <w:rFonts w:ascii="Arial" w:hAnsi="Arial" w:cs="Arial"/>
          <w:lang w:val="en-GB"/>
        </w:rPr>
        <w:t xml:space="preserve">[Law Concerning Special Rules Regarding Sex Status of a Person with Gender Identity Disorder] [2003] 1252 </w:t>
      </w:r>
      <w:r w:rsidRPr="008813DE">
        <w:rPr>
          <w:rFonts w:ascii="Arial" w:hAnsi="Arial" w:cs="Arial"/>
          <w:lang w:val="en-GB"/>
        </w:rPr>
        <w:t>Jurist</w:t>
      </w:r>
      <w:r w:rsidRPr="0028108F">
        <w:rPr>
          <w:rFonts w:ascii="Arial" w:hAnsi="Arial" w:cs="Arial"/>
          <w:i/>
          <w:lang w:val="en-GB"/>
        </w:rPr>
        <w:t xml:space="preserve"> </w:t>
      </w:r>
      <w:r w:rsidRPr="008813DE">
        <w:rPr>
          <w:rFonts w:ascii="Arial" w:hAnsi="Arial" w:cs="Arial"/>
          <w:lang w:val="en-GB"/>
        </w:rPr>
        <w:t>67</w:t>
      </w:r>
      <w:r w:rsidRPr="0028108F">
        <w:rPr>
          <w:rFonts w:ascii="Arial" w:hAnsi="Arial" w:cs="Arial"/>
          <w:lang w:val="en-GB"/>
        </w:rPr>
        <w:t>.  For more discussion in this respect, see Yuko Nishitani, The Legal Status of Transsexual and Transgender Persons in Japan</w:t>
      </w:r>
      <w:r w:rsidRPr="00181CF2">
        <w:rPr>
          <w:rFonts w:ascii="Arial" w:hAnsi="Arial" w:cs="Arial"/>
          <w:lang w:val="en-GB"/>
        </w:rPr>
        <w:t>,</w:t>
      </w:r>
      <w:r w:rsidRPr="00C57CE1">
        <w:rPr>
          <w:rFonts w:ascii="Arial" w:hAnsi="Arial" w:cs="Arial"/>
          <w:lang w:val="en-GB"/>
        </w:rPr>
        <w:t xml:space="preserve"> in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at 351 and 374. </w:t>
      </w:r>
    </w:p>
  </w:footnote>
  <w:footnote w:id="726">
    <w:p w:rsidR="0022178B" w:rsidRPr="0028108F" w:rsidRDefault="0022178B" w:rsidP="00400B3A">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11 and 12.</w:t>
      </w:r>
    </w:p>
  </w:footnote>
  <w:footnote w:id="727">
    <w:p w:rsidR="0022178B" w:rsidRPr="0028108F" w:rsidRDefault="0022178B" w:rsidP="00400B3A">
      <w:pPr>
        <w:pStyle w:val="FootnoteText"/>
        <w:tabs>
          <w:tab w:val="left" w:pos="709"/>
        </w:tabs>
        <w:ind w:left="708" w:hangingChars="354" w:hanging="708"/>
        <w:jc w:val="both"/>
        <w:rPr>
          <w:rFonts w:ascii="Arial" w:hAnsi="Arial" w:cs="Arial"/>
          <w:lang w:eastAsia="zh-TW"/>
        </w:rPr>
      </w:pPr>
      <w:r w:rsidRPr="0028108F">
        <w:rPr>
          <w:rStyle w:val="FootnoteReference"/>
          <w:rFonts w:ascii="Arial" w:hAnsi="Arial" w:cs="Arial"/>
          <w:vertAlign w:val="baseline"/>
        </w:rPr>
        <w:footnoteRef/>
      </w:r>
      <w:r w:rsidRPr="0028108F">
        <w:rPr>
          <w:rFonts w:ascii="Arial" w:hAnsi="Arial" w:cs="Arial"/>
        </w:rPr>
        <w:t xml:space="preserve"> </w:t>
      </w:r>
      <w:r w:rsidRPr="0028108F">
        <w:rPr>
          <w:rFonts w:ascii="Arial" w:hAnsi="Arial" w:cs="Arial"/>
          <w:lang w:eastAsia="zh-TW"/>
        </w:rPr>
        <w:tab/>
        <w:t xml:space="preserve">Kwan Kai Man, </w:t>
      </w:r>
      <w:r w:rsidRPr="0028108F">
        <w:rPr>
          <w:rFonts w:ascii="Arial" w:hAnsi="Arial" w:cs="Arial"/>
          <w:lang w:val="en-US" w:eastAsia="zh-TW"/>
        </w:rPr>
        <w:t>“</w:t>
      </w:r>
      <w:r w:rsidRPr="0028108F">
        <w:rPr>
          <w:rFonts w:ascii="Arial" w:hAnsi="Arial" w:cs="Arial"/>
          <w:lang w:eastAsia="zh-TW"/>
        </w:rPr>
        <w:t>向政治凌駕科學說不</w:t>
      </w:r>
      <w:r w:rsidRPr="0028108F">
        <w:rPr>
          <w:rFonts w:ascii="Arial" w:hAnsi="Arial" w:cs="Arial"/>
          <w:lang w:eastAsia="zh-TW"/>
        </w:rPr>
        <w:t>—</w:t>
      </w:r>
      <w:r w:rsidRPr="0028108F">
        <w:rPr>
          <w:rFonts w:ascii="Arial" w:hAnsi="Arial" w:cs="Arial"/>
          <w:lang w:eastAsia="zh-TW"/>
        </w:rPr>
        <w:t>探討跨性別兒童的科學研究</w:t>
      </w:r>
      <w:r w:rsidRPr="0028108F">
        <w:rPr>
          <w:rFonts w:ascii="Arial" w:hAnsi="Arial" w:cs="Arial"/>
          <w:lang w:val="en-US" w:eastAsia="zh-TW"/>
        </w:rPr>
        <w:t>”</w:t>
      </w:r>
      <w:r w:rsidRPr="0028108F">
        <w:rPr>
          <w:rFonts w:ascii="Arial" w:hAnsi="Arial" w:cs="Arial"/>
          <w:lang w:eastAsia="zh-TW"/>
        </w:rPr>
        <w:t xml:space="preserve"> (in Chinese) 22 September 2016, available at: </w:t>
      </w:r>
    </w:p>
    <w:p w:rsidR="0022178B" w:rsidRPr="0028108F" w:rsidRDefault="0022178B" w:rsidP="00400B3A">
      <w:pPr>
        <w:pStyle w:val="FootnoteText"/>
        <w:tabs>
          <w:tab w:val="left" w:pos="709"/>
        </w:tabs>
        <w:ind w:left="708" w:hangingChars="354" w:hanging="708"/>
        <w:jc w:val="both"/>
        <w:rPr>
          <w:rFonts w:ascii="Arial" w:hAnsi="Arial" w:cs="Arial"/>
          <w:lang w:eastAsia="zh-TW"/>
        </w:rPr>
      </w:pPr>
      <w:r w:rsidRPr="0028108F">
        <w:rPr>
          <w:rFonts w:ascii="Arial" w:hAnsi="Arial" w:cs="Arial"/>
          <w:lang w:eastAsia="zh-TW"/>
        </w:rPr>
        <w:tab/>
      </w:r>
      <w:hyperlink r:id="rId90" w:history="1">
        <w:r w:rsidRPr="0028108F">
          <w:rPr>
            <w:rStyle w:val="Hyperlink"/>
            <w:rFonts w:ascii="Arial" w:hAnsi="Arial" w:cs="Arial"/>
            <w:lang w:eastAsia="zh-TW"/>
          </w:rPr>
          <w:t>https://hkscsblog.wordpress.com/2016/09/22/%E5%90%91%E6%94%BF%E6%B2%BB%E5%87%8C%E9%A7%95%E7%A7%91%E5%AD%B8%E8%AA%AA%E4%B8%8D-%E6%8E%A2%E8%A8%8E%E8%B7%A8%E6%80%A7%E5%88%A5%E5%85%92%E7%AB%A5%E7%9A%84%E7%A7%91%E5%AD%B8%E7%A0%94%E7%A9%B6/</w:t>
        </w:r>
      </w:hyperlink>
      <w:r w:rsidRPr="0028108F">
        <w:rPr>
          <w:rFonts w:ascii="Arial" w:hAnsi="Arial" w:cs="Arial"/>
          <w:lang w:eastAsia="zh-TW"/>
        </w:rPr>
        <w:t xml:space="preserve">. </w:t>
      </w:r>
    </w:p>
  </w:footnote>
  <w:footnote w:id="728">
    <w:p w:rsidR="0022178B" w:rsidRPr="0028108F" w:rsidRDefault="0022178B">
      <w:pPr>
        <w:pStyle w:val="FootnoteText"/>
        <w:tabs>
          <w:tab w:val="left" w:pos="709"/>
        </w:tabs>
        <w:ind w:left="708" w:hangingChars="354" w:hanging="708"/>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See </w:t>
      </w:r>
      <w:r w:rsidRPr="0028108F">
        <w:rPr>
          <w:rFonts w:ascii="Arial" w:hAnsi="Arial" w:cs="Arial"/>
          <w:lang w:val="en-GB"/>
        </w:rPr>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10 to 13.</w:t>
      </w:r>
    </w:p>
  </w:footnote>
  <w:footnote w:id="729">
    <w:p w:rsidR="0022178B" w:rsidRPr="00CA234A"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CA234A">
        <w:rPr>
          <w:rFonts w:ascii="Arial" w:hAnsi="Arial" w:cs="Arial"/>
          <w:lang w:val="en-GB"/>
        </w:rPr>
        <w:t xml:space="preserve">A recent Dutch study (2014) revealed that transgender youth who begin hormone treatment to delay puberty in adolescence are more likely to become happy.  See news article of </w:t>
      </w:r>
      <w:r w:rsidRPr="00B25672">
        <w:rPr>
          <w:rFonts w:ascii="Arial" w:hAnsi="Arial" w:cs="Arial"/>
          <w:i/>
          <w:lang w:val="en-GB"/>
        </w:rPr>
        <w:t>BuzzFeed</w:t>
      </w:r>
      <w:r w:rsidRPr="00CA234A">
        <w:rPr>
          <w:rFonts w:ascii="Arial" w:hAnsi="Arial" w:cs="Arial"/>
          <w:lang w:val="en-GB"/>
        </w:rPr>
        <w:t>, “New Study Shows Suppressing Puberty Helps Transgender Teens Become Happier Young Adults” (2 September 2014), available at:</w:t>
      </w:r>
    </w:p>
    <w:p w:rsidR="0022178B" w:rsidRPr="0028108F" w:rsidRDefault="0022178B">
      <w:pPr>
        <w:pStyle w:val="FootnoteText"/>
        <w:tabs>
          <w:tab w:val="left" w:pos="709"/>
        </w:tabs>
        <w:ind w:left="708" w:hangingChars="354" w:hanging="708"/>
        <w:jc w:val="both"/>
        <w:rPr>
          <w:rFonts w:ascii="Arial" w:hAnsi="Arial" w:cs="Arial"/>
          <w:lang w:val="en-GB"/>
        </w:rPr>
      </w:pPr>
      <w:r w:rsidRPr="00CA234A">
        <w:rPr>
          <w:rFonts w:ascii="Arial" w:hAnsi="Arial" w:cs="Arial"/>
          <w:lang w:val="en-GB"/>
        </w:rPr>
        <w:tab/>
      </w:r>
      <w:hyperlink r:id="rId91" w:anchor=".wqNN6ZwPg" w:history="1">
        <w:r w:rsidRPr="00CA234A">
          <w:rPr>
            <w:rStyle w:val="Hyperlink"/>
            <w:rFonts w:ascii="Arial" w:hAnsi="Arial" w:cs="Arial"/>
          </w:rPr>
          <w:t>https://www.buzzfeed.com/tonymerevick/new-study-shows-suppressing-puberty-helps-transgender-teens?utm_term=.ofL4mP8Lv#.wqNN6ZwPg</w:t>
        </w:r>
      </w:hyperlink>
      <w:r w:rsidRPr="00CA234A">
        <w:rPr>
          <w:rFonts w:ascii="Arial" w:hAnsi="Arial" w:cs="Arial"/>
          <w:lang w:val="en-GB"/>
        </w:rPr>
        <w:t>.</w:t>
      </w:r>
      <w:r w:rsidRPr="0028108F">
        <w:rPr>
          <w:rFonts w:ascii="Arial" w:hAnsi="Arial" w:cs="Arial"/>
          <w:lang w:val="en-GB"/>
        </w:rPr>
        <w:t xml:space="preserve">    </w:t>
      </w:r>
    </w:p>
  </w:footnote>
  <w:footnote w:id="730">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WPATH, </w:t>
      </w:r>
      <w:r w:rsidRPr="0028108F">
        <w:rPr>
          <w:rFonts w:ascii="Arial" w:hAnsi="Arial" w:cs="Arial"/>
          <w:i/>
          <w:lang w:val="en-GB"/>
        </w:rPr>
        <w:t>Standards of Care for the Health of Transsexual, Transgender, and Gender-Nonconforming People</w:t>
      </w:r>
      <w:r w:rsidRPr="0028108F">
        <w:rPr>
          <w:rFonts w:ascii="Arial" w:hAnsi="Arial" w:cs="Arial"/>
          <w:lang w:val="en-GB"/>
        </w:rPr>
        <w:t xml:space="preserve">, 7th </w:t>
      </w:r>
      <w:r>
        <w:rPr>
          <w:rFonts w:ascii="Arial" w:hAnsi="Arial" w:cs="Arial"/>
          <w:lang w:val="en-GB"/>
        </w:rPr>
        <w:t>version</w:t>
      </w:r>
      <w:r w:rsidRPr="0028108F">
        <w:rPr>
          <w:rFonts w:ascii="Arial" w:hAnsi="Arial" w:cs="Arial"/>
          <w:lang w:val="en-GB"/>
        </w:rPr>
        <w:t xml:space="preserve"> (2012), at 12 to 14.</w:t>
      </w:r>
    </w:p>
  </w:footnote>
  <w:footnote w:id="731">
    <w:p w:rsidR="0022178B" w:rsidRPr="0028108F" w:rsidRDefault="0022178B" w:rsidP="00CA234A">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 xml:space="preserve">See </w:t>
      </w:r>
      <w:r w:rsidRPr="0028108F">
        <w:rPr>
          <w:rFonts w:ascii="Arial" w:hAnsi="Arial" w:cs="Arial"/>
          <w:lang w:val="en-GB"/>
        </w:rPr>
        <w:t>Centre for Medical Ethics and Law, Faculty of Law of the University of Hong Kong, “Submission to the Legislative Council and the Security Bureau of the Hong Kong SAR on the Legal Status of Transsexual and Transgender Persons in Hong Kong</w:t>
      </w:r>
      <w:r w:rsidRPr="00181CF2">
        <w:rPr>
          <w:rFonts w:ascii="Arial" w:hAnsi="Arial" w:cs="Arial"/>
          <w:lang w:val="en-GB"/>
        </w:rPr>
        <w:t>”</w:t>
      </w:r>
      <w:r w:rsidRPr="00C57CE1">
        <w:rPr>
          <w:rFonts w:ascii="Arial" w:hAnsi="Arial" w:cs="Arial"/>
          <w:lang w:val="en-GB"/>
        </w:rPr>
        <w:t xml:space="preserve"> [in Relation to the M</w:t>
      </w:r>
      <w:r w:rsidRPr="0028108F">
        <w:rPr>
          <w:rFonts w:ascii="Arial" w:hAnsi="Arial" w:cs="Arial"/>
          <w:lang w:val="en-GB"/>
        </w:rPr>
        <w:t>arriage (Amendment) Bill 2014] (Occasional Paper No 1, March 2014</w:t>
      </w:r>
      <w:r>
        <w:rPr>
          <w:rFonts w:ascii="Arial" w:hAnsi="Arial" w:cs="Arial" w:hint="eastAsia"/>
          <w:lang w:val="en-GB" w:eastAsia="zh-TW"/>
        </w:rPr>
        <w:t xml:space="preserve">; </w:t>
      </w:r>
      <w:r w:rsidRPr="0028108F">
        <w:rPr>
          <w:rFonts w:ascii="Arial" w:hAnsi="Arial" w:cs="Arial"/>
          <w:lang w:val="en-GB"/>
        </w:rPr>
        <w:t>LC Paper No. CB(2)1052/13-14(01)</w:t>
      </w:r>
      <w:r>
        <w:rPr>
          <w:rFonts w:ascii="Arial" w:hAnsi="Arial" w:cs="Arial" w:hint="eastAsia"/>
          <w:lang w:val="en-GB" w:eastAsia="zh-TW"/>
        </w:rPr>
        <w:t>)</w:t>
      </w:r>
      <w:r w:rsidRPr="0028108F">
        <w:rPr>
          <w:rFonts w:ascii="Arial" w:hAnsi="Arial" w:cs="Arial"/>
          <w:lang w:val="en-US"/>
        </w:rPr>
        <w:t>, at 2</w:t>
      </w:r>
      <w:r w:rsidRPr="0028108F">
        <w:rPr>
          <w:rFonts w:ascii="Arial" w:hAnsi="Arial" w:cs="Arial"/>
          <w:lang w:val="en-GB"/>
        </w:rPr>
        <w:t xml:space="preserve">. </w:t>
      </w:r>
    </w:p>
  </w:footnote>
  <w:footnote w:id="732">
    <w:p w:rsidR="0022178B" w:rsidRPr="0028108F"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w:t>
      </w:r>
    </w:p>
  </w:footnote>
  <w:footnote w:id="733">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Article 2.1 of the CRC.</w:t>
      </w:r>
    </w:p>
  </w:footnote>
  <w:footnote w:id="734">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Article 14 of the ECHR and Article 1 of Protocol No. 12 to the ECHR.</w:t>
      </w:r>
    </w:p>
  </w:footnote>
  <w:footnote w:id="735">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Recommendation (C) under Principle 24 of the Yogyakarta Principles. </w:t>
      </w:r>
    </w:p>
  </w:footnote>
  <w:footnote w:id="736">
    <w:p w:rsidR="0022178B" w:rsidRPr="0028108F" w:rsidRDefault="0022178B">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Peter Dunne, “Ten years of gender recognition in the United Kingdom: still a </w:t>
      </w:r>
      <w:r w:rsidRPr="0028108F">
        <w:rPr>
          <w:rFonts w:ascii="Arial" w:hAnsi="Arial" w:cs="Arial"/>
          <w:lang w:val="en-GB" w:eastAsia="zh-TW"/>
        </w:rPr>
        <w:t>‘</w:t>
      </w:r>
      <w:r w:rsidRPr="0028108F">
        <w:rPr>
          <w:rFonts w:ascii="Arial" w:hAnsi="Arial" w:cs="Arial"/>
          <w:lang w:val="en-GB"/>
        </w:rPr>
        <w:t>model for reform</w:t>
      </w:r>
      <w:r w:rsidRPr="0028108F">
        <w:rPr>
          <w:rFonts w:ascii="Arial" w:hAnsi="Arial" w:cs="Arial"/>
          <w:lang w:val="en-GB" w:eastAsia="zh-TW"/>
        </w:rPr>
        <w:t xml:space="preserve">’ </w:t>
      </w:r>
      <w:r w:rsidRPr="0028108F">
        <w:rPr>
          <w:rFonts w:ascii="Arial" w:hAnsi="Arial" w:cs="Arial"/>
          <w:lang w:val="en-GB"/>
        </w:rPr>
        <w:t>?”</w:t>
      </w:r>
      <w:r w:rsidRPr="00181CF2">
        <w:rPr>
          <w:rFonts w:ascii="Arial" w:hAnsi="Arial" w:cs="Arial"/>
          <w:lang w:val="en-GB"/>
        </w:rPr>
        <w:t xml:space="preserve"> </w:t>
      </w:r>
      <w:r w:rsidRPr="00C57CE1">
        <w:rPr>
          <w:rFonts w:ascii="Arial" w:hAnsi="Arial" w:cs="Arial"/>
          <w:lang w:val="en-GB"/>
        </w:rPr>
        <w:t xml:space="preserve">(2015) </w:t>
      </w:r>
      <w:r w:rsidRPr="00F86CD8">
        <w:rPr>
          <w:rFonts w:ascii="Arial" w:hAnsi="Arial" w:cs="Arial"/>
          <w:lang w:val="en-GB"/>
        </w:rPr>
        <w:t>Public Law</w:t>
      </w:r>
      <w:r w:rsidRPr="00181CF2">
        <w:rPr>
          <w:rFonts w:ascii="Arial" w:hAnsi="Arial" w:cs="Arial"/>
          <w:lang w:val="en-GB"/>
        </w:rPr>
        <w:t xml:space="preserve"> 530, at </w:t>
      </w:r>
      <w:r w:rsidRPr="0028108F">
        <w:rPr>
          <w:rFonts w:ascii="Arial" w:hAnsi="Arial" w:cs="Arial"/>
          <w:lang w:val="en-GB"/>
        </w:rPr>
        <w:t>4.</w:t>
      </w:r>
    </w:p>
  </w:footnote>
  <w:footnote w:id="737">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Article 8.1 of the CRC.  Gender identity is arguably within the scope of this right alongside with nationality, name and family relations which have been listed by way of example.</w:t>
      </w:r>
    </w:p>
  </w:footnote>
  <w:footnote w:id="738">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Article 12.1 of the CRC. </w:t>
      </w:r>
    </w:p>
  </w:footnote>
  <w:footnote w:id="739">
    <w:p w:rsidR="0022178B" w:rsidRPr="0028108F" w:rsidRDefault="0022178B">
      <w:pPr>
        <w:pStyle w:val="FootnoteText"/>
        <w:tabs>
          <w:tab w:val="left" w:pos="709"/>
        </w:tabs>
        <w:ind w:left="786" w:hangingChars="393" w:hanging="786"/>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Article 3.1 of the CRC.</w:t>
      </w:r>
    </w:p>
  </w:footnote>
  <w:footnote w:id="740">
    <w:p w:rsidR="0022178B" w:rsidRPr="0028108F" w:rsidRDefault="0022178B">
      <w:pPr>
        <w:pStyle w:val="FootnoteText"/>
        <w:tabs>
          <w:tab w:val="left" w:pos="851"/>
        </w:tabs>
        <w:topLinePunct/>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KR Olson, AC Key and NR Eaton, “Gender Cogn</w:t>
      </w:r>
      <w:r w:rsidRPr="00181CF2">
        <w:rPr>
          <w:rFonts w:ascii="Arial" w:hAnsi="Arial" w:cs="Arial"/>
          <w:lang w:val="en-GB"/>
        </w:rPr>
        <w:t>i</w:t>
      </w:r>
      <w:r w:rsidRPr="0028108F">
        <w:rPr>
          <w:rFonts w:ascii="Arial" w:hAnsi="Arial" w:cs="Arial"/>
          <w:lang w:val="en-GB"/>
        </w:rPr>
        <w:t xml:space="preserve">tion in Transgender Children” </w:t>
      </w:r>
      <w:r w:rsidRPr="00181CF2">
        <w:rPr>
          <w:rFonts w:ascii="Arial" w:hAnsi="Arial" w:cs="Arial"/>
          <w:lang w:val="en-GB"/>
        </w:rPr>
        <w:t xml:space="preserve">(2015) 26(4) </w:t>
      </w:r>
      <w:r w:rsidRPr="003D58CE">
        <w:rPr>
          <w:rFonts w:ascii="Arial" w:hAnsi="Arial" w:cs="Arial"/>
          <w:lang w:val="en-GB"/>
        </w:rPr>
        <w:t xml:space="preserve">Psychological Science </w:t>
      </w:r>
      <w:r w:rsidRPr="0028108F">
        <w:rPr>
          <w:rFonts w:ascii="Arial" w:hAnsi="Arial" w:cs="Arial"/>
          <w:lang w:val="en-GB"/>
        </w:rPr>
        <w:t>467.</w:t>
      </w:r>
    </w:p>
  </w:footnote>
  <w:footnote w:id="741">
    <w:p w:rsidR="0022178B" w:rsidRPr="0028108F" w:rsidRDefault="0022178B" w:rsidP="00961014">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Dutch Civil Code art. 28 paragraph 1.</w:t>
      </w:r>
    </w:p>
  </w:footnote>
  <w:footnote w:id="742">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Argentina, see the Gender Identity Act 2012 (Act No. 26.743) art.5; For Malta, see the Gender Identity, Gender Expression and Sex Characteristics Act (Act No.XI of 2015) s.7.</w:t>
      </w:r>
    </w:p>
  </w:footnote>
  <w:footnote w:id="743">
    <w:p w:rsidR="0022178B" w:rsidRPr="00C57CE1"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news report of </w:t>
      </w:r>
      <w:r w:rsidRPr="008813DE">
        <w:rPr>
          <w:rFonts w:ascii="Arial" w:hAnsi="Arial" w:cs="Arial"/>
          <w:i/>
          <w:lang w:val="en-GB"/>
        </w:rPr>
        <w:t>Huffington Post</w:t>
      </w:r>
      <w:r w:rsidRPr="0028108F">
        <w:rPr>
          <w:rFonts w:ascii="Arial" w:hAnsi="Arial" w:cs="Arial"/>
          <w:lang w:val="en-GB"/>
        </w:rPr>
        <w:t>, “Argentina Grants Lulu, Six-year-old Transgender Child, Female ID Card”</w:t>
      </w:r>
      <w:r w:rsidRPr="00181CF2">
        <w:rPr>
          <w:rFonts w:ascii="Arial" w:hAnsi="Arial" w:cs="Arial"/>
          <w:lang w:val="en-GB"/>
        </w:rPr>
        <w:t>, 10 October 2013,</w:t>
      </w:r>
      <w:r w:rsidRPr="00C57CE1">
        <w:rPr>
          <w:rFonts w:ascii="Arial" w:hAnsi="Arial" w:cs="Arial"/>
          <w:lang w:val="en-GB"/>
        </w:rPr>
        <w:t xml:space="preserve"> available at: </w:t>
      </w:r>
    </w:p>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92" w:history="1">
        <w:r w:rsidRPr="0028108F">
          <w:rPr>
            <w:rStyle w:val="Hyperlink"/>
            <w:rFonts w:ascii="Arial" w:hAnsi="Arial" w:cs="Arial"/>
            <w:lang w:val="en-GB"/>
          </w:rPr>
          <w:t>http://www.huffingtonpost.com/2013/10/10/argentina-child-transgender_n_4077466.html</w:t>
        </w:r>
      </w:hyperlink>
      <w:r w:rsidRPr="0028108F">
        <w:rPr>
          <w:rFonts w:ascii="Arial" w:hAnsi="Arial" w:cs="Arial"/>
          <w:lang w:val="en-GB"/>
        </w:rPr>
        <w:t>.</w:t>
      </w:r>
    </w:p>
  </w:footnote>
  <w:footnote w:id="744">
    <w:p w:rsidR="0022178B" w:rsidRPr="0028108F" w:rsidRDefault="0022178B" w:rsidP="00F47842">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Je</w:t>
      </w:r>
      <w:r w:rsidRPr="0028108F">
        <w:rPr>
          <w:rFonts w:ascii="Arial" w:hAnsi="Arial" w:cs="Arial"/>
          <w:color w:val="000000" w:themeColor="text1"/>
          <w:lang w:val="en-GB"/>
        </w:rPr>
        <w:t>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28108F">
        <w:rPr>
          <w:rFonts w:ascii="Arial" w:hAnsi="Arial" w:cs="Arial"/>
          <w:lang w:val="en-GB"/>
        </w:rPr>
        <w:t xml:space="preserve"> (1st ed, December 2015), at 626 to 627.</w:t>
      </w:r>
    </w:p>
  </w:footnote>
  <w:footnote w:id="745">
    <w:p w:rsidR="0022178B" w:rsidRPr="0028108F" w:rsidRDefault="0022178B" w:rsidP="0028108F">
      <w:pPr>
        <w:pStyle w:val="FootnoteText"/>
        <w:tabs>
          <w:tab w:val="left" w:pos="851"/>
        </w:tabs>
        <w:ind w:left="709" w:hanging="709"/>
        <w:jc w:val="both"/>
        <w:rPr>
          <w:rFonts w:ascii="Arial" w:hAnsi="Arial" w:cs="Arial"/>
        </w:rPr>
      </w:pPr>
      <w:r w:rsidRPr="0028108F">
        <w:rPr>
          <w:rFonts w:ascii="Arial" w:hAnsi="Arial" w:cs="Arial"/>
          <w:lang w:val="en-GB"/>
        </w:rPr>
        <w:footnoteRef/>
      </w:r>
      <w:r w:rsidRPr="0028108F">
        <w:rPr>
          <w:rFonts w:ascii="Arial" w:hAnsi="Arial" w:cs="Arial"/>
          <w:lang w:val="en-GB"/>
        </w:rPr>
        <w:t xml:space="preserve"> </w:t>
      </w:r>
      <w:r w:rsidRPr="00181CF2">
        <w:rPr>
          <w:rFonts w:ascii="Arial" w:hAnsi="Arial" w:cs="Arial"/>
          <w:lang w:val="en-GB"/>
        </w:rPr>
        <w:tab/>
      </w:r>
      <w:r w:rsidRPr="00C57CE1">
        <w:rPr>
          <w:rFonts w:ascii="Arial" w:hAnsi="Arial" w:cs="Arial"/>
          <w:lang w:val="en-GB"/>
        </w:rPr>
        <w:t xml:space="preserve">A </w:t>
      </w:r>
      <w:r>
        <w:rPr>
          <w:rFonts w:ascii="Arial" w:hAnsi="Arial" w:cs="Arial"/>
          <w:lang w:val="en-GB"/>
        </w:rPr>
        <w:t>p</w:t>
      </w:r>
      <w:r w:rsidRPr="00C57CE1">
        <w:rPr>
          <w:rFonts w:ascii="Arial" w:hAnsi="Arial" w:cs="Arial"/>
          <w:lang w:val="en-GB"/>
        </w:rPr>
        <w:t xml:space="preserve">arliamentary committee in the UK appointed by the House of Commons in June 2015 to oversee </w:t>
      </w:r>
      <w:r>
        <w:rPr>
          <w:rFonts w:ascii="Arial" w:hAnsi="Arial" w:cs="Arial"/>
          <w:lang w:val="en-GB"/>
        </w:rPr>
        <w:t xml:space="preserve">equality </w:t>
      </w:r>
      <w:r w:rsidRPr="0028108F">
        <w:rPr>
          <w:rFonts w:ascii="Arial" w:hAnsi="Arial" w:cs="Arial"/>
          <w:lang w:val="en-GB"/>
        </w:rPr>
        <w:t>issues.</w:t>
      </w:r>
    </w:p>
  </w:footnote>
  <w:footnote w:id="746">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Women and Equalities Committee, </w:t>
      </w:r>
      <w:r w:rsidRPr="00C57CE1">
        <w:rPr>
          <w:rFonts w:ascii="Arial" w:hAnsi="Arial" w:cs="Arial"/>
          <w:i/>
          <w:lang w:val="en-GB"/>
        </w:rPr>
        <w:t>Transgender Equality</w:t>
      </w:r>
      <w:r w:rsidRPr="0028108F">
        <w:rPr>
          <w:rFonts w:ascii="Arial" w:hAnsi="Arial" w:cs="Arial"/>
          <w:lang w:val="en-GB"/>
        </w:rPr>
        <w:t xml:space="preserve"> (First Report of Session 2015-16), published on 14 January 2016 by </w:t>
      </w:r>
      <w:r w:rsidRPr="0028108F">
        <w:rPr>
          <w:rFonts w:ascii="Arial" w:hAnsi="Arial" w:cs="Arial"/>
          <w:i/>
          <w:lang w:val="en-GB"/>
        </w:rPr>
        <w:t>authority of the House of Commons</w:t>
      </w:r>
      <w:r w:rsidRPr="00181CF2">
        <w:rPr>
          <w:rFonts w:ascii="Arial" w:hAnsi="Arial" w:cs="Arial"/>
          <w:lang w:val="en-GB"/>
        </w:rPr>
        <w:t xml:space="preserve">, at </w:t>
      </w:r>
      <w:r w:rsidRPr="0028108F">
        <w:rPr>
          <w:rFonts w:ascii="Arial" w:hAnsi="Arial" w:cs="Arial"/>
          <w:lang w:val="en-GB"/>
        </w:rPr>
        <w:t>paragraph 70.</w:t>
      </w:r>
    </w:p>
  </w:footnote>
  <w:footnote w:id="747">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i/>
          <w:lang w:val="en-GB"/>
        </w:rPr>
        <w:t>Same as above</w:t>
      </w:r>
      <w:r w:rsidRPr="0028108F">
        <w:rPr>
          <w:rFonts w:ascii="Arial" w:hAnsi="Arial" w:cs="Arial"/>
          <w:lang w:val="en-GB"/>
        </w:rPr>
        <w:t>, at paragraph 64</w:t>
      </w:r>
      <w:r>
        <w:rPr>
          <w:rFonts w:ascii="Arial" w:hAnsi="Arial" w:cs="Arial" w:hint="eastAsia"/>
          <w:lang w:val="en-GB" w:eastAsia="zh-TW"/>
        </w:rPr>
        <w:t xml:space="preserve"> to </w:t>
      </w:r>
      <w:r w:rsidRPr="0028108F">
        <w:rPr>
          <w:rFonts w:ascii="Arial" w:hAnsi="Arial" w:cs="Arial"/>
          <w:lang w:val="en-GB"/>
        </w:rPr>
        <w:t>71.</w:t>
      </w:r>
    </w:p>
  </w:footnote>
  <w:footnote w:id="748">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181CF2">
        <w:rPr>
          <w:rFonts w:ascii="Arial" w:hAnsi="Arial" w:cs="Arial"/>
          <w:lang w:val="en-GB"/>
        </w:rPr>
        <w:tab/>
        <w:t xml:space="preserve">See The Scottish </w:t>
      </w:r>
      <w:r w:rsidRPr="00C57CE1">
        <w:rPr>
          <w:rFonts w:ascii="Arial" w:hAnsi="Arial" w:cs="Arial"/>
          <w:lang w:val="en-GB"/>
        </w:rPr>
        <w:t xml:space="preserve">Parliament, </w:t>
      </w:r>
      <w:r w:rsidRPr="0028108F">
        <w:rPr>
          <w:rFonts w:ascii="Arial" w:hAnsi="Arial" w:cs="Arial"/>
          <w:lang w:val="en-GB"/>
        </w:rPr>
        <w:t>“SPICe Briefing - Key Issues for the Parliament in Session 5”</w:t>
      </w:r>
      <w:r w:rsidRPr="00181CF2">
        <w:rPr>
          <w:rFonts w:ascii="Arial" w:hAnsi="Arial" w:cs="Arial"/>
          <w:lang w:val="en-GB"/>
        </w:rPr>
        <w:t xml:space="preserve">, 6 May 2016, at </w:t>
      </w:r>
      <w:r w:rsidRPr="0028108F">
        <w:rPr>
          <w:rFonts w:ascii="Arial" w:hAnsi="Arial" w:cs="Arial"/>
          <w:lang w:val="en-GB"/>
        </w:rPr>
        <w:t>31.</w:t>
      </w:r>
    </w:p>
  </w:footnote>
  <w:footnote w:id="749">
    <w:p w:rsidR="0022178B" w:rsidRPr="0028108F" w:rsidRDefault="0022178B" w:rsidP="00604960">
      <w:pPr>
        <w:pStyle w:val="FootnoteText"/>
        <w:tabs>
          <w:tab w:val="left" w:pos="851"/>
        </w:tabs>
        <w:topLinePunct/>
        <w:ind w:left="708" w:hangingChars="354" w:hanging="708"/>
        <w:jc w:val="both"/>
        <w:rPr>
          <w:rFonts w:ascii="Arial" w:hAnsi="Arial" w:cs="Arial"/>
          <w:color w:val="000000"/>
          <w:lang w:val="en-GB"/>
        </w:rPr>
      </w:pPr>
      <w:r w:rsidRPr="0028108F">
        <w:rPr>
          <w:rStyle w:val="FootnoteReference"/>
          <w:rFonts w:ascii="Arial" w:hAnsi="Arial" w:cs="Arial"/>
          <w:color w:val="000000"/>
          <w:vertAlign w:val="baseline"/>
          <w:lang w:val="en-GB"/>
        </w:rPr>
        <w:footnoteRef/>
      </w:r>
      <w:r w:rsidRPr="0028108F">
        <w:rPr>
          <w:rFonts w:ascii="Arial" w:hAnsi="Arial" w:cs="Arial"/>
          <w:color w:val="000000"/>
          <w:lang w:val="en-GB"/>
        </w:rPr>
        <w:t xml:space="preserve"> </w:t>
      </w:r>
      <w:r w:rsidRPr="0028108F">
        <w:rPr>
          <w:rFonts w:ascii="Arial" w:hAnsi="Arial" w:cs="Arial"/>
          <w:color w:val="000000"/>
          <w:lang w:val="en-GB"/>
        </w:rPr>
        <w:tab/>
        <w:t xml:space="preserve">See </w:t>
      </w:r>
      <w:r w:rsidRPr="0028108F">
        <w:rPr>
          <w:rFonts w:ascii="Arial" w:hAnsi="Arial" w:cs="Arial"/>
          <w:lang w:val="en-GB"/>
        </w:rPr>
        <w:t xml:space="preserve">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629.</w:t>
      </w:r>
    </w:p>
  </w:footnote>
  <w:footnote w:id="75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Yuko Nishitani, “The Legal Status of Transsexual and Transgender Persons in Japan”</w:t>
      </w:r>
      <w:r w:rsidRPr="00181CF2">
        <w:rPr>
          <w:rFonts w:ascii="Arial" w:hAnsi="Arial" w:cs="Arial"/>
          <w:lang w:val="en-GB"/>
        </w:rPr>
        <w:t>, in</w:t>
      </w:r>
      <w:r w:rsidRPr="00C57CE1">
        <w:rPr>
          <w:rFonts w:ascii="Arial" w:hAnsi="Arial" w:cs="Arial"/>
          <w:color w:val="000000" w:themeColor="text1"/>
          <w:lang w:val="en-GB"/>
        </w:rPr>
        <w:t xml:space="preserve">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375.</w:t>
      </w:r>
    </w:p>
  </w:footnote>
  <w:footnote w:id="751">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Peter Dunne, “Ten years of gender recognition in the United Kingdom: still a “model for reform”?”</w:t>
      </w:r>
      <w:r w:rsidRPr="00181CF2">
        <w:rPr>
          <w:rFonts w:ascii="Arial" w:hAnsi="Arial" w:cs="Arial"/>
          <w:lang w:val="en-GB"/>
        </w:rPr>
        <w:t xml:space="preserve"> </w:t>
      </w:r>
      <w:r w:rsidRPr="00C57CE1">
        <w:rPr>
          <w:rFonts w:ascii="Arial" w:hAnsi="Arial" w:cs="Arial"/>
          <w:lang w:val="en-GB"/>
        </w:rPr>
        <w:t xml:space="preserve">(2015) </w:t>
      </w:r>
      <w:r w:rsidRPr="00F86CD8">
        <w:rPr>
          <w:rFonts w:ascii="Arial" w:hAnsi="Arial" w:cs="Arial"/>
          <w:lang w:val="en-GB"/>
        </w:rPr>
        <w:t>Public Law</w:t>
      </w:r>
      <w:r w:rsidRPr="00181CF2">
        <w:rPr>
          <w:rFonts w:ascii="Arial" w:hAnsi="Arial" w:cs="Arial"/>
          <w:lang w:val="en-GB"/>
        </w:rPr>
        <w:t xml:space="preserve"> 530, at </w:t>
      </w:r>
      <w:r w:rsidRPr="0028108F">
        <w:rPr>
          <w:rFonts w:ascii="Arial" w:hAnsi="Arial" w:cs="Arial"/>
          <w:lang w:val="en-GB"/>
        </w:rPr>
        <w:t>3.</w:t>
      </w:r>
    </w:p>
  </w:footnote>
  <w:footnote w:id="752">
    <w:p w:rsidR="0022178B" w:rsidRPr="0028108F" w:rsidRDefault="0022178B" w:rsidP="00961014">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w:t>
      </w:r>
      <w:r w:rsidRPr="0028108F">
        <w:rPr>
          <w:rFonts w:ascii="Arial" w:hAnsi="Arial" w:cs="Arial"/>
          <w:i/>
          <w:lang w:val="en-GB"/>
        </w:rPr>
        <w:t>.</w:t>
      </w:r>
    </w:p>
  </w:footnote>
  <w:footnote w:id="753">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w:t>
      </w:r>
      <w:r w:rsidRPr="0028108F">
        <w:rPr>
          <w:rFonts w:ascii="Arial" w:hAnsi="Arial" w:cs="Arial"/>
          <w:i/>
          <w:lang w:val="en-GB"/>
        </w:rPr>
        <w:t>.</w:t>
      </w:r>
    </w:p>
  </w:footnote>
  <w:footnote w:id="75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Application no. 37359/09, 16 July 2014.</w:t>
      </w:r>
    </w:p>
  </w:footnote>
  <w:footnote w:id="755">
    <w:p w:rsidR="0022178B" w:rsidRPr="0028108F" w:rsidRDefault="0022178B" w:rsidP="00961014">
      <w:pPr>
        <w:pStyle w:val="FootnoteText"/>
        <w:tabs>
          <w:tab w:val="left" w:pos="709"/>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It is worth noting that Finland </w:t>
      </w:r>
      <w:r>
        <w:rPr>
          <w:rFonts w:ascii="Arial" w:hAnsi="Arial" w:cs="Arial" w:hint="eastAsia"/>
          <w:lang w:val="en-GB" w:eastAsia="zh-TW"/>
        </w:rPr>
        <w:t>has legalised same-sex marriage since 1 March 2017</w:t>
      </w:r>
      <w:r w:rsidRPr="0028108F">
        <w:rPr>
          <w:rFonts w:ascii="Arial" w:hAnsi="Arial" w:cs="Arial"/>
          <w:lang w:val="en-GB"/>
        </w:rPr>
        <w:t xml:space="preserve"> and the divorce requirement for gender recognition </w:t>
      </w:r>
      <w:r>
        <w:rPr>
          <w:rFonts w:ascii="Arial" w:hAnsi="Arial" w:cs="Arial" w:hint="eastAsia"/>
          <w:lang w:val="en-GB" w:eastAsia="zh-TW"/>
        </w:rPr>
        <w:t>would</w:t>
      </w:r>
      <w:r w:rsidRPr="0028108F">
        <w:rPr>
          <w:rFonts w:ascii="Arial" w:hAnsi="Arial" w:cs="Arial"/>
          <w:lang w:val="en-GB"/>
        </w:rPr>
        <w:t xml:space="preserve"> become obsolete in Finland.</w:t>
      </w:r>
    </w:p>
  </w:footnote>
  <w:footnote w:id="756">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Helen Luk, “Professor in Sex Switch”</w:t>
      </w:r>
      <w:r w:rsidRPr="00181CF2">
        <w:rPr>
          <w:rFonts w:ascii="Arial" w:hAnsi="Arial" w:cs="Arial"/>
          <w:lang w:val="en-GB"/>
        </w:rPr>
        <w:t xml:space="preserve">, SCMP, 30 May 1999, </w:t>
      </w:r>
      <w:r w:rsidRPr="0028108F">
        <w:rPr>
          <w:rFonts w:ascii="Arial" w:hAnsi="Arial" w:cs="Arial"/>
          <w:lang w:val="en-GB"/>
        </w:rPr>
        <w:t>at 1, referring to the first married person to go through the Gender Reassignment Programme.</w:t>
      </w:r>
    </w:p>
  </w:footnote>
  <w:footnote w:id="757">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 Winter, “Lost in Transition: Transpeople, Transprejudice and Pathology in Asia”</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International Journal of Human Rights</w:t>
      </w:r>
      <w:r w:rsidRPr="00181CF2">
        <w:rPr>
          <w:rFonts w:ascii="Arial" w:hAnsi="Arial" w:cs="Arial"/>
          <w:lang w:val="en-GB"/>
        </w:rPr>
        <w:t>, 13,</w:t>
      </w:r>
      <w:r>
        <w:rPr>
          <w:rFonts w:ascii="Arial" w:hAnsi="Arial" w:cs="Arial"/>
          <w:lang w:val="en-GB"/>
        </w:rPr>
        <w:t xml:space="preserve"> </w:t>
      </w:r>
      <w:r w:rsidRPr="00181CF2">
        <w:rPr>
          <w:rFonts w:ascii="Arial" w:hAnsi="Arial" w:cs="Arial"/>
          <w:lang w:val="en-GB"/>
        </w:rPr>
        <w:t xml:space="preserve">2/3: </w:t>
      </w:r>
      <w:r w:rsidRPr="0028108F">
        <w:rPr>
          <w:rFonts w:ascii="Arial" w:hAnsi="Arial" w:cs="Arial"/>
          <w:lang w:val="en-GB"/>
        </w:rPr>
        <w:t>at 365 to 390, 2009.</w:t>
      </w:r>
    </w:p>
  </w:footnote>
  <w:footnote w:id="758">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Amnesty International, 2014, “</w:t>
      </w:r>
      <w:r w:rsidRPr="0028108F">
        <w:rPr>
          <w:rFonts w:ascii="Arial" w:hAnsi="Arial" w:cs="Arial"/>
          <w:color w:val="0D0D0D" w:themeColor="text1" w:themeTint="F2"/>
          <w:kern w:val="0"/>
          <w:lang w:val="en-GB"/>
        </w:rPr>
        <w:t>The State Decides Who I Am: Lack of Recognition For Transgender People”</w:t>
      </w:r>
      <w:r w:rsidRPr="00181CF2">
        <w:rPr>
          <w:rFonts w:ascii="Arial" w:hAnsi="Arial" w:cs="Arial"/>
          <w:lang w:val="en-GB"/>
        </w:rPr>
        <w:t>,</w:t>
      </w:r>
      <w:r>
        <w:rPr>
          <w:rFonts w:ascii="Arial" w:hAnsi="Arial" w:cs="Arial"/>
          <w:lang w:val="en-GB"/>
        </w:rPr>
        <w:t xml:space="preserve"> </w:t>
      </w:r>
      <w:r w:rsidRPr="0028108F">
        <w:rPr>
          <w:rFonts w:ascii="Arial" w:hAnsi="Arial" w:cs="Arial"/>
          <w:lang w:val="en-GB"/>
        </w:rPr>
        <w:t xml:space="preserve">Chapter 1 (legal gender recognition and human rights), at 26; see also Athena Liu, “The Legal Status </w:t>
      </w:r>
      <w:r>
        <w:rPr>
          <w:rFonts w:ascii="Arial" w:hAnsi="Arial" w:cs="Arial"/>
          <w:lang w:val="en-GB"/>
        </w:rPr>
        <w:t xml:space="preserve">Of Transgender And Transsexual </w:t>
      </w:r>
      <w:r>
        <w:rPr>
          <w:rFonts w:ascii="Arial" w:hAnsi="Arial" w:cs="Arial" w:hint="eastAsia"/>
          <w:lang w:val="en-GB" w:eastAsia="zh-TW"/>
        </w:rPr>
        <w:t>P</w:t>
      </w:r>
      <w:r w:rsidRPr="0028108F">
        <w:rPr>
          <w:rFonts w:ascii="Arial" w:hAnsi="Arial" w:cs="Arial"/>
          <w:lang w:val="en-GB"/>
        </w:rPr>
        <w:t>ersons In Hong Kong”</w:t>
      </w:r>
      <w:r w:rsidRPr="00181CF2">
        <w:rPr>
          <w:rFonts w:ascii="Arial" w:hAnsi="Arial" w:cs="Arial"/>
          <w:lang w:val="en-GB"/>
        </w:rPr>
        <w:t>,</w:t>
      </w:r>
      <w:r w:rsidRPr="00C57CE1">
        <w:rPr>
          <w:rFonts w:ascii="Arial" w:hAnsi="Arial" w:cs="Arial"/>
          <w:lang w:val="en-GB"/>
        </w:rPr>
        <w:t xml:space="preserve"> in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351.</w:t>
      </w:r>
    </w:p>
  </w:footnote>
  <w:footnote w:id="759">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1 BvL 10/05, Federal Constitutional Court of Germany (27 May 2008).  The Federal Constitutional Court found this created a conflict between a person’s right to marry and their privacy, which included their self-determined gender identity.  Subsequent to the judgment, an amendment to the law was passed on 17 July 2009, removing a previous requirement to be unmarried from the legislation: see Bundesgesetzblatt Jahrgang 2009, Teil 1, Nr. 43, on 22 July 2009, p</w:t>
      </w:r>
      <w:r w:rsidRPr="0028108F">
        <w:rPr>
          <w:rFonts w:ascii="Arial" w:hAnsi="Arial" w:cs="Arial"/>
          <w:lang w:val="en-GB" w:eastAsia="zh-TW"/>
        </w:rPr>
        <w:t xml:space="preserve">. </w:t>
      </w:r>
      <w:r w:rsidRPr="0028108F">
        <w:rPr>
          <w:rFonts w:ascii="Arial" w:hAnsi="Arial" w:cs="Arial"/>
          <w:lang w:val="en-GB"/>
        </w:rPr>
        <w:t>1978, Gesetz zur Aenderung des Transsexuellengesetzes (</w:t>
      </w:r>
      <w:r w:rsidRPr="0028108F">
        <w:rPr>
          <w:rFonts w:ascii="Arial" w:hAnsi="Arial" w:cs="Arial"/>
          <w:i/>
          <w:lang w:val="en-GB"/>
        </w:rPr>
        <w:t>Transsexuellengesetz-Änderungsgesetz – TAG-ÄndG</w:t>
      </w:r>
      <w:r w:rsidRPr="0028108F">
        <w:rPr>
          <w:rFonts w:ascii="Arial" w:hAnsi="Arial" w:cs="Arial"/>
          <w:lang w:val="en-GB"/>
        </w:rPr>
        <w:t>) 17 July 2009.</w:t>
      </w:r>
    </w:p>
  </w:footnote>
  <w:footnote w:id="760">
    <w:p w:rsidR="0022178B" w:rsidRPr="0028108F" w:rsidRDefault="0022178B" w:rsidP="00CA234A">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 xml:space="preserve">See </w:t>
      </w:r>
      <w:r w:rsidRPr="0028108F">
        <w:rPr>
          <w:rFonts w:ascii="Arial" w:hAnsi="Arial" w:cs="Arial"/>
          <w:lang w:val="en-GB"/>
        </w:rPr>
        <w:t>Centre for Medical Ethics and Law, Faculty of Law of the University of Hong Kong, “Submission to the Legislative Council and the Security Bureau of the Hong Kong SAR on the Legal Status of Transsexual and Transgender Persons in Hong Kong</w:t>
      </w:r>
      <w:r w:rsidRPr="00181CF2">
        <w:rPr>
          <w:rFonts w:ascii="Arial" w:hAnsi="Arial" w:cs="Arial"/>
          <w:lang w:val="en-GB"/>
        </w:rPr>
        <w:t>”</w:t>
      </w:r>
      <w:r w:rsidRPr="00C57CE1">
        <w:rPr>
          <w:rFonts w:ascii="Arial" w:hAnsi="Arial" w:cs="Arial"/>
          <w:lang w:val="en-GB"/>
        </w:rPr>
        <w:t xml:space="preserve"> [in Relation to the M</w:t>
      </w:r>
      <w:r w:rsidRPr="0028108F">
        <w:rPr>
          <w:rFonts w:ascii="Arial" w:hAnsi="Arial" w:cs="Arial"/>
          <w:lang w:val="en-GB"/>
        </w:rPr>
        <w:t>arriage (Amendment) Bill 2014] (Occasional Paper No 1, March 2014</w:t>
      </w:r>
      <w:r>
        <w:rPr>
          <w:rFonts w:ascii="Arial" w:hAnsi="Arial" w:cs="Arial" w:hint="eastAsia"/>
          <w:lang w:val="en-GB" w:eastAsia="zh-TW"/>
        </w:rPr>
        <w:t xml:space="preserve">; </w:t>
      </w:r>
      <w:r w:rsidRPr="0028108F">
        <w:rPr>
          <w:rFonts w:ascii="Arial" w:hAnsi="Arial" w:cs="Arial"/>
          <w:lang w:val="en-GB"/>
        </w:rPr>
        <w:t>LC Paper No. CB(2)1052/13-14(01)</w:t>
      </w:r>
      <w:r>
        <w:rPr>
          <w:rFonts w:ascii="Arial" w:hAnsi="Arial" w:cs="Arial" w:hint="eastAsia"/>
          <w:lang w:val="en-GB" w:eastAsia="zh-TW"/>
        </w:rPr>
        <w:t>)</w:t>
      </w:r>
      <w:r w:rsidRPr="00181CF2">
        <w:rPr>
          <w:rFonts w:ascii="Arial" w:hAnsi="Arial" w:cs="Arial"/>
          <w:lang w:val="en-US"/>
        </w:rPr>
        <w:t xml:space="preserve">, at </w:t>
      </w:r>
      <w:r w:rsidRPr="0028108F">
        <w:rPr>
          <w:rFonts w:ascii="Arial" w:hAnsi="Arial" w:cs="Arial"/>
          <w:lang w:val="en-US"/>
        </w:rPr>
        <w:t>3</w:t>
      </w:r>
      <w:r w:rsidRPr="0028108F">
        <w:rPr>
          <w:rFonts w:ascii="Arial" w:hAnsi="Arial" w:cs="Arial"/>
          <w:lang w:val="en-GB"/>
        </w:rPr>
        <w:t xml:space="preserve">. </w:t>
      </w:r>
    </w:p>
  </w:footnote>
  <w:footnote w:id="761">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Hiroyuki Taniguchi, PhD, “Japan’s 2003 Gender Identity Disorder Act: The Sex Reassignment Surgery, No Marriage, and No Child Requirements as Perpetuations of Gender Norms in Japan”</w:t>
      </w:r>
      <w:r w:rsidRPr="00181CF2">
        <w:rPr>
          <w:rFonts w:ascii="Arial" w:hAnsi="Arial" w:cs="Arial"/>
          <w:lang w:val="en-GB"/>
        </w:rPr>
        <w:t>,</w:t>
      </w:r>
      <w:r w:rsidRPr="00C57CE1">
        <w:rPr>
          <w:rFonts w:ascii="Arial" w:hAnsi="Arial" w:cs="Arial"/>
          <w:lang w:val="en-GB"/>
        </w:rPr>
        <w:t xml:space="preserve"> </w:t>
      </w:r>
      <w:r w:rsidRPr="0028108F">
        <w:rPr>
          <w:rFonts w:ascii="Arial" w:hAnsi="Arial" w:cs="Arial"/>
          <w:i/>
          <w:lang w:val="en-GB"/>
        </w:rPr>
        <w:t>Asian-Pacific Law &amp; Policy Journal</w:t>
      </w:r>
      <w:r w:rsidRPr="00181CF2">
        <w:rPr>
          <w:rFonts w:ascii="Arial" w:hAnsi="Arial" w:cs="Arial"/>
          <w:lang w:val="en-GB"/>
        </w:rPr>
        <w:t xml:space="preserve">, </w:t>
      </w:r>
      <w:r w:rsidRPr="00C57CE1">
        <w:rPr>
          <w:rFonts w:ascii="Arial" w:hAnsi="Arial" w:cs="Arial"/>
          <w:lang w:val="en-GB"/>
        </w:rPr>
        <w:t>Volume 14, Issue 2,</w:t>
      </w:r>
      <w:r w:rsidRPr="0028108F">
        <w:rPr>
          <w:rFonts w:ascii="Arial" w:hAnsi="Arial" w:cs="Arial"/>
          <w:lang w:val="en-GB"/>
        </w:rPr>
        <w:t xml:space="preserve"> at 113</w:t>
      </w:r>
      <w:r>
        <w:rPr>
          <w:rFonts w:ascii="Arial" w:hAnsi="Arial" w:cs="Arial" w:hint="eastAsia"/>
          <w:lang w:val="en-GB" w:eastAsia="zh-TW"/>
        </w:rPr>
        <w:t xml:space="preserve">, </w:t>
      </w:r>
      <w:r w:rsidRPr="0028108F">
        <w:rPr>
          <w:rFonts w:ascii="Arial" w:hAnsi="Arial" w:cs="Arial"/>
          <w:lang w:val="en-GB"/>
        </w:rPr>
        <w:t>available at:</w:t>
      </w:r>
    </w:p>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93" w:history="1">
        <w:r w:rsidRPr="0028108F">
          <w:rPr>
            <w:rStyle w:val="Hyperlink"/>
            <w:rFonts w:ascii="Arial" w:hAnsi="Arial" w:cs="Arial"/>
            <w:lang w:val="en-GB"/>
          </w:rPr>
          <w:t>http://blog.hawaii.edu/aplpj/files/2013/02/APLPJ_14.2_Taniguchi.pdf</w:t>
        </w:r>
      </w:hyperlink>
      <w:r w:rsidRPr="0028108F">
        <w:rPr>
          <w:rFonts w:ascii="Arial" w:hAnsi="Arial" w:cs="Arial"/>
          <w:lang w:val="en-GB"/>
        </w:rPr>
        <w:t xml:space="preserve">.  </w:t>
      </w:r>
    </w:p>
  </w:footnote>
  <w:footnote w:id="762">
    <w:p w:rsidR="0022178B" w:rsidRPr="0028108F" w:rsidRDefault="0022178B" w:rsidP="00C652F7">
      <w:pPr>
        <w:pStyle w:val="FootnoteText"/>
        <w:tabs>
          <w:tab w:val="left" w:pos="851"/>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HL Deb 13 January 2004 c 44GC.</w:t>
      </w:r>
    </w:p>
  </w:footnote>
  <w:footnote w:id="763">
    <w:p w:rsidR="0022178B" w:rsidRPr="00C57CE1" w:rsidRDefault="0022178B" w:rsidP="00961014">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Peter Dunne, “Divorce in the Gender Recognition Bill 2013”</w:t>
      </w:r>
      <w:r w:rsidRPr="00181CF2">
        <w:rPr>
          <w:rFonts w:ascii="Arial" w:hAnsi="Arial" w:cs="Arial"/>
          <w:lang w:val="en-GB"/>
        </w:rPr>
        <w:t xml:space="preserve"> (2014) 32(1) </w:t>
      </w:r>
      <w:r w:rsidRPr="0028108F">
        <w:rPr>
          <w:rFonts w:ascii="Arial" w:hAnsi="Arial" w:cs="Arial"/>
          <w:i/>
          <w:lang w:val="en-GB"/>
        </w:rPr>
        <w:t>Irish Law Times</w:t>
      </w:r>
      <w:r w:rsidRPr="00181CF2">
        <w:rPr>
          <w:rFonts w:ascii="Arial" w:hAnsi="Arial" w:cs="Arial"/>
          <w:lang w:val="en-GB"/>
        </w:rPr>
        <w:t xml:space="preserve"> 70.</w:t>
      </w:r>
    </w:p>
  </w:footnote>
  <w:footnote w:id="764">
    <w:p w:rsidR="0022178B" w:rsidRPr="00852612" w:rsidRDefault="0022178B">
      <w:pPr>
        <w:pStyle w:val="FootnoteText"/>
        <w:tabs>
          <w:tab w:val="left" w:pos="709"/>
        </w:tabs>
        <w:ind w:left="709" w:hanging="709"/>
        <w:jc w:val="both"/>
        <w:rPr>
          <w:rFonts w:ascii="Arial" w:hAnsi="Arial" w:cs="Arial"/>
          <w:lang w:val="en-GB"/>
        </w:rPr>
      </w:pPr>
      <w:r w:rsidRPr="00852612">
        <w:rPr>
          <w:rFonts w:ascii="Arial" w:hAnsi="Arial" w:cs="Arial"/>
          <w:lang w:val="en-GB"/>
        </w:rPr>
        <w:footnoteRef/>
      </w:r>
      <w:r w:rsidRPr="00852612">
        <w:rPr>
          <w:rFonts w:ascii="Arial" w:hAnsi="Arial" w:cs="Arial"/>
          <w:lang w:val="en-GB"/>
        </w:rPr>
        <w:t xml:space="preserve"> </w:t>
      </w:r>
      <w:r w:rsidRPr="0011697F">
        <w:rPr>
          <w:rFonts w:ascii="Arial" w:hAnsi="Arial" w:cs="Arial"/>
          <w:color w:val="000000" w:themeColor="text1"/>
          <w:lang w:val="en-GB"/>
        </w:rPr>
        <w:tab/>
        <w:t>[2016] UKSC 53; [2017] 1 C.M.L.R. 13.</w:t>
      </w:r>
    </w:p>
  </w:footnote>
  <w:footnote w:id="765">
    <w:p w:rsidR="0022178B" w:rsidRPr="00852612" w:rsidRDefault="0022178B" w:rsidP="008813DE">
      <w:pPr>
        <w:pStyle w:val="FootnoteText"/>
        <w:tabs>
          <w:tab w:val="left" w:pos="709"/>
        </w:tabs>
        <w:ind w:left="708" w:hangingChars="354" w:hanging="708"/>
        <w:jc w:val="both"/>
        <w:rPr>
          <w:rFonts w:ascii="Arial" w:hAnsi="Arial" w:cs="Arial"/>
          <w:lang w:val="en-US"/>
        </w:rPr>
      </w:pPr>
      <w:r w:rsidRPr="00852612">
        <w:rPr>
          <w:rStyle w:val="FootnoteReference"/>
          <w:rFonts w:ascii="Arial" w:hAnsi="Arial" w:cs="Arial"/>
          <w:vertAlign w:val="baseline"/>
        </w:rPr>
        <w:footnoteRef/>
      </w:r>
      <w:r w:rsidRPr="00852612">
        <w:rPr>
          <w:rFonts w:ascii="Arial" w:hAnsi="Arial" w:cs="Arial"/>
        </w:rPr>
        <w:t xml:space="preserve"> </w:t>
      </w:r>
      <w:r w:rsidRPr="00852612">
        <w:rPr>
          <w:rFonts w:ascii="Arial" w:hAnsi="Arial" w:cs="Arial"/>
          <w:lang w:val="en-US"/>
        </w:rPr>
        <w:tab/>
      </w:r>
      <w:r w:rsidRPr="00852612">
        <w:rPr>
          <w:rFonts w:ascii="Arial" w:hAnsi="Arial" w:cs="Arial"/>
          <w:lang w:val="en-GB"/>
        </w:rPr>
        <w:t>The law concerning marriage subsequently changed to allow transsexuals to obtain a full gender recognition certificate without having to have their marriage annulled, but without retrospective effect.</w:t>
      </w:r>
    </w:p>
  </w:footnote>
  <w:footnote w:id="766">
    <w:p w:rsidR="0022178B" w:rsidRPr="00852612" w:rsidRDefault="0022178B" w:rsidP="00604960">
      <w:pPr>
        <w:pStyle w:val="FootnoteText"/>
        <w:tabs>
          <w:tab w:val="left" w:pos="709"/>
        </w:tabs>
        <w:ind w:left="786" w:hangingChars="393" w:hanging="786"/>
        <w:jc w:val="both"/>
        <w:rPr>
          <w:rFonts w:ascii="Arial" w:hAnsi="Arial" w:cs="Arial"/>
          <w:lang w:val="en-GB"/>
        </w:rPr>
      </w:pPr>
      <w:r w:rsidRPr="00852612">
        <w:rPr>
          <w:rFonts w:ascii="Arial" w:hAnsi="Arial" w:cs="Arial"/>
          <w:lang w:val="en-GB"/>
        </w:rPr>
        <w:footnoteRef/>
      </w:r>
      <w:r w:rsidRPr="00852612">
        <w:rPr>
          <w:rFonts w:ascii="Arial" w:hAnsi="Arial" w:cs="Arial"/>
          <w:lang w:val="en-GB"/>
        </w:rPr>
        <w:t xml:space="preserve"> </w:t>
      </w:r>
      <w:r w:rsidRPr="00852612">
        <w:rPr>
          <w:rFonts w:ascii="Arial" w:hAnsi="Arial" w:cs="Arial"/>
          <w:lang w:val="en-GB"/>
        </w:rPr>
        <w:tab/>
        <w:t>HL Deb 29 January 2004 c395.</w:t>
      </w:r>
    </w:p>
  </w:footnote>
  <w:footnote w:id="767">
    <w:p w:rsidR="0022178B" w:rsidRPr="00852612" w:rsidRDefault="0022178B" w:rsidP="00961014">
      <w:pPr>
        <w:pStyle w:val="FootnoteText"/>
        <w:tabs>
          <w:tab w:val="left" w:pos="709"/>
        </w:tabs>
        <w:ind w:left="709" w:hanging="709"/>
        <w:jc w:val="both"/>
        <w:rPr>
          <w:rFonts w:ascii="Arial" w:hAnsi="Arial" w:cs="Arial"/>
          <w:lang w:val="en-GB"/>
        </w:rPr>
      </w:pPr>
      <w:r w:rsidRPr="00852612">
        <w:rPr>
          <w:rFonts w:ascii="Arial" w:hAnsi="Arial" w:cs="Arial"/>
          <w:lang w:val="en-GB"/>
        </w:rPr>
        <w:footnoteRef/>
      </w:r>
      <w:r w:rsidRPr="00852612">
        <w:rPr>
          <w:rFonts w:ascii="Arial" w:hAnsi="Arial" w:cs="Arial"/>
          <w:lang w:val="en-GB"/>
        </w:rPr>
        <w:t xml:space="preserve"> </w:t>
      </w:r>
      <w:r w:rsidRPr="00852612">
        <w:rPr>
          <w:rFonts w:ascii="Arial" w:hAnsi="Arial" w:cs="Arial"/>
          <w:lang w:val="en-GB"/>
        </w:rPr>
        <w:tab/>
        <w:t xml:space="preserve">Examples are Austria, the Netherlands, Spain, Manitoba (Canada). </w:t>
      </w:r>
    </w:p>
  </w:footnote>
  <w:footnote w:id="768">
    <w:p w:rsidR="0022178B" w:rsidRPr="00852612" w:rsidRDefault="0022178B" w:rsidP="00604960">
      <w:pPr>
        <w:pStyle w:val="FootnoteText"/>
        <w:tabs>
          <w:tab w:val="left" w:pos="709"/>
        </w:tabs>
        <w:ind w:left="708" w:hangingChars="354" w:hanging="708"/>
        <w:jc w:val="both"/>
        <w:rPr>
          <w:rFonts w:ascii="Arial" w:hAnsi="Arial" w:cs="Arial"/>
          <w:lang w:val="en-GB"/>
        </w:rPr>
      </w:pPr>
      <w:r w:rsidRPr="00852612">
        <w:rPr>
          <w:rStyle w:val="FootnoteReference"/>
          <w:rFonts w:ascii="Arial" w:hAnsi="Arial" w:cs="Arial"/>
          <w:vertAlign w:val="baseline"/>
          <w:lang w:val="en-GB"/>
        </w:rPr>
        <w:footnoteRef/>
      </w:r>
      <w:r w:rsidRPr="00852612">
        <w:rPr>
          <w:rFonts w:ascii="Arial" w:hAnsi="Arial" w:cs="Arial"/>
          <w:lang w:val="en-GB"/>
        </w:rPr>
        <w:t xml:space="preserve"> </w:t>
      </w:r>
      <w:r w:rsidRPr="00852612">
        <w:rPr>
          <w:rFonts w:ascii="Arial" w:hAnsi="Arial" w:cs="Arial"/>
          <w:lang w:val="en-GB"/>
        </w:rPr>
        <w:tab/>
        <w:t>Thomas Hammarberg, “Human Rights and Gender Identity”, CommDH/IssuePaper (2009) 2, at 23.</w:t>
      </w:r>
    </w:p>
  </w:footnote>
  <w:footnote w:id="769">
    <w:p w:rsidR="0022178B" w:rsidRPr="00852612" w:rsidRDefault="0022178B" w:rsidP="00604960">
      <w:pPr>
        <w:pStyle w:val="FootnoteText"/>
        <w:tabs>
          <w:tab w:val="left" w:pos="709"/>
        </w:tabs>
        <w:ind w:left="786" w:hangingChars="393" w:hanging="786"/>
        <w:jc w:val="both"/>
        <w:rPr>
          <w:rFonts w:ascii="Arial" w:hAnsi="Arial" w:cs="Arial"/>
          <w:lang w:val="en-GB"/>
        </w:rPr>
      </w:pPr>
      <w:r w:rsidRPr="00852612">
        <w:rPr>
          <w:rStyle w:val="FootnoteReference"/>
          <w:rFonts w:ascii="Arial" w:hAnsi="Arial" w:cs="Arial"/>
          <w:vertAlign w:val="baseline"/>
          <w:lang w:val="en-GB"/>
        </w:rPr>
        <w:footnoteRef/>
      </w:r>
      <w:r w:rsidRPr="00852612">
        <w:rPr>
          <w:rFonts w:ascii="Arial" w:hAnsi="Arial" w:cs="Arial"/>
          <w:lang w:val="en-GB"/>
        </w:rPr>
        <w:t xml:space="preserve"> </w:t>
      </w:r>
      <w:r w:rsidRPr="00852612">
        <w:rPr>
          <w:rFonts w:ascii="Arial" w:hAnsi="Arial" w:cs="Arial"/>
          <w:lang w:val="en-GB"/>
        </w:rPr>
        <w:tab/>
        <w:t>No 170 [2014], 11 June 2014.</w:t>
      </w:r>
    </w:p>
  </w:footnote>
  <w:footnote w:id="770">
    <w:p w:rsidR="0022178B" w:rsidRPr="0028108F" w:rsidRDefault="0022178B" w:rsidP="00961014">
      <w:pPr>
        <w:pStyle w:val="FootnoteText"/>
        <w:tabs>
          <w:tab w:val="left" w:pos="709"/>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 xml:space="preserve">(1st ed, December 2015), at 636.  A number of criticisms were raised against the reasoning in </w:t>
      </w:r>
      <w:r w:rsidRPr="0028108F">
        <w:rPr>
          <w:rFonts w:ascii="Arial" w:hAnsi="Arial" w:cs="Arial"/>
          <w:i/>
          <w:color w:val="000000" w:themeColor="text1"/>
          <w:lang w:val="en-GB"/>
        </w:rPr>
        <w:t xml:space="preserve">Hämäläinen v Finland </w:t>
      </w:r>
      <w:r>
        <w:rPr>
          <w:rFonts w:ascii="Arial" w:hAnsi="Arial" w:cs="Arial"/>
          <w:color w:val="000000" w:themeColor="text1"/>
          <w:lang w:val="en-GB"/>
        </w:rPr>
        <w:t>in the same literature, at 636</w:t>
      </w:r>
      <w:r w:rsidRPr="0028108F">
        <w:rPr>
          <w:rFonts w:ascii="Arial" w:hAnsi="Arial" w:cs="Arial"/>
          <w:color w:val="000000" w:themeColor="text1"/>
          <w:lang w:val="en-GB"/>
        </w:rPr>
        <w:t xml:space="preserve"> to 637.</w:t>
      </w:r>
    </w:p>
  </w:footnote>
  <w:footnote w:id="771">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Human Rights Committee, “Concluding observations on the fourth periodic report of Ireland”</w:t>
      </w:r>
      <w:r w:rsidRPr="00181CF2">
        <w:rPr>
          <w:rFonts w:ascii="Arial" w:hAnsi="Arial" w:cs="Arial"/>
          <w:lang w:val="en-GB"/>
        </w:rPr>
        <w:t xml:space="preserve">, CCPR/C/IRL/CO/4, </w:t>
      </w:r>
      <w:r w:rsidRPr="0028108F">
        <w:rPr>
          <w:rFonts w:ascii="Arial" w:hAnsi="Arial" w:cs="Arial"/>
          <w:lang w:val="en-GB"/>
        </w:rPr>
        <w:t>paragraph 7.</w:t>
      </w:r>
    </w:p>
  </w:footnote>
  <w:footnote w:id="772">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Thomas Hammarberg, “Human Rights and Gender Identity”</w:t>
      </w:r>
      <w:r w:rsidRPr="00181CF2">
        <w:rPr>
          <w:rFonts w:ascii="Arial" w:hAnsi="Arial" w:cs="Arial"/>
          <w:lang w:val="en-GB"/>
        </w:rPr>
        <w:t>,</w:t>
      </w:r>
      <w:r w:rsidRPr="00C57CE1">
        <w:rPr>
          <w:rFonts w:ascii="Arial" w:hAnsi="Arial" w:cs="Arial"/>
          <w:lang w:val="en-GB"/>
        </w:rPr>
        <w:t xml:space="preserve"> CommDH/IssuePaper</w:t>
      </w:r>
      <w:r w:rsidRPr="0028108F">
        <w:rPr>
          <w:rFonts w:ascii="Arial" w:hAnsi="Arial" w:cs="Arial"/>
          <w:lang w:val="en-GB"/>
        </w:rPr>
        <w:t xml:space="preserve"> (2009) 2, paragraph 3.2.2, at 22.</w:t>
      </w:r>
    </w:p>
  </w:footnote>
  <w:footnote w:id="773">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Letter from Nils Muižnieks, Council of Europe Commissioner for Human Rights, to Joan Burton, Minister for Social Protection of Ireland, CommDH (2012)37, dated 6 December 2012.</w:t>
      </w:r>
    </w:p>
  </w:footnote>
  <w:footnote w:id="774">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Athena Liu, “The Legal Status Of Transgender And Transsexual </w:t>
      </w:r>
      <w:r>
        <w:rPr>
          <w:rFonts w:ascii="Arial" w:hAnsi="Arial" w:cs="Arial" w:hint="eastAsia"/>
          <w:lang w:val="en-GB" w:eastAsia="zh-TW"/>
        </w:rPr>
        <w:t>P</w:t>
      </w:r>
      <w:r w:rsidRPr="0028108F">
        <w:rPr>
          <w:rFonts w:ascii="Arial" w:hAnsi="Arial" w:cs="Arial"/>
          <w:lang w:val="en-GB"/>
        </w:rPr>
        <w:t>ersons In Hong Kong”</w:t>
      </w:r>
      <w:r w:rsidRPr="00181CF2">
        <w:rPr>
          <w:rFonts w:ascii="Arial" w:hAnsi="Arial" w:cs="Arial"/>
          <w:lang w:val="en-GB"/>
        </w:rPr>
        <w:t xml:space="preserve">, in </w:t>
      </w:r>
      <w:r w:rsidRPr="00C57CE1">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351 and 361.</w:t>
      </w:r>
    </w:p>
  </w:footnote>
  <w:footnote w:id="775">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lang w:val="en-GB" w:eastAsia="zh-TW"/>
        </w:rPr>
        <w:t>eg</w:t>
      </w:r>
      <w:r w:rsidRPr="0028108F">
        <w:rPr>
          <w:rFonts w:ascii="Arial" w:hAnsi="Arial" w:cs="Arial"/>
          <w:lang w:val="en-GB"/>
        </w:rPr>
        <w:t xml:space="preserve">, G Turan Basara, </w:t>
      </w:r>
      <w:r w:rsidRPr="0028108F">
        <w:rPr>
          <w:rFonts w:ascii="Arial" w:hAnsi="Arial" w:cs="Arial"/>
          <w:i/>
          <w:lang w:val="en-GB"/>
        </w:rPr>
        <w:t xml:space="preserve">Türk Medenî Kanunu’nun 40’inci Maddesi Kapsaminda Cinsiyet Degisikligi ve Hukuki Sonuclari’ </w:t>
      </w:r>
      <w:r w:rsidRPr="0028108F">
        <w:rPr>
          <w:rFonts w:ascii="Arial" w:hAnsi="Arial" w:cs="Arial"/>
          <w:lang w:val="en-GB"/>
        </w:rPr>
        <w:t xml:space="preserve">[Legal Consequences of Gender Change According to Article 40 of Turkish Civil Code] (2012) TBBD, at 245, 255 to 256. </w:t>
      </w:r>
    </w:p>
  </w:footnote>
  <w:footnote w:id="776">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Yuko Nishitani,</w:t>
      </w:r>
      <w:r w:rsidRPr="0028108F">
        <w:rPr>
          <w:rFonts w:ascii="Arial" w:hAnsi="Arial" w:cs="Arial"/>
          <w:i/>
          <w:lang w:val="en-GB"/>
        </w:rPr>
        <w:t xml:space="preserve"> </w:t>
      </w:r>
      <w:r w:rsidRPr="0028108F">
        <w:rPr>
          <w:rFonts w:ascii="Arial" w:hAnsi="Arial" w:cs="Arial"/>
          <w:lang w:val="en-GB"/>
        </w:rPr>
        <w:t>“The Legal Status of Transsexual and Transgender Persons in Japan”</w:t>
      </w:r>
      <w:r w:rsidRPr="00181CF2">
        <w:rPr>
          <w:rFonts w:ascii="Arial" w:hAnsi="Arial" w:cs="Arial"/>
          <w:lang w:val="en-GB"/>
        </w:rPr>
        <w:t xml:space="preserve">, in </w:t>
      </w:r>
      <w:r w:rsidRPr="00C57CE1">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376.</w:t>
      </w:r>
    </w:p>
  </w:footnote>
  <w:footnote w:id="77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C Nono (ed), </w:t>
      </w:r>
      <w:r w:rsidRPr="0028108F">
        <w:rPr>
          <w:rFonts w:ascii="Arial" w:hAnsi="Arial" w:cs="Arial"/>
          <w:i/>
          <w:lang w:val="en-GB"/>
        </w:rPr>
        <w:t xml:space="preserve">Kaisetsu: Sei Dôitsusei Shôgaisha Seibetsu Toriatsukai Tokureihô </w:t>
      </w:r>
      <w:r w:rsidRPr="0028108F">
        <w:rPr>
          <w:rFonts w:ascii="Arial" w:hAnsi="Arial" w:cs="Arial"/>
          <w:lang w:val="en-GB"/>
        </w:rPr>
        <w:t>(</w:t>
      </w:r>
      <w:r w:rsidRPr="00181CF2">
        <w:rPr>
          <w:rFonts w:ascii="Arial" w:hAnsi="Arial" w:cs="Arial"/>
          <w:lang w:val="en-GB"/>
        </w:rPr>
        <w:t xml:space="preserve">in Japanese, </w:t>
      </w:r>
      <w:r w:rsidRPr="0028108F">
        <w:rPr>
          <w:rFonts w:ascii="Arial" w:hAnsi="Arial" w:cs="Arial"/>
          <w:lang w:val="en-GB"/>
        </w:rPr>
        <w:t xml:space="preserve">transliterated as “Commentary: Law Concerning Special Rules Regarding Sex Status of a Person with Gender Identity Disorder”), Nihon Kajo Shuppan, Tokyo 2004, at 90 to 91; S Ondera, </w:t>
      </w:r>
      <w:r w:rsidRPr="0028108F">
        <w:rPr>
          <w:rFonts w:ascii="Arial" w:hAnsi="Arial" w:cs="Arial"/>
          <w:i/>
          <w:lang w:val="en-GB"/>
        </w:rPr>
        <w:t xml:space="preserve">Sei Dôitsusei Shôgaisha no Seibetsu no Toriatsukai no Tokurei ni kansuru Hôritsu </w:t>
      </w:r>
      <w:r w:rsidRPr="0028108F">
        <w:rPr>
          <w:rFonts w:ascii="Arial" w:hAnsi="Arial" w:cs="Arial"/>
          <w:lang w:val="en-GB"/>
        </w:rPr>
        <w:t>(</w:t>
      </w:r>
      <w:r w:rsidRPr="00181CF2">
        <w:rPr>
          <w:rFonts w:ascii="Arial" w:hAnsi="Arial" w:cs="Arial"/>
          <w:lang w:val="en-GB"/>
        </w:rPr>
        <w:t xml:space="preserve">in Japanese, </w:t>
      </w:r>
      <w:r w:rsidRPr="00C57CE1">
        <w:rPr>
          <w:rFonts w:ascii="Arial" w:hAnsi="Arial" w:cs="Arial"/>
          <w:lang w:val="en-GB"/>
        </w:rPr>
        <w:t>transliterated as “</w:t>
      </w:r>
      <w:r w:rsidRPr="0028108F">
        <w:rPr>
          <w:rFonts w:ascii="Arial" w:hAnsi="Arial" w:cs="Arial"/>
          <w:lang w:val="en-GB"/>
        </w:rPr>
        <w:t xml:space="preserve">Law Concerning Special Rules Regarding Sex Status of a Person with Gender Identity Disorder”) [2003] 1252 </w:t>
      </w:r>
      <w:r w:rsidRPr="008813DE">
        <w:rPr>
          <w:rFonts w:ascii="Arial" w:hAnsi="Arial" w:cs="Arial"/>
          <w:lang w:val="en-GB"/>
        </w:rPr>
        <w:t>Jurist</w:t>
      </w:r>
      <w:r w:rsidRPr="0028108F">
        <w:rPr>
          <w:rFonts w:ascii="Arial" w:hAnsi="Arial" w:cs="Arial"/>
          <w:i/>
          <w:lang w:val="en-GB"/>
        </w:rPr>
        <w:t xml:space="preserve"> </w:t>
      </w:r>
      <w:r w:rsidRPr="008813DE">
        <w:rPr>
          <w:rFonts w:ascii="Arial" w:hAnsi="Arial" w:cs="Arial"/>
          <w:lang w:val="en-GB"/>
        </w:rPr>
        <w:t>68</w:t>
      </w:r>
      <w:r w:rsidRPr="0028108F">
        <w:rPr>
          <w:rFonts w:ascii="Arial" w:hAnsi="Arial" w:cs="Arial"/>
          <w:lang w:val="en-GB"/>
        </w:rPr>
        <w:t xml:space="preserve">. </w:t>
      </w:r>
    </w:p>
  </w:footnote>
  <w:footnote w:id="778">
    <w:p w:rsidR="0022178B" w:rsidRPr="0028108F" w:rsidRDefault="0022178B" w:rsidP="0028108F">
      <w:pPr>
        <w:pStyle w:val="FootnoteText"/>
        <w:tabs>
          <w:tab w:val="left" w:pos="851"/>
        </w:tabs>
        <w:ind w:left="709" w:hanging="709"/>
        <w:jc w:val="both"/>
        <w:rPr>
          <w:rFonts w:ascii="Arial" w:hAnsi="Arial" w:cs="Arial"/>
          <w:lang w:val="en-US"/>
        </w:rPr>
      </w:pPr>
      <w:r w:rsidRPr="0028108F">
        <w:rPr>
          <w:rStyle w:val="FootnoteReference"/>
          <w:rFonts w:ascii="Arial" w:hAnsi="Arial" w:cs="Arial"/>
          <w:vertAlign w:val="baseline"/>
          <w:lang w:val="en-GB"/>
        </w:rPr>
        <w:footnoteRef/>
      </w:r>
      <w:r w:rsidRPr="0028108F">
        <w:rPr>
          <w:rStyle w:val="FootnoteReference"/>
          <w:rFonts w:ascii="Arial" w:hAnsi="Arial" w:cs="Arial"/>
          <w:vertAlign w:val="baseline"/>
          <w:lang w:val="en-GB"/>
        </w:rPr>
        <w:t xml:space="preserve"> </w:t>
      </w:r>
      <w:r w:rsidRPr="0028108F">
        <w:rPr>
          <w:rStyle w:val="FootnoteReference"/>
          <w:rFonts w:ascii="Arial" w:hAnsi="Arial" w:cs="Arial"/>
          <w:vertAlign w:val="baseline"/>
          <w:lang w:val="en-GB"/>
        </w:rPr>
        <w:tab/>
      </w:r>
      <w:r w:rsidRPr="00181CF2">
        <w:rPr>
          <w:rFonts w:ascii="Arial" w:hAnsi="Arial" w:cs="Arial"/>
          <w:lang w:val="en-GB"/>
        </w:rPr>
        <w:t>Hir</w:t>
      </w:r>
      <w:r w:rsidRPr="00C57CE1">
        <w:rPr>
          <w:rFonts w:ascii="Arial" w:hAnsi="Arial" w:cs="Arial"/>
          <w:lang w:val="en-GB"/>
        </w:rPr>
        <w:t>oyuki Taniguchi, Ph</w:t>
      </w:r>
      <w:r w:rsidRPr="0028108F">
        <w:rPr>
          <w:rFonts w:ascii="Arial" w:hAnsi="Arial" w:cs="Arial"/>
          <w:lang w:val="en-GB"/>
        </w:rPr>
        <w:t>D, “Japan’s 2003 Gender Identity Disorder Act: The Sex Reassignment Surgery, No Marriage, and No Child Requirements as Perpetuations of Gender Norms in Japan”</w:t>
      </w:r>
      <w:r w:rsidRPr="00181CF2">
        <w:rPr>
          <w:rFonts w:ascii="Arial" w:hAnsi="Arial" w:cs="Arial"/>
          <w:lang w:val="en-GB"/>
        </w:rPr>
        <w:t xml:space="preserve">, </w:t>
      </w:r>
      <w:r w:rsidRPr="0028108F">
        <w:rPr>
          <w:rFonts w:ascii="Arial" w:hAnsi="Arial" w:cs="Arial"/>
          <w:i/>
          <w:lang w:val="en-GB"/>
        </w:rPr>
        <w:t>Asian-Pacific Law &amp; Policy Journal</w:t>
      </w:r>
      <w:r w:rsidRPr="00181CF2">
        <w:rPr>
          <w:rFonts w:ascii="Arial" w:hAnsi="Arial" w:cs="Arial"/>
          <w:lang w:val="en-GB"/>
        </w:rPr>
        <w:t xml:space="preserve">, </w:t>
      </w:r>
      <w:r w:rsidRPr="00C57CE1">
        <w:rPr>
          <w:rFonts w:ascii="Arial" w:hAnsi="Arial" w:cs="Arial"/>
          <w:lang w:val="en-GB"/>
        </w:rPr>
        <w:t xml:space="preserve">Volume 14, Issue 2, at </w:t>
      </w:r>
      <w:r w:rsidRPr="0028108F">
        <w:rPr>
          <w:rFonts w:ascii="Arial" w:hAnsi="Arial" w:cs="Arial"/>
          <w:lang w:val="en-GB"/>
        </w:rPr>
        <w:t>114</w:t>
      </w:r>
    </w:p>
  </w:footnote>
  <w:footnote w:id="779">
    <w:p w:rsidR="0022178B" w:rsidRPr="00C57CE1"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Appl</w:t>
      </w:r>
      <w:r w:rsidRPr="00C57CE1">
        <w:rPr>
          <w:rFonts w:ascii="Arial" w:hAnsi="Arial" w:cs="Arial"/>
          <w:lang w:val="en-GB"/>
        </w:rPr>
        <w:t>ication no. 35159/09, 30 November 2010.</w:t>
      </w:r>
    </w:p>
  </w:footnote>
  <w:footnote w:id="780">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8813DE">
        <w:rPr>
          <w:rFonts w:ascii="Arial" w:hAnsi="Arial" w:cs="Arial"/>
          <w:lang w:val="en-GB"/>
        </w:rPr>
        <w:t xml:space="preserve">See </w:t>
      </w:r>
      <w:r w:rsidRPr="00181CF2">
        <w:rPr>
          <w:rFonts w:ascii="Arial" w:hAnsi="Arial" w:cs="Arial"/>
          <w:lang w:val="en-GB"/>
        </w:rPr>
        <w:t xml:space="preserve">Richard Kohler and Julia Ehrt, </w:t>
      </w:r>
      <w:r w:rsidRPr="00C57CE1">
        <w:rPr>
          <w:rFonts w:ascii="Arial" w:hAnsi="Arial" w:cs="Arial"/>
          <w:i/>
          <w:lang w:val="en-GB"/>
        </w:rPr>
        <w:t>Legal Gender Recognition in Europe</w:t>
      </w:r>
      <w:r>
        <w:rPr>
          <w:rFonts w:ascii="Arial" w:hAnsi="Arial" w:cs="Arial" w:hint="eastAsia"/>
          <w:i/>
          <w:lang w:val="en-GB" w:eastAsia="zh-TW"/>
        </w:rPr>
        <w:t xml:space="preserve"> - </w:t>
      </w:r>
      <w:r w:rsidRPr="00C57CE1">
        <w:rPr>
          <w:rFonts w:ascii="Arial" w:hAnsi="Arial" w:cs="Arial"/>
          <w:i/>
          <w:lang w:val="en-GB"/>
        </w:rPr>
        <w:t>Toolkit, Transgender Europe</w:t>
      </w:r>
      <w:r w:rsidRPr="0028108F">
        <w:rPr>
          <w:rFonts w:ascii="Arial" w:hAnsi="Arial" w:cs="Arial"/>
          <w:lang w:val="en-GB"/>
        </w:rPr>
        <w:t xml:space="preserve">, </w:t>
      </w:r>
      <w:r>
        <w:rPr>
          <w:rFonts w:ascii="Arial" w:hAnsi="Arial" w:cs="Arial" w:hint="eastAsia"/>
          <w:lang w:val="en-GB" w:eastAsia="zh-TW"/>
        </w:rPr>
        <w:t>2nd Revised Edition, November 2016</w:t>
      </w:r>
      <w:r w:rsidRPr="0028108F">
        <w:rPr>
          <w:rFonts w:ascii="Arial" w:hAnsi="Arial" w:cs="Arial"/>
          <w:lang w:val="en-GB"/>
        </w:rPr>
        <w:t>, at</w:t>
      </w:r>
      <w:r>
        <w:rPr>
          <w:rFonts w:ascii="Arial" w:hAnsi="Arial" w:cs="Arial" w:hint="eastAsia"/>
          <w:lang w:val="en-GB" w:eastAsia="zh-TW"/>
        </w:rPr>
        <w:t xml:space="preserve"> 33</w:t>
      </w:r>
      <w:r w:rsidRPr="0028108F">
        <w:rPr>
          <w:rFonts w:ascii="Arial" w:hAnsi="Arial" w:cs="Arial"/>
          <w:lang w:val="en-GB"/>
        </w:rPr>
        <w:t>.</w:t>
      </w:r>
    </w:p>
  </w:footnote>
  <w:footnote w:id="781">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Application no. 21830/93, 22 April 1997.</w:t>
      </w:r>
    </w:p>
  </w:footnote>
  <w:footnote w:id="782">
    <w:p w:rsidR="0022178B" w:rsidRPr="0028108F"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In this case, British authori</w:t>
      </w:r>
      <w:r w:rsidRPr="00C57CE1">
        <w:rPr>
          <w:rFonts w:ascii="Arial" w:hAnsi="Arial" w:cs="Arial"/>
          <w:lang w:val="en-GB"/>
        </w:rPr>
        <w:t>ties had denied the applicant the right to register as father on the child’s birth certificate.  The transsexual applicant complained that the refusal to legally recognise the relationship between him and the child was in breach of Articles 8 and 14 of the</w:t>
      </w:r>
      <w:r w:rsidRPr="0028108F">
        <w:rPr>
          <w:rFonts w:ascii="Arial" w:hAnsi="Arial" w:cs="Arial"/>
          <w:lang w:val="en-GB"/>
        </w:rPr>
        <w:t xml:space="preserve"> ECHR.  </w:t>
      </w:r>
    </w:p>
  </w:footnote>
  <w:footnote w:id="783">
    <w:p w:rsidR="0022178B" w:rsidRPr="00181CF2" w:rsidRDefault="0022178B" w:rsidP="0028108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Article 8 of ECHR provides that</w:t>
      </w:r>
      <w:r>
        <w:rPr>
          <w:rFonts w:ascii="Arial" w:hAnsi="Arial" w:cs="Arial"/>
          <w:lang w:val="en-GB"/>
        </w:rPr>
        <w:t>:</w:t>
      </w:r>
      <w:r w:rsidRPr="0028108F">
        <w:rPr>
          <w:rFonts w:ascii="Arial" w:hAnsi="Arial" w:cs="Arial"/>
          <w:lang w:val="en-GB"/>
        </w:rPr>
        <w:t xml:space="preserve"> </w:t>
      </w:r>
    </w:p>
    <w:p w:rsidR="0022178B" w:rsidRPr="00181CF2" w:rsidRDefault="0022178B" w:rsidP="0028108F">
      <w:pPr>
        <w:pStyle w:val="FootnoteText"/>
        <w:tabs>
          <w:tab w:val="left" w:pos="851"/>
        </w:tabs>
        <w:ind w:left="1134"/>
        <w:jc w:val="both"/>
        <w:rPr>
          <w:rFonts w:ascii="Arial" w:hAnsi="Arial" w:cs="Arial"/>
          <w:i/>
          <w:lang w:val="en-GB"/>
        </w:rPr>
      </w:pPr>
      <w:r w:rsidRPr="0028108F">
        <w:rPr>
          <w:rFonts w:ascii="Arial" w:hAnsi="Arial" w:cs="Arial"/>
          <w:i/>
          <w:lang w:val="en-GB"/>
        </w:rPr>
        <w:t>“1. Everyone has the right to respect for his private and family life, his home and his correspondence.</w:t>
      </w:r>
    </w:p>
    <w:p w:rsidR="0022178B" w:rsidRPr="0028108F" w:rsidRDefault="0022178B" w:rsidP="0028108F">
      <w:pPr>
        <w:pStyle w:val="FootnoteText"/>
        <w:tabs>
          <w:tab w:val="left" w:pos="851"/>
        </w:tabs>
        <w:ind w:left="1134"/>
        <w:jc w:val="both"/>
        <w:rPr>
          <w:rFonts w:ascii="Arial" w:hAnsi="Arial" w:cs="Arial"/>
          <w:lang w:val="en-US"/>
        </w:rPr>
      </w:pPr>
      <w:r w:rsidRPr="0028108F">
        <w:rPr>
          <w:rFonts w:ascii="Arial" w:hAnsi="Arial" w:cs="Arial"/>
          <w:i/>
          <w:lang w:val="en-GB"/>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footnote>
  <w:footnote w:id="784">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[2015] EWHC 990 (Admin).</w:t>
      </w:r>
    </w:p>
  </w:footnote>
  <w:footnote w:id="785">
    <w:p w:rsidR="0022178B" w:rsidRPr="00181CF2" w:rsidRDefault="0022178B" w:rsidP="004633AF">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The claimant was born male and was married to a woman.  The couple had two naturally conceived children.  The claimant was diagnosed with gender identity disorder after the </w:t>
      </w:r>
      <w:r w:rsidRPr="00C57CE1">
        <w:rPr>
          <w:rFonts w:ascii="Arial" w:hAnsi="Arial" w:cs="Arial"/>
          <w:lang w:val="en-GB"/>
        </w:rPr>
        <w:t>birth of the first child.  Before the claimant started hormone therapy, her wife fell pregnant a second time.  Both children’s birth certificates recorded the claimant as the “</w:t>
      </w:r>
      <w:r w:rsidRPr="0028108F">
        <w:rPr>
          <w:rFonts w:ascii="Arial" w:hAnsi="Arial" w:cs="Arial"/>
          <w:i/>
          <w:lang w:val="en-GB"/>
        </w:rPr>
        <w:t>father</w:t>
      </w:r>
      <w:r w:rsidRPr="00181CF2">
        <w:rPr>
          <w:rFonts w:ascii="Arial" w:hAnsi="Arial" w:cs="Arial"/>
          <w:lang w:val="en-GB"/>
        </w:rPr>
        <w:t>”.  The claimant submitted that the requirement to identi</w:t>
      </w:r>
      <w:r w:rsidRPr="0028108F">
        <w:rPr>
          <w:rFonts w:ascii="Arial" w:hAnsi="Arial" w:cs="Arial"/>
          <w:lang w:val="en-GB" w:eastAsia="zh-TW"/>
        </w:rPr>
        <w:t>fy</w:t>
      </w:r>
      <w:r w:rsidRPr="00181CF2">
        <w:rPr>
          <w:rFonts w:ascii="Arial" w:hAnsi="Arial" w:cs="Arial"/>
          <w:lang w:val="en-GB"/>
        </w:rPr>
        <w:t xml:space="preserve"> her as the “</w:t>
      </w:r>
      <w:r w:rsidRPr="0028108F">
        <w:rPr>
          <w:rFonts w:ascii="Arial" w:hAnsi="Arial" w:cs="Arial"/>
          <w:i/>
          <w:lang w:val="en-GB"/>
        </w:rPr>
        <w:t>father</w:t>
      </w:r>
      <w:r w:rsidRPr="00181CF2">
        <w:rPr>
          <w:rFonts w:ascii="Arial" w:hAnsi="Arial" w:cs="Arial"/>
          <w:lang w:val="en-GB"/>
        </w:rPr>
        <w:t>” breached her and her children’s rights under Articles 8 and 14 of the ECHR.</w:t>
      </w:r>
    </w:p>
  </w:footnote>
  <w:footnote w:id="786">
    <w:p w:rsidR="0022178B" w:rsidRPr="0028108F" w:rsidRDefault="0022178B" w:rsidP="0028108F">
      <w:pPr>
        <w:pStyle w:val="FootnoteText"/>
        <w:tabs>
          <w:tab w:val="left" w:pos="851"/>
        </w:tabs>
        <w:ind w:left="709" w:hanging="709"/>
        <w:jc w:val="both"/>
        <w:rPr>
          <w:rFonts w:ascii="Arial" w:hAnsi="Arial" w:cs="Arial"/>
        </w:rPr>
      </w:pPr>
      <w:r w:rsidRPr="0028108F">
        <w:rPr>
          <w:rStyle w:val="FootnoteReference"/>
          <w:rFonts w:ascii="Arial" w:hAnsi="Arial" w:cs="Arial"/>
          <w:vertAlign w:val="baseline"/>
        </w:rPr>
        <w:footnoteRef/>
      </w:r>
      <w:r w:rsidRPr="0028108F">
        <w:rPr>
          <w:rFonts w:ascii="Arial" w:hAnsi="Arial" w:cs="Arial"/>
        </w:rPr>
        <w:t xml:space="preserve"> </w:t>
      </w:r>
      <w:r w:rsidRPr="0028108F">
        <w:rPr>
          <w:rFonts w:ascii="Arial" w:hAnsi="Arial" w:cs="Arial"/>
          <w:lang w:val="en-US"/>
        </w:rPr>
        <w:tab/>
      </w:r>
      <w:r w:rsidRPr="00181CF2">
        <w:rPr>
          <w:rFonts w:ascii="Arial" w:hAnsi="Arial" w:cs="Arial"/>
          <w:lang w:val="en-US"/>
        </w:rPr>
        <w:t xml:space="preserve">It is </w:t>
      </w:r>
      <w:r>
        <w:rPr>
          <w:rFonts w:ascii="Arial" w:hAnsi="Arial" w:cs="Arial" w:hint="eastAsia"/>
          <w:lang w:val="en-US" w:eastAsia="zh-TW"/>
        </w:rPr>
        <w:t>pertinent to note</w:t>
      </w:r>
      <w:r w:rsidRPr="00181CF2">
        <w:rPr>
          <w:rFonts w:ascii="Arial" w:hAnsi="Arial" w:cs="Arial"/>
          <w:lang w:val="en-US"/>
        </w:rPr>
        <w:t xml:space="preserve"> that </w:t>
      </w:r>
      <w:r w:rsidRPr="00C57CE1">
        <w:rPr>
          <w:rFonts w:ascii="Arial" w:hAnsi="Arial" w:cs="Arial"/>
          <w:lang w:val="en-GB"/>
        </w:rPr>
        <w:t xml:space="preserve">Ukraine used to require applicants for gender recognition to have no children under the age of 18.  </w:t>
      </w:r>
      <w:r w:rsidRPr="0028108F">
        <w:rPr>
          <w:rFonts w:ascii="Arial" w:hAnsi="Arial" w:cs="Arial"/>
          <w:lang w:val="en-GB"/>
        </w:rPr>
        <w:t>This requirement was abolished by the Ministry of Health of Ukraine in 30 December 2016.</w:t>
      </w:r>
    </w:p>
  </w:footnote>
  <w:footnote w:id="787">
    <w:p w:rsidR="0022178B" w:rsidRPr="0028108F" w:rsidRDefault="0022178B" w:rsidP="00961014">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Tanamura, Masayuki and Kitada, Mari, </w:t>
      </w:r>
      <w:r w:rsidRPr="00C57CE1">
        <w:rPr>
          <w:rFonts w:ascii="Arial" w:hAnsi="Arial" w:cs="Arial"/>
          <w:lang w:val="en-GB"/>
        </w:rPr>
        <w:t>“</w:t>
      </w:r>
      <w:r w:rsidRPr="0028108F">
        <w:rPr>
          <w:rFonts w:ascii="Arial" w:hAnsi="Arial" w:cs="Arial"/>
          <w:lang w:val="en-GB"/>
        </w:rPr>
        <w:t>Family Law”</w:t>
      </w:r>
      <w:r w:rsidRPr="00181CF2">
        <w:rPr>
          <w:rFonts w:ascii="Arial" w:hAnsi="Arial" w:cs="Arial"/>
          <w:lang w:val="en-GB"/>
        </w:rPr>
        <w:t xml:space="preserve"> </w:t>
      </w:r>
      <w:r w:rsidRPr="00C57CE1">
        <w:rPr>
          <w:rFonts w:ascii="Arial" w:hAnsi="Arial" w:cs="Arial"/>
          <w:lang w:val="en-GB"/>
        </w:rPr>
        <w:t xml:space="preserve">(2010) </w:t>
      </w:r>
      <w:r w:rsidRPr="0028108F">
        <w:rPr>
          <w:rFonts w:ascii="Arial" w:hAnsi="Arial" w:cs="Arial"/>
          <w:i/>
          <w:lang w:val="en-GB"/>
        </w:rPr>
        <w:t>Waseda Bulletin of Comparative Law</w:t>
      </w:r>
      <w:r w:rsidRPr="0028108F">
        <w:rPr>
          <w:rFonts w:ascii="Arial" w:hAnsi="Arial" w:cs="Arial"/>
          <w:lang w:val="en-GB"/>
        </w:rPr>
        <w:t>, Vol 28, 64 to 67, at 67 (available at:</w:t>
      </w:r>
    </w:p>
    <w:p w:rsidR="0022178B" w:rsidRPr="00181CF2"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94" w:history="1">
        <w:r w:rsidRPr="0028108F">
          <w:rPr>
            <w:rStyle w:val="Hyperlink"/>
            <w:rFonts w:ascii="Arial" w:hAnsi="Arial" w:cs="Arial"/>
            <w:lang w:val="en-GB"/>
          </w:rPr>
          <w:t>http://www.waseda.jp/hiken/jp/public/bulletin/pdf/28/ronbun/A02859211-00-000280064.pdf</w:t>
        </w:r>
      </w:hyperlink>
      <w:r w:rsidRPr="00181CF2">
        <w:rPr>
          <w:rFonts w:ascii="Arial" w:hAnsi="Arial" w:cs="Arial"/>
          <w:lang w:val="en-GB"/>
        </w:rPr>
        <w:t xml:space="preserve">). </w:t>
      </w:r>
    </w:p>
  </w:footnote>
  <w:footnote w:id="788">
    <w:p w:rsidR="0022178B" w:rsidRPr="00C57CE1" w:rsidRDefault="0022178B" w:rsidP="00604960">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 xml:space="preserve">See </w:t>
      </w:r>
      <w:r w:rsidRPr="00C57CE1">
        <w:rPr>
          <w:rFonts w:ascii="Arial" w:hAnsi="Arial" w:cs="Arial"/>
          <w:lang w:val="en-GB"/>
        </w:rPr>
        <w:t xml:space="preserve">Hiroyuki Taniguchi, Ph.D., </w:t>
      </w:r>
      <w:r w:rsidRPr="0028108F">
        <w:rPr>
          <w:rFonts w:ascii="Arial" w:hAnsi="Arial" w:cs="Arial"/>
          <w:lang w:val="en-GB"/>
        </w:rPr>
        <w:t>“Japan’s 2003 Gender Identity Disorder Act: The Sex Reassignment Surgery, No Marriage, and No Child Requirements as Perpetuations of Gender Norms in Japan”</w:t>
      </w:r>
      <w:r w:rsidRPr="00181CF2">
        <w:rPr>
          <w:rFonts w:ascii="Arial" w:hAnsi="Arial" w:cs="Arial"/>
          <w:lang w:val="en-GB"/>
        </w:rPr>
        <w:t xml:space="preserve">, </w:t>
      </w:r>
      <w:r w:rsidRPr="0028108F">
        <w:rPr>
          <w:rFonts w:ascii="Arial" w:hAnsi="Arial" w:cs="Arial"/>
          <w:i/>
          <w:lang w:val="en-GB"/>
        </w:rPr>
        <w:t>Asian-Pacific Law &amp; Policy Journal</w:t>
      </w:r>
      <w:r w:rsidRPr="00181CF2">
        <w:rPr>
          <w:rFonts w:ascii="Arial" w:hAnsi="Arial" w:cs="Arial"/>
          <w:lang w:val="en-GB"/>
        </w:rPr>
        <w:t xml:space="preserve">, </w:t>
      </w:r>
      <w:r w:rsidRPr="00C57CE1">
        <w:rPr>
          <w:rFonts w:ascii="Arial" w:hAnsi="Arial" w:cs="Arial"/>
          <w:lang w:val="en-GB"/>
        </w:rPr>
        <w:t>Volume 14, Issue 2,</w:t>
      </w:r>
      <w:r w:rsidRPr="0028108F">
        <w:rPr>
          <w:rFonts w:ascii="Arial" w:hAnsi="Arial" w:cs="Arial"/>
          <w:lang w:val="en-GB"/>
        </w:rPr>
        <w:t xml:space="preserve"> at 113 and 114</w:t>
      </w:r>
      <w:r w:rsidRPr="00C57CE1">
        <w:rPr>
          <w:rFonts w:ascii="Arial" w:hAnsi="Arial" w:cs="Arial"/>
          <w:lang w:val="en-GB"/>
        </w:rPr>
        <w:t>.</w:t>
      </w:r>
    </w:p>
  </w:footnote>
  <w:footnote w:id="789">
    <w:p w:rsidR="0022178B" w:rsidRPr="0028108F" w:rsidRDefault="0022178B" w:rsidP="00604960">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Tokyo Family Court, 30 Marc</w:t>
      </w:r>
      <w:r w:rsidRPr="00C57CE1">
        <w:rPr>
          <w:rFonts w:ascii="Arial" w:hAnsi="Arial" w:cs="Arial"/>
          <w:lang w:val="en-GB"/>
        </w:rPr>
        <w:t>h 2009, KSG 61-10, 75</w:t>
      </w:r>
      <w:r w:rsidRPr="0028108F">
        <w:rPr>
          <w:rFonts w:ascii="Arial" w:hAnsi="Arial" w:cs="Arial"/>
          <w:lang w:val="en-GB"/>
        </w:rPr>
        <w:t xml:space="preserve">. </w:t>
      </w:r>
    </w:p>
  </w:footnote>
  <w:footnote w:id="790">
    <w:p w:rsidR="0022178B" w:rsidRPr="0028108F" w:rsidRDefault="0022178B" w:rsidP="00F47842">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For example, see Patrick Jiang, “Legislating for Transgender People: a Comparative Study of the Change of Legal Gender in Hong Kong, Singapore, Japan and the United Kingdom”</w:t>
      </w:r>
      <w:r w:rsidRPr="00181CF2">
        <w:rPr>
          <w:rFonts w:ascii="Arial" w:hAnsi="Arial" w:cs="Arial"/>
          <w:lang w:val="en-GB"/>
        </w:rPr>
        <w:t xml:space="preserve"> </w:t>
      </w:r>
      <w:r w:rsidRPr="00C57CE1">
        <w:rPr>
          <w:rFonts w:ascii="Arial" w:hAnsi="Arial" w:cs="Arial"/>
          <w:lang w:val="en-GB"/>
        </w:rPr>
        <w:t xml:space="preserve">(2013) 7 </w:t>
      </w:r>
      <w:r w:rsidRPr="008813DE">
        <w:rPr>
          <w:rFonts w:ascii="Arial" w:hAnsi="Arial" w:cs="Arial"/>
          <w:lang w:val="en-GB"/>
        </w:rPr>
        <w:t>HKJLS</w:t>
      </w:r>
      <w:r w:rsidRPr="00181CF2">
        <w:rPr>
          <w:rFonts w:ascii="Arial" w:hAnsi="Arial" w:cs="Arial"/>
          <w:lang w:val="en-GB"/>
        </w:rPr>
        <w:t xml:space="preserve"> 31, at 68, where it was</w:t>
      </w:r>
      <w:r w:rsidRPr="00C57CE1">
        <w:rPr>
          <w:rFonts w:ascii="Arial" w:hAnsi="Arial" w:cs="Arial"/>
          <w:color w:val="000000" w:themeColor="text1"/>
          <w:lang w:val="en-GB"/>
        </w:rPr>
        <w:t xml:space="preserve"> argued that no actual harm would be done to a child if a parent change</w:t>
      </w:r>
      <w:r w:rsidRPr="0028108F">
        <w:rPr>
          <w:rFonts w:ascii="Arial" w:hAnsi="Arial" w:cs="Arial"/>
          <w:color w:val="000000" w:themeColor="text1"/>
          <w:lang w:val="en-GB"/>
        </w:rPr>
        <w:t>d their gender out of necessity, and the child’s interests would be better served if the parent can live a more normal life that is in conformity with their self-perceived gender.</w:t>
      </w:r>
    </w:p>
  </w:footnote>
  <w:footnote w:id="791">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M Tanaka (2010), </w:t>
      </w:r>
      <w:r w:rsidRPr="0028108F">
        <w:rPr>
          <w:rFonts w:ascii="Arial" w:hAnsi="Arial" w:cs="Arial"/>
          <w:i/>
          <w:lang w:val="en-GB"/>
        </w:rPr>
        <w:t xml:space="preserve">6 Sokuhô Hanrei Kaisetsu </w:t>
      </w:r>
      <w:r w:rsidRPr="0028108F">
        <w:rPr>
          <w:rFonts w:ascii="Arial" w:hAnsi="Arial" w:cs="Arial"/>
          <w:lang w:val="en-GB"/>
        </w:rPr>
        <w:t>115-116 (Comment on Tokyo Family Court, 30 March 2009); see also Tanamura</w:t>
      </w:r>
      <w:r w:rsidRPr="0028108F">
        <w:rPr>
          <w:rFonts w:ascii="Arial" w:hAnsi="Arial" w:cs="Arial"/>
          <w:i/>
          <w:lang w:val="en-GB"/>
        </w:rPr>
        <w:t xml:space="preserve">, Sei Dôitsusei Shôgai wo meguru Hôteki-jôkyô to Kadai </w:t>
      </w:r>
      <w:r w:rsidRPr="0028108F">
        <w:rPr>
          <w:rFonts w:ascii="Arial" w:hAnsi="Arial" w:cs="Arial"/>
          <w:lang w:val="en-GB"/>
        </w:rPr>
        <w:t xml:space="preserve">[2008] 1364 </w:t>
      </w:r>
      <w:r w:rsidRPr="008813DE">
        <w:rPr>
          <w:rFonts w:ascii="Arial" w:hAnsi="Arial" w:cs="Arial"/>
          <w:lang w:val="en-GB"/>
        </w:rPr>
        <w:t>Jurist 6-7</w:t>
      </w:r>
      <w:r w:rsidRPr="0028108F">
        <w:rPr>
          <w:rFonts w:ascii="Arial" w:hAnsi="Arial" w:cs="Arial"/>
          <w:color w:val="000000" w:themeColor="text1"/>
          <w:lang w:val="en-GB"/>
        </w:rPr>
        <w:t>.</w:t>
      </w:r>
    </w:p>
  </w:footnote>
  <w:footnote w:id="792">
    <w:p w:rsidR="0022178B" w:rsidRPr="0028108F" w:rsidRDefault="0022178B" w:rsidP="00C652F7">
      <w:pPr>
        <w:pStyle w:val="FootnoteText"/>
        <w:tabs>
          <w:tab w:val="left" w:pos="709"/>
        </w:tabs>
        <w:ind w:left="708" w:hangingChars="354" w:hanging="708"/>
        <w:jc w:val="both"/>
        <w:rPr>
          <w:rFonts w:ascii="Arial" w:hAnsi="Arial" w:cs="Arial"/>
          <w:color w:val="000000"/>
          <w:lang w:val="en-GB"/>
        </w:rPr>
      </w:pPr>
      <w:r w:rsidRPr="0028108F">
        <w:rPr>
          <w:rStyle w:val="FootnoteReference"/>
          <w:rFonts w:ascii="Arial" w:hAnsi="Arial" w:cs="Arial"/>
          <w:color w:val="000000"/>
          <w:vertAlign w:val="baseline"/>
          <w:lang w:val="en-GB"/>
        </w:rPr>
        <w:footnoteRef/>
      </w:r>
      <w:r w:rsidRPr="0028108F">
        <w:rPr>
          <w:rFonts w:ascii="Arial" w:hAnsi="Arial" w:cs="Arial"/>
          <w:color w:val="000000"/>
          <w:lang w:val="en-GB"/>
        </w:rPr>
        <w:t xml:space="preserve"> </w:t>
      </w:r>
      <w:r w:rsidRPr="0028108F">
        <w:rPr>
          <w:rFonts w:ascii="Arial" w:hAnsi="Arial" w:cs="Arial"/>
          <w:color w:val="000000"/>
          <w:lang w:val="en-GB"/>
        </w:rPr>
        <w:tab/>
        <w:t xml:space="preserve">See </w:t>
      </w:r>
      <w:r w:rsidRPr="0028108F">
        <w:rPr>
          <w:rFonts w:ascii="Arial" w:hAnsi="Arial" w:cs="Arial"/>
          <w:lang w:val="en-GB"/>
        </w:rPr>
        <w:t xml:space="preserve">Jens M Scherpe (ed), </w:t>
      </w:r>
      <w:r w:rsidRPr="0028108F">
        <w:rPr>
          <w:rFonts w:ascii="Arial" w:hAnsi="Arial" w:cs="Arial"/>
          <w:i/>
          <w:lang w:val="en-GB"/>
        </w:rPr>
        <w:t>The Legal Status of Transsexual and Transgender Persons</w:t>
      </w:r>
      <w:r w:rsidRPr="00C57CE1">
        <w:rPr>
          <w:rFonts w:ascii="Arial" w:hAnsi="Arial" w:cs="Arial"/>
          <w:lang w:val="en-GB"/>
        </w:rPr>
        <w:t xml:space="preserve"> </w:t>
      </w:r>
      <w:r w:rsidRPr="0028108F">
        <w:rPr>
          <w:rFonts w:ascii="Arial" w:hAnsi="Arial" w:cs="Arial"/>
          <w:lang w:val="en-GB"/>
        </w:rPr>
        <w:t>(1st ed, December 2015), at 638.</w:t>
      </w:r>
    </w:p>
  </w:footnote>
  <w:footnote w:id="793">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The current general practice of the Immigration Department in Hong Kong is to, for a visitor coming to Hong Kong presenting a travel document for immigration clearance, take the gender marker on that document as it is unless there is reasonable cause for suspicion of its authenticity.   </w:t>
      </w:r>
    </w:p>
  </w:footnote>
  <w:footnote w:id="794">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At present, when a foreigner is granted approval to reside in Hong Kong and applies to be registered and for an identity card in accordance with the Registration of Persons Ordinance (Cap 177) and Regulations (Cap 177A), a registration officer may require the applicant to provide, depending on the circumstances, his or her birth certificate, travel document, or identity card previously issued to him or her (if any) as identity proof.  Generally speaking, the registration officer will handle the application for registration and identity card based on the personal particulars furnished by the applicant, which should be consistent with those as reflected in the identity proof supplied. </w:t>
      </w:r>
    </w:p>
  </w:footnote>
  <w:footnote w:id="795">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Pursuant to the Gender Recognition (Approved Countries and Territories) Order 2011, available at:</w:t>
      </w:r>
    </w:p>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95" w:history="1">
        <w:r w:rsidRPr="0028108F">
          <w:rPr>
            <w:rStyle w:val="Hyperlink"/>
            <w:rFonts w:ascii="Arial" w:hAnsi="Arial" w:cs="Arial"/>
            <w:lang w:val="en-GB"/>
          </w:rPr>
          <w:t>http://www.legislation.gov.uk/uksi/2011/1630/pdfs/uksi_20111630_en.pdf</w:t>
        </w:r>
      </w:hyperlink>
      <w:r w:rsidRPr="0028108F">
        <w:rPr>
          <w:rFonts w:ascii="Arial" w:hAnsi="Arial" w:cs="Arial"/>
          <w:lang w:val="en-GB"/>
        </w:rPr>
        <w:t xml:space="preserve">. </w:t>
      </w:r>
    </w:p>
  </w:footnote>
  <w:footnote w:id="796">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Sweden Gender Recognition Act (1972: 119) as reformed in 2012, section 3. </w:t>
      </w:r>
    </w:p>
  </w:footnote>
  <w:footnote w:id="797">
    <w:p w:rsidR="0022178B" w:rsidRPr="0028108F" w:rsidRDefault="0022178B" w:rsidP="00604960">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Available at </w:t>
      </w:r>
      <w:hyperlink r:id="rId96" w:history="1">
        <w:r w:rsidRPr="0028108F">
          <w:rPr>
            <w:rStyle w:val="Hyperlink"/>
            <w:rFonts w:ascii="Arial" w:hAnsi="Arial" w:cs="Arial"/>
            <w:lang w:val="en-GB"/>
          </w:rPr>
          <w:t>http://web2.gov.mb.ca/laws/statutes/ccsm/_pdf.php?cap=v60</w:t>
        </w:r>
      </w:hyperlink>
      <w:r w:rsidRPr="0028108F">
        <w:rPr>
          <w:rFonts w:ascii="Arial" w:hAnsi="Arial" w:cs="Arial"/>
          <w:lang w:val="en-GB"/>
        </w:rPr>
        <w:t xml:space="preserve">. </w:t>
      </w:r>
    </w:p>
  </w:footnote>
  <w:footnote w:id="798">
    <w:p w:rsidR="0022178B" w:rsidRPr="0028108F" w:rsidRDefault="0022178B" w:rsidP="00F47842">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Utah Code Ann. § 26-2-11, available at:</w:t>
      </w:r>
    </w:p>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97" w:history="1">
        <w:r w:rsidRPr="0028108F">
          <w:rPr>
            <w:rStyle w:val="Hyperlink"/>
            <w:rFonts w:ascii="Arial" w:hAnsi="Arial" w:cs="Arial"/>
            <w:lang w:val="en-GB"/>
          </w:rPr>
          <w:t>http://law.justia.com/codes/utah/2012/title-26/article-2/section-11/</w:t>
        </w:r>
      </w:hyperlink>
      <w:r w:rsidRPr="0028108F">
        <w:rPr>
          <w:rFonts w:ascii="Arial" w:hAnsi="Arial" w:cs="Arial"/>
          <w:lang w:val="en-GB"/>
        </w:rPr>
        <w:t xml:space="preserve">. </w:t>
      </w:r>
    </w:p>
  </w:footnote>
  <w:footnote w:id="799">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The Convention can be found under the list of convention at ICCS’s website at:</w:t>
      </w:r>
    </w:p>
    <w:p w:rsidR="0022178B" w:rsidRPr="0028108F" w:rsidRDefault="0022178B" w:rsidP="00C652F7">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r>
      <w:hyperlink r:id="rId98" w:history="1">
        <w:r w:rsidRPr="0028108F">
          <w:rPr>
            <w:rStyle w:val="Hyperlink"/>
            <w:rFonts w:ascii="Arial" w:hAnsi="Arial" w:cs="Arial"/>
            <w:lang w:val="en-GB"/>
          </w:rPr>
          <w:t>http://ciec1.org/</w:t>
        </w:r>
      </w:hyperlink>
      <w:r w:rsidRPr="0028108F">
        <w:rPr>
          <w:rFonts w:ascii="Arial" w:hAnsi="Arial" w:cs="Arial"/>
          <w:lang w:val="en-GB"/>
        </w:rPr>
        <w:t xml:space="preserve">.  </w:t>
      </w:r>
    </w:p>
  </w:footnote>
  <w:footnote w:id="800">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It is an international intergovernmental organisation which was founded in Amsterdam in September 1948 and recognised in December 1949 by an exchange of letters between Belgium, France, Luxembourg, the Netherlands and Switzerland.  </w:t>
      </w:r>
    </w:p>
  </w:footnote>
  <w:footnote w:id="801">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the Explanatory Report of the Convention which stated the purpose of drawing up the Convention, in </w:t>
      </w:r>
      <w:r w:rsidRPr="0028108F">
        <w:rPr>
          <w:rFonts w:ascii="Arial" w:hAnsi="Arial" w:cs="Arial"/>
          <w:lang w:val="en-GB" w:eastAsia="zh-TW"/>
        </w:rPr>
        <w:t>p</w:t>
      </w:r>
      <w:r w:rsidRPr="0028108F">
        <w:rPr>
          <w:rFonts w:ascii="Arial" w:hAnsi="Arial" w:cs="Arial"/>
          <w:lang w:val="en-GB"/>
        </w:rPr>
        <w:t>age 3 of the Convention.</w:t>
      </w:r>
    </w:p>
  </w:footnote>
  <w:footnote w:id="802">
    <w:p w:rsidR="0022178B" w:rsidRPr="0028108F" w:rsidRDefault="0022178B" w:rsidP="003675EF">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Article 1 of the Conve</w:t>
      </w:r>
      <w:r w:rsidRPr="0028108F">
        <w:rPr>
          <w:rFonts w:ascii="Arial" w:hAnsi="Arial" w:cs="Arial"/>
          <w:lang w:val="en-GB" w:eastAsia="zh-TW"/>
        </w:rPr>
        <w:t>n</w:t>
      </w:r>
      <w:r w:rsidRPr="0028108F">
        <w:rPr>
          <w:rFonts w:ascii="Arial" w:hAnsi="Arial" w:cs="Arial"/>
          <w:lang w:val="en-GB"/>
        </w:rPr>
        <w:t>tion.  Three exceptions to this mutual recognition are set out in Article 2 of the Convention, namely:</w:t>
      </w:r>
    </w:p>
    <w:p w:rsidR="0022178B" w:rsidRPr="0028108F" w:rsidRDefault="0022178B" w:rsidP="002B6B0D">
      <w:pPr>
        <w:pStyle w:val="FootnoteText"/>
        <w:tabs>
          <w:tab w:val="left" w:pos="2127"/>
        </w:tabs>
        <w:ind w:leftChars="591" w:left="2128" w:hangingChars="355" w:hanging="710"/>
        <w:jc w:val="both"/>
        <w:rPr>
          <w:rFonts w:ascii="Arial" w:hAnsi="Arial" w:cs="Arial"/>
          <w:lang w:val="en-GB"/>
        </w:rPr>
      </w:pPr>
      <w:r w:rsidRPr="0028108F">
        <w:rPr>
          <w:rFonts w:ascii="Arial" w:hAnsi="Arial" w:cs="Arial"/>
          <w:lang w:val="en-GB"/>
        </w:rPr>
        <w:t>(a)</w:t>
      </w:r>
      <w:r w:rsidRPr="0028108F">
        <w:rPr>
          <w:rFonts w:ascii="Arial" w:hAnsi="Arial" w:cs="Arial"/>
          <w:lang w:val="en-GB"/>
        </w:rPr>
        <w:tab/>
        <w:t xml:space="preserve">the physical adaptation of the person concerned has not been carried out and has not been recorded in the decision in question; </w:t>
      </w:r>
    </w:p>
    <w:p w:rsidR="0022178B" w:rsidRPr="0028108F" w:rsidRDefault="0022178B" w:rsidP="002B6B0D">
      <w:pPr>
        <w:pStyle w:val="FootnoteText"/>
        <w:tabs>
          <w:tab w:val="left" w:pos="2127"/>
        </w:tabs>
        <w:ind w:leftChars="591" w:left="2128" w:hangingChars="355" w:hanging="710"/>
        <w:jc w:val="both"/>
        <w:rPr>
          <w:rFonts w:ascii="Arial" w:hAnsi="Arial" w:cs="Arial"/>
          <w:lang w:val="en-GB"/>
        </w:rPr>
      </w:pPr>
      <w:r w:rsidRPr="0028108F">
        <w:rPr>
          <w:rFonts w:ascii="Arial" w:hAnsi="Arial" w:cs="Arial"/>
          <w:lang w:val="en-GB"/>
        </w:rPr>
        <w:t>(b)</w:t>
      </w:r>
      <w:r w:rsidRPr="0028108F">
        <w:rPr>
          <w:rFonts w:ascii="Arial" w:hAnsi="Arial" w:cs="Arial"/>
          <w:lang w:val="en-GB"/>
        </w:rPr>
        <w:tab/>
        <w:t>recognition is contrary to public policy in the required State; or</w:t>
      </w:r>
    </w:p>
    <w:p w:rsidR="0022178B" w:rsidRPr="0028108F" w:rsidRDefault="0022178B" w:rsidP="002B6B0D">
      <w:pPr>
        <w:pStyle w:val="FootnoteText"/>
        <w:tabs>
          <w:tab w:val="left" w:pos="2127"/>
        </w:tabs>
        <w:ind w:leftChars="591" w:left="2128" w:hangingChars="355" w:hanging="710"/>
        <w:jc w:val="both"/>
        <w:rPr>
          <w:rFonts w:ascii="Arial" w:hAnsi="Arial" w:cs="Arial"/>
          <w:lang w:val="en-GB"/>
        </w:rPr>
      </w:pPr>
      <w:r w:rsidRPr="0028108F">
        <w:rPr>
          <w:rFonts w:ascii="Arial" w:hAnsi="Arial" w:cs="Arial"/>
          <w:lang w:val="en-GB"/>
        </w:rPr>
        <w:t>(c)</w:t>
      </w:r>
      <w:r w:rsidRPr="0028108F">
        <w:rPr>
          <w:rFonts w:ascii="Arial" w:hAnsi="Arial" w:cs="Arial"/>
          <w:lang w:val="en-GB"/>
        </w:rPr>
        <w:tab/>
        <w:t>the decision has been obtained by fraudulent means.</w:t>
      </w:r>
    </w:p>
    <w:p w:rsidR="0022178B" w:rsidRPr="00181CF2" w:rsidRDefault="0022178B" w:rsidP="008A27C8">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t>Nonetheless, the Contracting State in which recognition of the foreign decision is sought is not obliged to refuse recognition in the above three cases.  See also Explanatory Note to the Convention, at paragraph 2 under the sub-heading of “Article 2”</w:t>
      </w:r>
      <w:r w:rsidRPr="0028108F">
        <w:rPr>
          <w:rFonts w:ascii="Arial" w:hAnsi="Arial" w:cs="Arial"/>
        </w:rPr>
        <w:t>.</w:t>
      </w:r>
    </w:p>
  </w:footnote>
  <w:footnote w:id="803">
    <w:p w:rsidR="0022178B" w:rsidRPr="0028108F" w:rsidRDefault="0022178B" w:rsidP="004B2E95">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the General Information in ICCS’s website at: </w:t>
      </w:r>
      <w:hyperlink r:id="rId99" w:history="1">
        <w:r w:rsidRPr="0028108F">
          <w:rPr>
            <w:rStyle w:val="Hyperlink"/>
            <w:rFonts w:ascii="Arial" w:hAnsi="Arial" w:cs="Arial"/>
            <w:lang w:val="en-GB"/>
          </w:rPr>
          <w:t>http://ciec1.org/</w:t>
        </w:r>
      </w:hyperlink>
      <w:r w:rsidRPr="0028108F">
        <w:rPr>
          <w:rFonts w:ascii="Arial" w:hAnsi="Arial" w:cs="Arial"/>
          <w:lang w:val="en-GB"/>
        </w:rPr>
        <w:t xml:space="preserve">.  </w:t>
      </w:r>
    </w:p>
  </w:footnote>
  <w:footnote w:id="804">
    <w:p w:rsidR="0022178B" w:rsidRPr="0028108F" w:rsidRDefault="0022178B" w:rsidP="004B2E95">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See European Region of the International Lesbian, Gay, Bisexual, Trans and Intersex Association (ILGA-Europe),</w:t>
      </w:r>
      <w:r w:rsidRPr="0028108F" w:rsidDel="00B64280">
        <w:rPr>
          <w:rFonts w:ascii="Arial" w:hAnsi="Arial" w:cs="Arial"/>
          <w:lang w:val="en-GB"/>
        </w:rPr>
        <w:t xml:space="preserve"> </w:t>
      </w:r>
      <w:r>
        <w:rPr>
          <w:rFonts w:ascii="Arial" w:hAnsi="Arial" w:cs="Arial"/>
          <w:lang w:val="en-GB"/>
        </w:rPr>
        <w:t>“</w:t>
      </w:r>
      <w:r w:rsidRPr="00B02C1D">
        <w:rPr>
          <w:rFonts w:ascii="Arial" w:hAnsi="Arial" w:cs="Arial"/>
          <w:lang w:val="en-GB"/>
        </w:rPr>
        <w:t>ILGA-Europe’s contribution to the Green Paper</w:t>
      </w:r>
      <w:r>
        <w:rPr>
          <w:rFonts w:ascii="Arial" w:hAnsi="Arial" w:cs="Arial"/>
          <w:lang w:val="en-GB"/>
        </w:rPr>
        <w:t>”</w:t>
      </w:r>
      <w:r w:rsidRPr="00B02C1D">
        <w:rPr>
          <w:rFonts w:ascii="Arial" w:hAnsi="Arial" w:cs="Arial"/>
          <w:lang w:val="en-GB"/>
        </w:rPr>
        <w:t xml:space="preserve"> </w:t>
      </w:r>
      <w:r w:rsidRPr="0028108F">
        <w:rPr>
          <w:rFonts w:ascii="Arial" w:hAnsi="Arial" w:cs="Arial"/>
          <w:lang w:val="en-GB"/>
        </w:rPr>
        <w:t xml:space="preserve">COM(2010) 747 final, April 2011, at 24.  </w:t>
      </w:r>
    </w:p>
  </w:footnote>
  <w:footnote w:id="805">
    <w:p w:rsidR="0022178B" w:rsidRPr="0028108F" w:rsidRDefault="0022178B" w:rsidP="0028108F">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See Dicey, Morris &amp; Collins,</w:t>
      </w:r>
      <w:r w:rsidRPr="00C57CE1">
        <w:rPr>
          <w:rFonts w:ascii="Arial" w:hAnsi="Arial" w:cs="Arial"/>
          <w:lang w:val="en-GB"/>
        </w:rPr>
        <w:t xml:space="preserve">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 xml:space="preserve">paragraph 5-001.  This common law principle has been followed by Hong Kong courts, and one writer asserts that this principle will become more relevant in future Hong Kong civil litigation with cross-border elements, due to the growth over recent decades in regulation, by way of public international law, of topics such as expropriation, aggression, torture and, in due course, other breaches of human rights and peremptory norms of international law.  See 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28108F">
        <w:rPr>
          <w:rFonts w:ascii="Arial" w:hAnsi="Arial" w:cs="Arial"/>
          <w:lang w:val="en-GB"/>
        </w:rPr>
        <w:t>), at paragraphs 4.034 and 4.036.</w:t>
      </w:r>
    </w:p>
    <w:p w:rsidR="0022178B" w:rsidRPr="0028108F" w:rsidRDefault="0022178B" w:rsidP="00813FAE">
      <w:pPr>
        <w:pStyle w:val="FootnoteText"/>
        <w:tabs>
          <w:tab w:val="left" w:pos="709"/>
        </w:tabs>
        <w:ind w:left="708" w:hangingChars="354" w:hanging="708"/>
        <w:jc w:val="both"/>
        <w:rPr>
          <w:rFonts w:ascii="Arial" w:hAnsi="Arial" w:cs="Arial"/>
          <w:lang w:val="en-GB"/>
        </w:rPr>
      </w:pPr>
      <w:r w:rsidRPr="0028108F">
        <w:rPr>
          <w:rFonts w:ascii="Arial" w:hAnsi="Arial" w:cs="Arial"/>
          <w:lang w:val="en-GB"/>
        </w:rPr>
        <w:tab/>
        <w:t xml:space="preserve">Further, the doctrine of public policy has been principally invoked in cases involving a foreign status.  In this respect, an incapacity imposed for reasons which it would be contrary to public policy to enforce is disregarded as a </w:t>
      </w:r>
      <w:r w:rsidRPr="0028108F">
        <w:rPr>
          <w:rFonts w:ascii="Arial" w:hAnsi="Arial" w:cs="Arial"/>
          <w:i/>
          <w:lang w:val="en-GB"/>
        </w:rPr>
        <w:t>“penal incapacity”</w:t>
      </w:r>
      <w:r w:rsidRPr="0028108F">
        <w:rPr>
          <w:rFonts w:ascii="Arial" w:hAnsi="Arial" w:cs="Arial"/>
          <w:lang w:val="en-GB"/>
        </w:rPr>
        <w:t>.  The English courts have thus held that the penal inc</w:t>
      </w:r>
      <w:r w:rsidRPr="00C57CE1">
        <w:rPr>
          <w:rFonts w:ascii="Arial" w:hAnsi="Arial" w:cs="Arial"/>
          <w:lang w:val="en-GB"/>
        </w:rPr>
        <w:t xml:space="preserve">apacities imposed on </w:t>
      </w:r>
      <w:r w:rsidRPr="0028108F">
        <w:rPr>
          <w:rFonts w:ascii="Arial" w:hAnsi="Arial" w:cs="Arial"/>
          <w:lang w:val="en-GB"/>
        </w:rPr>
        <w:t xml:space="preserve">account of slavery, religion or religious vocation, alien nationality, race, divorce and physical incompetence and prodigality, will be disregarded (see Dicey, Morris &amp; Collins,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28108F">
        <w:rPr>
          <w:rFonts w:ascii="Arial" w:hAnsi="Arial" w:cs="Arial"/>
          <w:lang w:val="en-GB"/>
        </w:rPr>
        <w:t xml:space="preserve">) Vol. 1, at 5-010).  </w:t>
      </w:r>
      <w:r w:rsidRPr="0028108F">
        <w:rPr>
          <w:rFonts w:ascii="Arial" w:hAnsi="Arial" w:cs="Arial"/>
          <w:color w:val="000000" w:themeColor="text1"/>
          <w:lang w:val="en-GB"/>
        </w:rPr>
        <w:t xml:space="preserve">A person’s reassigned gender having been legally recognised in a foreign country is arguably a kind of foreign status, but it is unlikely that the recognition would lead to any </w:t>
      </w:r>
      <w:r w:rsidRPr="0028108F">
        <w:rPr>
          <w:rFonts w:ascii="Arial" w:hAnsi="Arial" w:cs="Arial"/>
          <w:i/>
          <w:color w:val="000000" w:themeColor="text1"/>
          <w:lang w:val="en-GB"/>
        </w:rPr>
        <w:t>“penal incapacities”</w:t>
      </w:r>
      <w:r w:rsidRPr="0028108F">
        <w:rPr>
          <w:rFonts w:ascii="Arial" w:hAnsi="Arial" w:cs="Arial"/>
          <w:color w:val="000000" w:themeColor="text1"/>
          <w:lang w:val="en-GB"/>
        </w:rPr>
        <w:t xml:space="preserve"> so as to justify a non-recognition in domestic courts (because even in a jurisdiction mandating full SRS as a requirement for gender recognition, the gender change would result in recognition of some civil rights of the applicant).</w:t>
      </w:r>
    </w:p>
  </w:footnote>
  <w:footnote w:id="806">
    <w:p w:rsidR="0022178B" w:rsidRPr="0028108F" w:rsidRDefault="0022178B">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Pr>
          <w:rFonts w:ascii="Arial" w:hAnsi="Arial" w:cs="Arial" w:hint="eastAsia"/>
          <w:lang w:val="en-GB" w:eastAsia="zh-TW"/>
        </w:rPr>
        <w:t>For example, i</w:t>
      </w:r>
      <w:r w:rsidRPr="00181CF2">
        <w:rPr>
          <w:rFonts w:ascii="Arial" w:hAnsi="Arial" w:cs="Arial"/>
          <w:lang w:val="en-GB"/>
        </w:rPr>
        <w:t xml:space="preserve">n </w:t>
      </w:r>
      <w:r w:rsidRPr="00C57CE1">
        <w:rPr>
          <w:rFonts w:ascii="Arial" w:hAnsi="Arial" w:cs="Arial"/>
          <w:i/>
          <w:lang w:val="en-GB"/>
        </w:rPr>
        <w:t>Oppenheimer v Ca</w:t>
      </w:r>
      <w:r w:rsidRPr="0028108F">
        <w:rPr>
          <w:rFonts w:ascii="Arial" w:hAnsi="Arial" w:cs="Arial"/>
          <w:i/>
          <w:lang w:val="en-GB"/>
        </w:rPr>
        <w:t>ttermole</w:t>
      </w:r>
      <w:r w:rsidRPr="0028108F">
        <w:rPr>
          <w:rFonts w:ascii="Arial" w:hAnsi="Arial" w:cs="Arial"/>
          <w:lang w:val="en-GB"/>
        </w:rPr>
        <w:t xml:space="preserve"> [1976] AC 249, a majority in the House of Lords expressed the view, </w:t>
      </w:r>
      <w:r w:rsidRPr="0028108F">
        <w:rPr>
          <w:rFonts w:ascii="Arial" w:hAnsi="Arial" w:cs="Arial"/>
          <w:i/>
          <w:lang w:val="en-GB"/>
        </w:rPr>
        <w:t>obiter</w:t>
      </w:r>
      <w:r w:rsidRPr="0028108F">
        <w:rPr>
          <w:rFonts w:ascii="Arial" w:hAnsi="Arial" w:cs="Arial"/>
          <w:lang w:val="en-GB"/>
        </w:rPr>
        <w:t>, that Nazi nationality decrees depriving absent German Jews of their nationality and confiscating their property were not recognised in the UK, as “</w:t>
      </w:r>
      <w:r w:rsidRPr="0028108F">
        <w:rPr>
          <w:rFonts w:ascii="Arial" w:hAnsi="Arial" w:cs="Arial"/>
          <w:i/>
          <w:lang w:val="en-GB"/>
        </w:rPr>
        <w:t>a law of this sort constitutes so grave an infringement of human rights that the courts of this country ought to refuse to recognise it as a law at all.</w:t>
      </w:r>
      <w:r w:rsidRPr="0028108F">
        <w:rPr>
          <w:rFonts w:ascii="Arial" w:hAnsi="Arial" w:cs="Arial"/>
          <w:lang w:val="en-GB"/>
        </w:rPr>
        <w:t xml:space="preserve">”  See Dicey, Morris &amp; Collins, </w:t>
      </w:r>
      <w:r w:rsidRPr="00181CF2">
        <w:rPr>
          <w:rFonts w:ascii="Arial" w:hAnsi="Arial" w:cs="Arial"/>
          <w:i/>
          <w:lang w:val="en-GB"/>
        </w:rPr>
        <w:t>The Conflict of Laws</w:t>
      </w:r>
      <w:r w:rsidRPr="00C57CE1">
        <w:rPr>
          <w:rFonts w:ascii="Arial" w:hAnsi="Arial" w:cs="Arial"/>
          <w:lang w:val="en-GB"/>
        </w:rPr>
        <w:t xml:space="preserve"> (15th ed, 2012, </w:t>
      </w:r>
      <w:r w:rsidRPr="001A0A1D">
        <w:rPr>
          <w:rFonts w:ascii="Arial" w:hAnsi="Arial" w:cs="Arial"/>
          <w:i/>
          <w:lang w:val="en-GB"/>
        </w:rPr>
        <w:t>Sweet &amp; Maxwell</w:t>
      </w:r>
      <w:r w:rsidRPr="00C57CE1">
        <w:rPr>
          <w:rFonts w:ascii="Arial" w:hAnsi="Arial" w:cs="Arial"/>
          <w:lang w:val="en-GB"/>
        </w:rPr>
        <w:t xml:space="preserve">) Vol 1, at </w:t>
      </w:r>
      <w:r w:rsidRPr="0028108F">
        <w:rPr>
          <w:rFonts w:ascii="Arial" w:hAnsi="Arial" w:cs="Arial"/>
          <w:lang w:val="en-GB"/>
        </w:rPr>
        <w:t>paragraph 5-005.</w:t>
      </w:r>
    </w:p>
  </w:footnote>
  <w:footnote w:id="807">
    <w:p w:rsidR="0022178B" w:rsidRPr="00181CF2" w:rsidRDefault="0022178B">
      <w:pPr>
        <w:pStyle w:val="FootnoteText"/>
        <w:tabs>
          <w:tab w:val="left" w:pos="851"/>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r>
      <w:r w:rsidRPr="00C57CE1">
        <w:rPr>
          <w:rFonts w:ascii="Arial" w:hAnsi="Arial" w:cs="Arial"/>
          <w:color w:val="000000" w:themeColor="text1"/>
          <w:lang w:val="en-GB"/>
        </w:rPr>
        <w:t>A</w:t>
      </w:r>
      <w:r w:rsidRPr="0028108F">
        <w:rPr>
          <w:rFonts w:ascii="Arial" w:hAnsi="Arial" w:cs="Arial"/>
          <w:lang w:val="en-GB"/>
        </w:rPr>
        <w:t xml:space="preserve">s per Kekewich J in </w:t>
      </w:r>
      <w:r w:rsidRPr="0028108F">
        <w:rPr>
          <w:rFonts w:ascii="Arial" w:hAnsi="Arial" w:cs="Arial"/>
          <w:i/>
          <w:lang w:val="en-GB"/>
        </w:rPr>
        <w:t xml:space="preserve">Davies v Davies </w:t>
      </w:r>
      <w:r w:rsidRPr="0028108F">
        <w:rPr>
          <w:rFonts w:ascii="Arial" w:hAnsi="Arial" w:cs="Arial"/>
          <w:lang w:val="en-GB"/>
        </w:rPr>
        <w:t xml:space="preserve">(1887) 36 Ch D 359 at 364, quoted in </w:t>
      </w:r>
      <w:r w:rsidRPr="0028108F">
        <w:rPr>
          <w:rFonts w:ascii="Arial" w:hAnsi="Arial" w:cs="Arial"/>
          <w:i/>
          <w:lang w:val="en-GB"/>
        </w:rPr>
        <w:t xml:space="preserve">Chen Li Hung v Ting Lei Miao </w:t>
      </w:r>
      <w:r w:rsidRPr="0028108F">
        <w:rPr>
          <w:rFonts w:ascii="Arial" w:hAnsi="Arial" w:cs="Arial"/>
          <w:lang w:val="en-GB"/>
        </w:rPr>
        <w:t xml:space="preserve">[2000] 1 </w:t>
      </w:r>
      <w:r w:rsidRPr="0028108F">
        <w:rPr>
          <w:rFonts w:ascii="Arial" w:hAnsi="Arial" w:cs="Arial"/>
          <w:i/>
          <w:lang w:val="en-GB"/>
        </w:rPr>
        <w:t>HKLR</w:t>
      </w:r>
      <w:r w:rsidRPr="00181CF2">
        <w:rPr>
          <w:rFonts w:ascii="Arial" w:hAnsi="Arial" w:cs="Arial"/>
          <w:lang w:val="en-GB"/>
        </w:rPr>
        <w:t xml:space="preserve"> 252.</w:t>
      </w:r>
    </w:p>
  </w:footnote>
  <w:footnote w:id="808">
    <w:p w:rsidR="0022178B" w:rsidRPr="0028108F" w:rsidRDefault="0022178B">
      <w:pPr>
        <w:pStyle w:val="FootnoteText"/>
        <w:tabs>
          <w:tab w:val="left" w:pos="709"/>
        </w:tabs>
        <w:ind w:left="708" w:hangingChars="354" w:hanging="708"/>
        <w:jc w:val="both"/>
        <w:rPr>
          <w:rFonts w:ascii="Arial" w:hAnsi="Arial" w:cs="Arial"/>
          <w:lang w:val="en-GB"/>
        </w:rPr>
      </w:pPr>
      <w:r w:rsidRPr="00181CF2">
        <w:rPr>
          <w:rStyle w:val="FootnoteReference"/>
          <w:rFonts w:ascii="Arial" w:hAnsi="Arial" w:cs="Arial"/>
          <w:vertAlign w:val="baseline"/>
          <w:lang w:val="en-GB"/>
        </w:rPr>
        <w:footnoteRef/>
      </w:r>
      <w:r w:rsidRPr="00181CF2">
        <w:rPr>
          <w:rFonts w:ascii="Arial" w:hAnsi="Arial" w:cs="Arial"/>
          <w:lang w:val="en-GB"/>
        </w:rPr>
        <w:t xml:space="preserve"> </w:t>
      </w:r>
      <w:r w:rsidRPr="00181CF2">
        <w:rPr>
          <w:rFonts w:ascii="Arial" w:hAnsi="Arial" w:cs="Arial"/>
          <w:lang w:val="en-GB"/>
        </w:rPr>
        <w:tab/>
        <w:t>For example, the English courts recognise the validity of marriages within the prohibited degre</w:t>
      </w:r>
      <w:r w:rsidRPr="00C57CE1">
        <w:rPr>
          <w:rFonts w:ascii="Arial" w:hAnsi="Arial" w:cs="Arial"/>
          <w:lang w:val="en-GB"/>
        </w:rPr>
        <w:t>es</w:t>
      </w:r>
      <w:r w:rsidRPr="0028108F">
        <w:rPr>
          <w:rFonts w:ascii="Arial" w:hAnsi="Arial" w:cs="Arial"/>
          <w:lang w:val="en-GB" w:eastAsia="zh-TW"/>
        </w:rPr>
        <w:t xml:space="preserve"> of relationship under</w:t>
      </w:r>
      <w:r w:rsidRPr="00181CF2">
        <w:rPr>
          <w:rFonts w:ascii="Arial" w:hAnsi="Arial" w:cs="Arial"/>
          <w:lang w:val="en-GB"/>
        </w:rPr>
        <w:t xml:space="preserve"> English law, but they might refuse to recognise a marriage with a child below the age of puberty or a marriage with a man suffering from autism and severe impairment of intellectual functioning.  See Dicey, Morris &amp; Collins, </w:t>
      </w:r>
      <w:r w:rsidRPr="00181CF2">
        <w:rPr>
          <w:rFonts w:ascii="Arial" w:hAnsi="Arial" w:cs="Arial"/>
          <w:i/>
          <w:lang w:val="en-GB"/>
        </w:rPr>
        <w:t xml:space="preserve">The </w:t>
      </w:r>
      <w:r w:rsidRPr="00C57CE1">
        <w:rPr>
          <w:rFonts w:ascii="Arial" w:hAnsi="Arial" w:cs="Arial"/>
          <w:i/>
          <w:lang w:val="en-GB"/>
        </w:rPr>
        <w:t>Conflict of Laws</w:t>
      </w:r>
      <w:r w:rsidRPr="0028108F">
        <w:rPr>
          <w:rFonts w:ascii="Arial" w:hAnsi="Arial" w:cs="Arial"/>
          <w:lang w:val="en-GB"/>
        </w:rPr>
        <w:t xml:space="preserve"> (15th ed, 2012, </w:t>
      </w:r>
      <w:r w:rsidRPr="001A0A1D">
        <w:rPr>
          <w:rFonts w:ascii="Arial" w:hAnsi="Arial" w:cs="Arial"/>
          <w:i/>
          <w:lang w:val="en-GB"/>
        </w:rPr>
        <w:t>Sweet &amp; Maxwell</w:t>
      </w:r>
      <w:r w:rsidRPr="0028108F">
        <w:rPr>
          <w:rFonts w:ascii="Arial" w:hAnsi="Arial" w:cs="Arial"/>
          <w:lang w:val="en-GB"/>
        </w:rPr>
        <w:t>) Vol 1, at 5-011.</w:t>
      </w:r>
    </w:p>
  </w:footnote>
  <w:footnote w:id="809">
    <w:p w:rsidR="0022178B" w:rsidRPr="0028108F" w:rsidRDefault="0022178B">
      <w:pPr>
        <w:pStyle w:val="FootnoteText"/>
        <w:tabs>
          <w:tab w:val="left" w:pos="709"/>
        </w:tabs>
        <w:ind w:left="708" w:hangingChars="354" w:hanging="708"/>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Such a difficulty has been previously noticed in the context of recognition of foreign judgments, with the Hong Kong courts on several occasions concluding that the foreign court was in fact deciding a somewhat different issue.  See Graeme Johnston, </w:t>
      </w:r>
      <w:r w:rsidRPr="0028108F">
        <w:rPr>
          <w:rFonts w:ascii="Arial" w:hAnsi="Arial" w:cs="Arial"/>
          <w:i/>
          <w:lang w:val="en-GB"/>
        </w:rPr>
        <w:t>The Conflict of Laws in Hong Kong</w:t>
      </w:r>
      <w:r w:rsidRPr="0028108F">
        <w:rPr>
          <w:rFonts w:ascii="Arial" w:hAnsi="Arial" w:cs="Arial"/>
          <w:lang w:val="en-GB"/>
        </w:rPr>
        <w:t xml:space="preserve"> (2nd ed, 2012, </w:t>
      </w:r>
      <w:r w:rsidRPr="001A0A1D">
        <w:rPr>
          <w:rFonts w:ascii="Arial" w:hAnsi="Arial" w:cs="Arial"/>
          <w:i/>
          <w:lang w:val="en-GB"/>
        </w:rPr>
        <w:t>Sweet &amp; Maxwell</w:t>
      </w:r>
      <w:r w:rsidRPr="00C57CE1">
        <w:rPr>
          <w:rFonts w:ascii="Arial" w:hAnsi="Arial" w:cs="Arial"/>
          <w:lang w:val="en-GB"/>
        </w:rPr>
        <w:t xml:space="preserve">), at </w:t>
      </w:r>
      <w:r w:rsidRPr="0028108F">
        <w:rPr>
          <w:rFonts w:ascii="Arial" w:hAnsi="Arial" w:cs="Arial"/>
          <w:lang w:val="en-GB"/>
        </w:rPr>
        <w:t>paragraphs 9.005, 9.013 and 9.091.</w:t>
      </w:r>
    </w:p>
  </w:footnote>
  <w:footnote w:id="810">
    <w:p w:rsidR="0022178B" w:rsidRPr="0028108F" w:rsidRDefault="0022178B" w:rsidP="00CA234A">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Pr>
          <w:rFonts w:ascii="Arial" w:hAnsi="Arial" w:cs="Arial" w:hint="eastAsia"/>
          <w:lang w:val="en-GB" w:eastAsia="zh-TW"/>
        </w:rPr>
        <w:t xml:space="preserve">See </w:t>
      </w:r>
      <w:r w:rsidRPr="0028108F">
        <w:rPr>
          <w:rFonts w:ascii="Arial" w:hAnsi="Arial" w:cs="Arial"/>
          <w:lang w:val="en-GB"/>
        </w:rPr>
        <w:t>Centre for Medical Ethics and Law, Faculty of Law of the University of Hong Kong, “Submission to the Legislative Council and the Security Bureau of the Hong Kong SAR on the Legal Status of Transsexual and Transgender Persons in Hong Kong</w:t>
      </w:r>
      <w:r w:rsidRPr="00181CF2">
        <w:rPr>
          <w:rFonts w:ascii="Arial" w:hAnsi="Arial" w:cs="Arial"/>
          <w:lang w:val="en-GB"/>
        </w:rPr>
        <w:t>”</w:t>
      </w:r>
      <w:r w:rsidRPr="00C57CE1">
        <w:rPr>
          <w:rFonts w:ascii="Arial" w:hAnsi="Arial" w:cs="Arial"/>
          <w:lang w:val="en-GB"/>
        </w:rPr>
        <w:t xml:space="preserve"> [in Relation to the M</w:t>
      </w:r>
      <w:r w:rsidRPr="0028108F">
        <w:rPr>
          <w:rFonts w:ascii="Arial" w:hAnsi="Arial" w:cs="Arial"/>
          <w:lang w:val="en-GB"/>
        </w:rPr>
        <w:t>arriage (Amendment) Bill 2014] (Occasional Paper No 1, March 2014</w:t>
      </w:r>
      <w:r>
        <w:rPr>
          <w:rFonts w:ascii="Arial" w:hAnsi="Arial" w:cs="Arial" w:hint="eastAsia"/>
          <w:lang w:val="en-GB" w:eastAsia="zh-TW"/>
        </w:rPr>
        <w:t xml:space="preserve">; </w:t>
      </w:r>
      <w:r w:rsidRPr="0028108F">
        <w:rPr>
          <w:rFonts w:ascii="Arial" w:hAnsi="Arial" w:cs="Arial"/>
          <w:lang w:val="en-GB"/>
        </w:rPr>
        <w:t>LC Paper No. CB(2)1052/13-14(01)</w:t>
      </w:r>
      <w:r>
        <w:rPr>
          <w:rFonts w:ascii="Arial" w:hAnsi="Arial" w:cs="Arial" w:hint="eastAsia"/>
          <w:lang w:val="en-GB" w:eastAsia="zh-TW"/>
        </w:rPr>
        <w:t>)</w:t>
      </w:r>
      <w:r w:rsidRPr="0028108F">
        <w:rPr>
          <w:rFonts w:ascii="Arial" w:hAnsi="Arial" w:cs="Arial"/>
          <w:lang w:val="en-US"/>
        </w:rPr>
        <w:t xml:space="preserve">.  </w:t>
      </w:r>
      <w:r w:rsidRPr="0028108F">
        <w:rPr>
          <w:rFonts w:ascii="Arial" w:hAnsi="Arial" w:cs="Arial"/>
          <w:lang w:val="en-GB"/>
        </w:rPr>
        <w:t xml:space="preserve"> </w:t>
      </w:r>
    </w:p>
  </w:footnote>
  <w:footnote w:id="811">
    <w:p w:rsidR="0022178B" w:rsidRPr="0028108F" w:rsidRDefault="0022178B" w:rsidP="00361677">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The UK </w:t>
      </w:r>
      <w:r w:rsidRPr="0028108F">
        <w:rPr>
          <w:rFonts w:ascii="Arial" w:hAnsi="Arial" w:cs="Arial"/>
          <w:lang w:val="en-GB" w:eastAsia="zh-TW"/>
        </w:rPr>
        <w:t xml:space="preserve">GRP </w:t>
      </w:r>
      <w:r w:rsidRPr="0028108F">
        <w:rPr>
          <w:rFonts w:ascii="Arial" w:hAnsi="Arial" w:cs="Arial"/>
          <w:lang w:val="en-GB"/>
        </w:rPr>
        <w:t xml:space="preserve">considered that there was no definitive answer as to what constitutes </w:t>
      </w:r>
      <w:r w:rsidRPr="0028108F">
        <w:rPr>
          <w:rFonts w:ascii="Arial" w:hAnsi="Arial" w:cs="Arial"/>
          <w:i/>
          <w:lang w:val="en-GB"/>
        </w:rPr>
        <w:t>“practising in the field”</w:t>
      </w:r>
      <w:r w:rsidRPr="0028108F">
        <w:rPr>
          <w:rFonts w:ascii="Arial" w:hAnsi="Arial" w:cs="Arial"/>
          <w:lang w:val="en-GB"/>
        </w:rPr>
        <w:t xml:space="preserve">.  The Panel gave it a liberal interpretation.  See the minutes of </w:t>
      </w:r>
      <w:r w:rsidRPr="0028108F">
        <w:rPr>
          <w:rFonts w:ascii="Arial" w:hAnsi="Arial" w:cs="Arial"/>
          <w:lang w:val="en-GB" w:eastAsia="zh-TW"/>
        </w:rPr>
        <w:t xml:space="preserve">GRP </w:t>
      </w:r>
      <w:r w:rsidRPr="0028108F">
        <w:rPr>
          <w:rFonts w:ascii="Arial" w:hAnsi="Arial" w:cs="Arial"/>
          <w:lang w:val="en-GB"/>
        </w:rPr>
        <w:t>User Group Meeting on 4 April 2006.</w:t>
      </w:r>
    </w:p>
  </w:footnote>
  <w:footnote w:id="812">
    <w:p w:rsidR="0022178B" w:rsidRPr="0028108F" w:rsidRDefault="0022178B" w:rsidP="00961014">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Athena Liu, “The Legal Status Of Transgender And Transsexual Persons In Hong Kong”</w:t>
      </w:r>
      <w:r w:rsidRPr="00181CF2">
        <w:rPr>
          <w:rFonts w:ascii="Arial" w:hAnsi="Arial" w:cs="Arial"/>
          <w:lang w:val="en-GB"/>
        </w:rPr>
        <w:t>,</w:t>
      </w:r>
      <w:r w:rsidRPr="00C57CE1">
        <w:rPr>
          <w:rFonts w:ascii="Arial" w:hAnsi="Arial" w:cs="Arial"/>
          <w:lang w:val="en-GB"/>
        </w:rPr>
        <w:t xml:space="preserve"> in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1st ed, December 2015), at 361.</w:t>
      </w:r>
    </w:p>
  </w:footnote>
  <w:footnote w:id="813">
    <w:p w:rsidR="0022178B" w:rsidRPr="00C57CE1" w:rsidRDefault="0022178B" w:rsidP="00961014">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In addition, in late 2015 when the UK Parliament’s Women and Equalities Committee heard evidence surrounding the UK GRA, trans people and some other attendees contended that the Act did not work well for various reasons, including that getting legal recognition was a long and difficult process, the whole process for assessment can be humiliating, self-declaration is becoming the model for most trans activists, etc.  See news report of </w:t>
      </w:r>
      <w:r w:rsidRPr="008813DE">
        <w:rPr>
          <w:rFonts w:ascii="Arial" w:hAnsi="Arial" w:cs="Arial"/>
          <w:i/>
          <w:lang w:val="en-GB"/>
        </w:rPr>
        <w:t>Pink News</w:t>
      </w:r>
      <w:r w:rsidRPr="0028108F">
        <w:rPr>
          <w:rFonts w:ascii="Arial" w:hAnsi="Arial" w:cs="Arial"/>
          <w:lang w:val="en-GB"/>
        </w:rPr>
        <w:t>, “6 reasons why the UK’s gender laws are failing transgender people”</w:t>
      </w:r>
      <w:r w:rsidRPr="00181CF2">
        <w:rPr>
          <w:rFonts w:ascii="Arial" w:hAnsi="Arial" w:cs="Arial"/>
          <w:lang w:val="en-GB"/>
        </w:rPr>
        <w:t>,</w:t>
      </w:r>
      <w:r w:rsidRPr="00C57CE1">
        <w:rPr>
          <w:rFonts w:ascii="Arial" w:hAnsi="Arial" w:cs="Arial"/>
          <w:lang w:val="en-GB"/>
        </w:rPr>
        <w:t xml:space="preserve"> 15 October 2015.</w:t>
      </w:r>
    </w:p>
  </w:footnote>
  <w:footnote w:id="814">
    <w:p w:rsidR="0022178B" w:rsidRPr="0028108F" w:rsidRDefault="0022178B" w:rsidP="004633AF">
      <w:pPr>
        <w:pStyle w:val="FootnoteText"/>
        <w:tabs>
          <w:tab w:val="left" w:pos="851"/>
        </w:tabs>
        <w:ind w:left="709" w:hanging="709"/>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For more information about the Women and Equalities Committee, please see: </w:t>
      </w:r>
      <w:hyperlink r:id="rId100" w:history="1">
        <w:r w:rsidRPr="0028108F">
          <w:rPr>
            <w:rStyle w:val="Hyperlink"/>
            <w:rFonts w:ascii="Arial" w:hAnsi="Arial" w:cs="Arial"/>
            <w:lang w:val="en-GB"/>
          </w:rPr>
          <w:t>http://www.parliament.uk/business/committees/committees-a-z/commons-select/women-and-equalities-committee/role/</w:t>
        </w:r>
      </w:hyperlink>
      <w:r w:rsidRPr="0028108F">
        <w:rPr>
          <w:rStyle w:val="Hyperlink"/>
          <w:rFonts w:ascii="Arial" w:hAnsi="Arial" w:cs="Arial"/>
          <w:u w:val="none"/>
          <w:lang w:val="en-GB" w:eastAsia="zh-TW"/>
        </w:rPr>
        <w:t>.</w:t>
      </w:r>
    </w:p>
  </w:footnote>
  <w:footnote w:id="81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See Women and Equalities Committee, </w:t>
      </w:r>
      <w:r w:rsidRPr="0028108F">
        <w:rPr>
          <w:rFonts w:ascii="Arial" w:hAnsi="Arial" w:cs="Arial"/>
          <w:i/>
          <w:lang w:val="en-GB"/>
        </w:rPr>
        <w:t>Transgender Equality (First Report of Session 2015-16)</w:t>
      </w:r>
      <w:r w:rsidRPr="00181CF2">
        <w:rPr>
          <w:rFonts w:ascii="Arial" w:hAnsi="Arial" w:cs="Arial"/>
          <w:lang w:val="en-GB"/>
        </w:rPr>
        <w:t>, published on 14 January 2016</w:t>
      </w:r>
      <w:r w:rsidRPr="00C57CE1">
        <w:rPr>
          <w:rFonts w:ascii="Arial" w:hAnsi="Arial" w:cs="Arial"/>
          <w:lang w:val="en-GB"/>
        </w:rPr>
        <w:t>,</w:t>
      </w:r>
      <w:r w:rsidRPr="0028108F">
        <w:rPr>
          <w:rFonts w:ascii="Arial" w:hAnsi="Arial" w:cs="Arial"/>
          <w:lang w:val="en-GB"/>
        </w:rPr>
        <w:t xml:space="preserve"> </w:t>
      </w:r>
      <w:r w:rsidRPr="00181CF2">
        <w:rPr>
          <w:rFonts w:ascii="Arial" w:hAnsi="Arial" w:cs="Arial"/>
          <w:lang w:val="en-GB"/>
        </w:rPr>
        <w:t>House of Commons</w:t>
      </w:r>
      <w:r w:rsidRPr="00C57CE1">
        <w:rPr>
          <w:rFonts w:ascii="Arial" w:hAnsi="Arial" w:cs="Arial"/>
          <w:lang w:val="en-GB"/>
        </w:rPr>
        <w:t xml:space="preserve">, at </w:t>
      </w:r>
      <w:r w:rsidRPr="0028108F">
        <w:rPr>
          <w:rFonts w:ascii="Arial" w:hAnsi="Arial" w:cs="Arial"/>
          <w:lang w:val="en-GB"/>
        </w:rPr>
        <w:t>3.</w:t>
      </w:r>
    </w:p>
  </w:footnote>
  <w:footnote w:id="81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Same as above</w:t>
      </w:r>
      <w:r w:rsidRPr="00181CF2">
        <w:rPr>
          <w:rFonts w:ascii="Arial" w:hAnsi="Arial" w:cs="Arial"/>
          <w:lang w:val="en-GB"/>
        </w:rPr>
        <w:t>,</w:t>
      </w:r>
      <w:r w:rsidRPr="00C57CE1">
        <w:rPr>
          <w:rFonts w:ascii="Arial" w:hAnsi="Arial" w:cs="Arial"/>
          <w:lang w:val="en-GB"/>
        </w:rPr>
        <w:t xml:space="preserve"> at </w:t>
      </w:r>
      <w:r w:rsidRPr="0028108F">
        <w:rPr>
          <w:rFonts w:ascii="Arial" w:hAnsi="Arial" w:cs="Arial"/>
          <w:lang w:val="en-GB"/>
        </w:rPr>
        <w:t>paragraphs 44 and 45.</w:t>
      </w:r>
    </w:p>
  </w:footnote>
  <w:footnote w:id="817">
    <w:p w:rsidR="0022178B" w:rsidRPr="00181CF2" w:rsidRDefault="0022178B" w:rsidP="00604960">
      <w:pPr>
        <w:pStyle w:val="FootnoteText"/>
        <w:tabs>
          <w:tab w:val="left" w:pos="709"/>
        </w:tabs>
        <w:ind w:left="708" w:hangingChars="354" w:hanging="708"/>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rPr>
        <w:tab/>
        <w:t>See Peter Dunne, “Ten years of gender recognition in the United Kingdom: still a “model for reform”?”</w:t>
      </w:r>
      <w:r w:rsidRPr="00181CF2">
        <w:rPr>
          <w:rFonts w:ascii="Arial" w:hAnsi="Arial" w:cs="Arial"/>
          <w:lang w:val="en-GB"/>
        </w:rPr>
        <w:t xml:space="preserve"> </w:t>
      </w:r>
      <w:r w:rsidRPr="00C57CE1">
        <w:rPr>
          <w:rFonts w:ascii="Arial" w:hAnsi="Arial" w:cs="Arial"/>
          <w:lang w:val="en-GB"/>
        </w:rPr>
        <w:t xml:space="preserve">(2015) </w:t>
      </w:r>
      <w:r w:rsidRPr="00F86CD8">
        <w:rPr>
          <w:rFonts w:ascii="Arial" w:hAnsi="Arial" w:cs="Arial"/>
          <w:lang w:val="en-GB"/>
        </w:rPr>
        <w:t>Public Law</w:t>
      </w:r>
      <w:r w:rsidRPr="00181CF2">
        <w:rPr>
          <w:rFonts w:ascii="Arial" w:hAnsi="Arial" w:cs="Arial"/>
          <w:lang w:val="en-GB"/>
        </w:rPr>
        <w:t xml:space="preserve"> 530.</w:t>
      </w:r>
    </w:p>
  </w:footnote>
  <w:footnote w:id="818">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lang w:val="en-GB"/>
        </w:rPr>
        <w:t>The</w:t>
      </w:r>
      <w:r w:rsidRPr="00C57CE1">
        <w:rPr>
          <w:rFonts w:ascii="Arial" w:hAnsi="Arial" w:cs="Arial"/>
          <w:lang w:val="en-GB"/>
        </w:rPr>
        <w:t xml:space="preserve"> Professional Commons</w:t>
      </w:r>
      <w:r w:rsidRPr="0028108F">
        <w:rPr>
          <w:rFonts w:ascii="Arial" w:hAnsi="Arial" w:cs="Arial"/>
          <w:lang w:val="en-GB"/>
        </w:rPr>
        <w:t>, “Task Force on Transgender Law Reform: Background Paper</w:t>
      </w:r>
      <w:r w:rsidRPr="00181CF2">
        <w:rPr>
          <w:rFonts w:ascii="Arial" w:hAnsi="Arial" w:cs="Arial"/>
          <w:i/>
          <w:lang w:val="en-GB"/>
        </w:rPr>
        <w:t>”</w:t>
      </w:r>
      <w:r w:rsidRPr="00C57CE1">
        <w:rPr>
          <w:rFonts w:ascii="Arial" w:hAnsi="Arial" w:cs="Arial"/>
          <w:lang w:val="en-GB"/>
        </w:rPr>
        <w:t>,</w:t>
      </w:r>
      <w:r w:rsidRPr="0028108F">
        <w:rPr>
          <w:rFonts w:ascii="Arial" w:hAnsi="Arial" w:cs="Arial"/>
          <w:lang w:val="en-GB"/>
        </w:rPr>
        <w:t xml:space="preserve"> including Sam Winter, “It’s really time for change: Towards a Gender Recognition Ordinance for Hong Kong</w:t>
      </w:r>
      <w:r w:rsidRPr="00181CF2">
        <w:rPr>
          <w:rFonts w:ascii="Arial" w:hAnsi="Arial" w:cs="Arial"/>
          <w:lang w:val="en-GB"/>
        </w:rPr>
        <w:t>”</w:t>
      </w:r>
      <w:r w:rsidRPr="00C57CE1">
        <w:rPr>
          <w:rFonts w:ascii="Arial" w:hAnsi="Arial" w:cs="Arial"/>
          <w:i/>
          <w:lang w:val="en-GB"/>
        </w:rPr>
        <w:t xml:space="preserve"> </w:t>
      </w:r>
      <w:r w:rsidRPr="0028108F">
        <w:rPr>
          <w:rFonts w:ascii="Arial" w:hAnsi="Arial" w:cs="Arial"/>
          <w:lang w:val="en-GB"/>
        </w:rPr>
        <w:t>(update</w:t>
      </w:r>
      <w:r>
        <w:rPr>
          <w:rFonts w:ascii="Arial" w:hAnsi="Arial" w:cs="Arial" w:hint="eastAsia"/>
          <w:lang w:val="en-GB" w:eastAsia="zh-TW"/>
        </w:rPr>
        <w:t>d on 3 October 2013</w:t>
      </w:r>
      <w:r w:rsidRPr="0028108F">
        <w:rPr>
          <w:rFonts w:ascii="Arial" w:hAnsi="Arial" w:cs="Arial"/>
          <w:lang w:val="en-GB"/>
        </w:rPr>
        <w:t xml:space="preserve">), at </w:t>
      </w:r>
      <w:r>
        <w:rPr>
          <w:rFonts w:ascii="Arial" w:hAnsi="Arial" w:cs="Arial"/>
          <w:lang w:val="en-GB"/>
        </w:rPr>
        <w:t>14</w:t>
      </w:r>
      <w:r w:rsidRPr="0028108F">
        <w:rPr>
          <w:rFonts w:ascii="Arial" w:hAnsi="Arial" w:cs="Arial"/>
          <w:lang w:val="en-GB"/>
        </w:rPr>
        <w:t>.</w:t>
      </w:r>
    </w:p>
  </w:footnote>
  <w:footnote w:id="819">
    <w:p w:rsidR="0022178B" w:rsidRPr="0028108F" w:rsidRDefault="0022178B" w:rsidP="00961014">
      <w:pPr>
        <w:pStyle w:val="FootnoteText"/>
        <w:tabs>
          <w:tab w:val="left" w:pos="851"/>
        </w:tabs>
        <w:ind w:left="709" w:hanging="709"/>
        <w:jc w:val="both"/>
        <w:rPr>
          <w:rFonts w:ascii="Arial" w:hAnsi="Arial" w:cs="Arial"/>
          <w:lang w:val="en-GB" w:eastAsia="zh-TW"/>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eastAsia="zh-TW"/>
        </w:rPr>
        <w:t xml:space="preserve">Same as above.  </w:t>
      </w:r>
      <w:r w:rsidRPr="0028108F">
        <w:rPr>
          <w:rFonts w:ascii="Arial" w:hAnsi="Arial" w:cs="Arial"/>
          <w:lang w:val="en-GB"/>
        </w:rPr>
        <w:t xml:space="preserve">There have been calls for the current UK law on gender recognition to be reformed; a significant factor being the legal reforms which have taken place in Argentina, Denmark and Malta in recent years.  </w:t>
      </w:r>
    </w:p>
  </w:footnote>
  <w:footnote w:id="820">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HL Deb 29 January 2004 c377.</w:t>
      </w:r>
    </w:p>
  </w:footnote>
  <w:footnote w:id="821">
    <w:p w:rsidR="0022178B" w:rsidRPr="00C57CE1" w:rsidRDefault="0022178B" w:rsidP="00961014">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Dr York Y.N. Chow, “Hong Kong must do right by its transgender minority”</w:t>
      </w:r>
      <w:r w:rsidRPr="00181CF2">
        <w:rPr>
          <w:rFonts w:ascii="Arial" w:hAnsi="Arial" w:cs="Arial"/>
          <w:lang w:val="en-GB"/>
        </w:rPr>
        <w:t xml:space="preserve">, published in the </w:t>
      </w:r>
      <w:r w:rsidRPr="0028108F">
        <w:rPr>
          <w:rFonts w:ascii="Arial" w:hAnsi="Arial" w:cs="Arial"/>
          <w:i/>
          <w:lang w:val="en-GB"/>
        </w:rPr>
        <w:t>South China Morning Post</w:t>
      </w:r>
      <w:r w:rsidRPr="00181CF2">
        <w:rPr>
          <w:rFonts w:ascii="Arial" w:hAnsi="Arial" w:cs="Arial"/>
          <w:lang w:val="en-GB"/>
        </w:rPr>
        <w:t xml:space="preserve"> on 12 July 2013.</w:t>
      </w:r>
    </w:p>
  </w:footnote>
  <w:footnote w:id="822">
    <w:p w:rsidR="0022178B" w:rsidRPr="0028108F" w:rsidRDefault="0022178B" w:rsidP="004633AF">
      <w:pPr>
        <w:pStyle w:val="FootnoteText"/>
        <w:tabs>
          <w:tab w:val="left" w:pos="851"/>
        </w:tabs>
        <w:ind w:left="709" w:hanging="709"/>
        <w:jc w:val="both"/>
        <w:rPr>
          <w:rFonts w:ascii="Arial" w:hAnsi="Arial" w:cs="Arial"/>
          <w:lang w:val="en-GB"/>
        </w:rPr>
      </w:pPr>
      <w:r w:rsidRPr="00C57CE1">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Wallbank represented and appeared on behalf of </w:t>
      </w:r>
      <w:r>
        <w:rPr>
          <w:rFonts w:ascii="Arial" w:hAnsi="Arial" w:cs="Arial" w:hint="eastAsia"/>
          <w:lang w:val="en-GB" w:eastAsia="zh-TW"/>
        </w:rPr>
        <w:t>the post-operative female to male transsexual applicant</w:t>
      </w:r>
      <w:r w:rsidRPr="0028108F">
        <w:rPr>
          <w:rFonts w:ascii="Arial" w:hAnsi="Arial" w:cs="Arial"/>
          <w:lang w:val="en-GB"/>
        </w:rPr>
        <w:t xml:space="preserve"> at trial in</w:t>
      </w:r>
      <w:r>
        <w:rPr>
          <w:rFonts w:ascii="Arial" w:hAnsi="Arial" w:cs="Arial" w:hint="eastAsia"/>
          <w:lang w:val="en-GB" w:eastAsia="zh-TW"/>
        </w:rPr>
        <w:t xml:space="preserve"> an Australian case concerning his right to marry according to his new gender namely</w:t>
      </w:r>
      <w:r w:rsidRPr="0028108F">
        <w:rPr>
          <w:rFonts w:ascii="Arial" w:hAnsi="Arial" w:cs="Arial"/>
          <w:lang w:val="en-GB"/>
        </w:rPr>
        <w:t xml:space="preserve"> </w:t>
      </w:r>
      <w:r w:rsidRPr="0028108F">
        <w:rPr>
          <w:rFonts w:ascii="Arial" w:hAnsi="Arial" w:cs="Arial"/>
          <w:i/>
          <w:lang w:val="en-GB"/>
        </w:rPr>
        <w:t xml:space="preserve">Re Kevin: Validity of Marriage of Transsexual </w:t>
      </w:r>
      <w:r w:rsidRPr="0028108F">
        <w:rPr>
          <w:rFonts w:ascii="Arial" w:hAnsi="Arial" w:cs="Arial"/>
          <w:lang w:val="en-GB"/>
        </w:rPr>
        <w:t xml:space="preserve">(2001) 28 Fam LR 158, and on appeal in </w:t>
      </w:r>
      <w:r w:rsidRPr="0028108F">
        <w:rPr>
          <w:rFonts w:ascii="Arial" w:hAnsi="Arial" w:cs="Arial"/>
          <w:i/>
          <w:lang w:val="en-GB"/>
        </w:rPr>
        <w:t>Attorney-General for the Commonwealth v Kevin and Others</w:t>
      </w:r>
      <w:r w:rsidRPr="0028108F">
        <w:rPr>
          <w:rFonts w:ascii="Arial" w:hAnsi="Arial" w:cs="Arial"/>
          <w:lang w:val="en-GB"/>
        </w:rPr>
        <w:t xml:space="preserve"> [2003] FamCA 94.  She is a member of the Legal Issues Committee of the WPATH and a founding member of the Australian and New Zealand </w:t>
      </w:r>
      <w:r w:rsidRPr="0028108F">
        <w:rPr>
          <w:rFonts w:ascii="Arial" w:hAnsi="Arial" w:cs="Arial"/>
          <w:lang w:val="en-GB" w:eastAsia="zh-TW"/>
        </w:rPr>
        <w:t>P</w:t>
      </w:r>
      <w:r w:rsidRPr="0028108F">
        <w:rPr>
          <w:rFonts w:ascii="Arial" w:hAnsi="Arial" w:cs="Arial"/>
          <w:lang w:val="en-GB"/>
        </w:rPr>
        <w:t>rofessional Association for Transgender Health.</w:t>
      </w:r>
    </w:p>
  </w:footnote>
  <w:footnote w:id="823">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Rachael Wallbank, “The Legal Status Of People Who Experience Difference In Sexual Formation And Gender Expression In Australia”</w:t>
      </w:r>
      <w:r w:rsidRPr="00181CF2">
        <w:rPr>
          <w:rFonts w:ascii="Arial" w:hAnsi="Arial" w:cs="Arial"/>
          <w:lang w:val="en-GB"/>
        </w:rPr>
        <w:t>,</w:t>
      </w:r>
      <w:r w:rsidRPr="00C57CE1">
        <w:rPr>
          <w:rFonts w:ascii="Arial" w:hAnsi="Arial" w:cs="Arial"/>
          <w:lang w:val="en-GB"/>
        </w:rPr>
        <w:t xml:space="preserve"> in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1st ed, December 2015), at 523 to 524.</w:t>
      </w:r>
    </w:p>
  </w:footnote>
  <w:footnote w:id="824">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 xml:space="preserve">Wallbank defines </w:t>
      </w:r>
      <w:r>
        <w:rPr>
          <w:rFonts w:ascii="Arial" w:hAnsi="Arial" w:cs="Arial"/>
          <w:lang w:val="en-GB" w:eastAsia="zh-TW"/>
        </w:rPr>
        <w:t>“</w:t>
      </w:r>
      <w:r w:rsidRPr="0028108F">
        <w:rPr>
          <w:rFonts w:ascii="Arial" w:hAnsi="Arial" w:cs="Arial"/>
          <w:lang w:val="en-GB"/>
        </w:rPr>
        <w:t>Legal Sex</w:t>
      </w:r>
      <w:r>
        <w:rPr>
          <w:rFonts w:ascii="Arial" w:hAnsi="Arial" w:cs="Arial"/>
          <w:lang w:val="en-GB" w:eastAsia="zh-TW"/>
        </w:rPr>
        <w:t>”</w:t>
      </w:r>
      <w:r>
        <w:rPr>
          <w:rFonts w:ascii="Arial" w:hAnsi="Arial" w:cs="Arial"/>
          <w:lang w:val="en-GB"/>
        </w:rPr>
        <w:t xml:space="preserve"> as </w:t>
      </w:r>
      <w:r>
        <w:rPr>
          <w:rFonts w:ascii="Arial" w:hAnsi="Arial" w:cs="Arial"/>
          <w:lang w:val="en-GB" w:eastAsia="zh-TW"/>
        </w:rPr>
        <w:t>“</w:t>
      </w:r>
      <w:r w:rsidRPr="0028108F">
        <w:rPr>
          <w:rFonts w:ascii="Arial" w:hAnsi="Arial" w:cs="Arial"/>
          <w:i/>
          <w:lang w:val="en-GB"/>
        </w:rPr>
        <w:t>the legal categorisation of a person’s sex, usually assigned at or near the birth event, being a part of the legal identity of a person.</w:t>
      </w:r>
      <w:r>
        <w:rPr>
          <w:rFonts w:ascii="Arial" w:hAnsi="Arial" w:cs="Arial"/>
          <w:lang w:val="en-GB" w:eastAsia="zh-TW"/>
        </w:rPr>
        <w:t>”</w:t>
      </w:r>
      <w:r w:rsidRPr="0028108F">
        <w:rPr>
          <w:rFonts w:ascii="Arial" w:hAnsi="Arial" w:cs="Arial"/>
          <w:lang w:val="en-GB"/>
        </w:rPr>
        <w:t xml:space="preserve">  See</w:t>
      </w:r>
      <w:r w:rsidRPr="0028108F">
        <w:rPr>
          <w:rFonts w:ascii="Arial" w:hAnsi="Arial" w:cs="Arial"/>
          <w:color w:val="000000" w:themeColor="text1"/>
          <w:lang w:val="en-GB"/>
        </w:rPr>
        <w:t xml:space="preserve"> Rachael Wallbank, “The Legal Status Of People Who Experience Difference In Sexual Formation And Gender Expression In Australia”</w:t>
      </w:r>
      <w:r w:rsidRPr="00181CF2">
        <w:rPr>
          <w:rFonts w:ascii="Arial" w:hAnsi="Arial" w:cs="Arial"/>
          <w:color w:val="000000" w:themeColor="text1"/>
          <w:lang w:val="en-GB"/>
        </w:rPr>
        <w:t xml:space="preserve">, in </w:t>
      </w:r>
      <w:r w:rsidRPr="00C57CE1">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1st ed, December 2015), at 466.</w:t>
      </w:r>
    </w:p>
  </w:footnote>
  <w:footnote w:id="825">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See Rachael Wallbank, “The Legal Status Of People Who Experience Difference In Sexual Formation And Gender Expression In Australia”</w:t>
      </w:r>
      <w:r w:rsidRPr="00181CF2">
        <w:rPr>
          <w:rFonts w:ascii="Arial" w:hAnsi="Arial" w:cs="Arial"/>
          <w:lang w:val="en-GB"/>
        </w:rPr>
        <w:t>,</w:t>
      </w:r>
      <w:r w:rsidRPr="00C57CE1">
        <w:rPr>
          <w:rFonts w:ascii="Arial" w:hAnsi="Arial" w:cs="Arial"/>
          <w:lang w:val="en-GB"/>
        </w:rPr>
        <w:t xml:space="preserve"> in </w:t>
      </w:r>
      <w:r w:rsidRPr="0028108F">
        <w:rPr>
          <w:rFonts w:ascii="Arial" w:hAnsi="Arial" w:cs="Arial"/>
          <w:color w:val="000000" w:themeColor="text1"/>
          <w:lang w:val="en-GB"/>
        </w:rPr>
        <w:t>Jens</w:t>
      </w:r>
      <w:r w:rsidRPr="0028108F">
        <w:rPr>
          <w:rFonts w:ascii="Arial" w:hAnsi="Arial" w:cs="Arial"/>
          <w:lang w:val="en-GB"/>
        </w:rPr>
        <w:t xml:space="preserve"> M Scherpe (ed), </w:t>
      </w:r>
      <w:r w:rsidRPr="0028108F">
        <w:rPr>
          <w:rFonts w:ascii="Arial" w:hAnsi="Arial" w:cs="Arial"/>
          <w:i/>
          <w:lang w:val="en-GB"/>
        </w:rPr>
        <w:t>The Legal Status of Transsexual and Transgender Persons</w:t>
      </w:r>
      <w:r w:rsidRPr="00181CF2">
        <w:rPr>
          <w:rFonts w:ascii="Arial" w:hAnsi="Arial" w:cs="Arial"/>
          <w:lang w:val="en-GB"/>
        </w:rPr>
        <w:t xml:space="preserve"> </w:t>
      </w:r>
      <w:r w:rsidRPr="00C57CE1">
        <w:rPr>
          <w:rFonts w:ascii="Arial" w:hAnsi="Arial" w:cs="Arial"/>
          <w:lang w:val="en-GB"/>
        </w:rPr>
        <w:t>(</w:t>
      </w:r>
      <w:r w:rsidRPr="0028108F">
        <w:rPr>
          <w:rFonts w:ascii="Arial" w:hAnsi="Arial" w:cs="Arial"/>
          <w:lang w:val="en-GB"/>
        </w:rPr>
        <w:t>1st ed, December 2015)</w:t>
      </w:r>
      <w:r w:rsidRPr="0028108F">
        <w:rPr>
          <w:rFonts w:ascii="Arial" w:hAnsi="Arial" w:cs="Arial"/>
          <w:lang w:val="en-GB" w:eastAsia="zh-TW"/>
        </w:rPr>
        <w:t>,</w:t>
      </w:r>
      <w:r w:rsidRPr="0028108F">
        <w:rPr>
          <w:rFonts w:ascii="Arial" w:hAnsi="Arial" w:cs="Arial"/>
          <w:lang w:val="en-GB"/>
        </w:rPr>
        <w:t xml:space="preserve"> at 505.</w:t>
      </w:r>
    </w:p>
  </w:footnote>
  <w:footnote w:id="826">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Re Kevin: Validity of Marriage of Transsexual </w:t>
      </w:r>
      <w:r w:rsidRPr="0028108F">
        <w:rPr>
          <w:rFonts w:ascii="Arial" w:hAnsi="Arial" w:cs="Arial"/>
          <w:lang w:val="en-GB"/>
        </w:rPr>
        <w:t xml:space="preserve">(2001) 28 Fam LR 158.  The decision and the reasoning were upheld unanimously on appeal: </w:t>
      </w:r>
      <w:r w:rsidRPr="0028108F">
        <w:rPr>
          <w:rFonts w:ascii="Arial" w:hAnsi="Arial" w:cs="Arial"/>
          <w:i/>
          <w:lang w:val="en-GB"/>
        </w:rPr>
        <w:t xml:space="preserve">Attorney-General for the Commonwealth v Kevin and Others </w:t>
      </w:r>
      <w:r>
        <w:rPr>
          <w:rFonts w:ascii="Arial" w:hAnsi="Arial" w:cs="Arial"/>
          <w:lang w:val="en-GB"/>
        </w:rPr>
        <w:t>[2003] FamCA 94</w:t>
      </w:r>
      <w:r w:rsidRPr="0028108F">
        <w:rPr>
          <w:rFonts w:ascii="Arial" w:hAnsi="Arial" w:cs="Arial"/>
          <w:lang w:val="en-GB"/>
        </w:rPr>
        <w:t>.</w:t>
      </w:r>
    </w:p>
  </w:footnote>
  <w:footnote w:id="827">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i/>
          <w:lang w:val="en-GB"/>
        </w:rPr>
        <w:t xml:space="preserve">Re Kevin, </w:t>
      </w:r>
      <w:r w:rsidRPr="0028108F">
        <w:rPr>
          <w:rFonts w:ascii="Arial" w:hAnsi="Arial" w:cs="Arial"/>
          <w:lang w:val="en-GB"/>
        </w:rPr>
        <w:t>at paragraph 330.</w:t>
      </w:r>
    </w:p>
  </w:footnote>
  <w:footnote w:id="828">
    <w:p w:rsidR="0022178B" w:rsidRPr="00181CF2"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28108F">
        <w:rPr>
          <w:rFonts w:ascii="Arial" w:hAnsi="Arial" w:cs="Arial"/>
          <w:lang w:val="en-GB" w:eastAsia="zh-TW"/>
        </w:rPr>
        <w:t>Same as above</w:t>
      </w:r>
      <w:r w:rsidRPr="00181CF2">
        <w:rPr>
          <w:rFonts w:ascii="Arial" w:hAnsi="Arial" w:cs="Arial"/>
          <w:lang w:val="en-GB"/>
        </w:rPr>
        <w:t>, at 524.</w:t>
      </w:r>
    </w:p>
  </w:footnote>
  <w:footnote w:id="829">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r>
      <w:r w:rsidRPr="00181CF2">
        <w:rPr>
          <w:rFonts w:ascii="Arial" w:hAnsi="Arial" w:cs="Arial"/>
          <w:color w:val="000000" w:themeColor="text1"/>
          <w:lang w:val="en-GB"/>
        </w:rPr>
        <w:t xml:space="preserve">A HKIC is required for most real life situations </w:t>
      </w:r>
      <w:r w:rsidRPr="00C57CE1">
        <w:rPr>
          <w:rFonts w:ascii="Arial" w:hAnsi="Arial" w:cs="Arial"/>
          <w:color w:val="000000" w:themeColor="text1"/>
          <w:lang w:val="en-GB"/>
        </w:rPr>
        <w:t>in Hong Kong,</w:t>
      </w:r>
      <w:r w:rsidRPr="0028108F">
        <w:rPr>
          <w:rFonts w:ascii="Arial" w:hAnsi="Arial" w:cs="Arial"/>
          <w:color w:val="000000" w:themeColor="text1"/>
          <w:lang w:val="en-GB"/>
        </w:rPr>
        <w:t xml:space="preserve"> such as entering into a phone contract; travelling across borders; starting a new job; being called into a doctor’s waiting room; opening bank or library accounts; or being inspected by police beat officers on street patrol.</w:t>
      </w:r>
    </w:p>
  </w:footnote>
  <w:footnote w:id="830">
    <w:p w:rsidR="0022178B" w:rsidRPr="0028108F"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181CF2">
        <w:rPr>
          <w:rFonts w:ascii="Arial" w:hAnsi="Arial" w:cs="Arial"/>
          <w:lang w:val="en-GB"/>
        </w:rPr>
        <w:t xml:space="preserve"> </w:t>
      </w:r>
      <w:r w:rsidRPr="00C57CE1">
        <w:rPr>
          <w:rFonts w:ascii="Arial" w:hAnsi="Arial" w:cs="Arial"/>
          <w:lang w:val="en-GB"/>
        </w:rPr>
        <w:tab/>
      </w:r>
      <w:r w:rsidRPr="0028108F">
        <w:rPr>
          <w:rFonts w:ascii="Arial" w:hAnsi="Arial" w:cs="Arial"/>
          <w:lang w:val="en-GB"/>
        </w:rPr>
        <w:t xml:space="preserve">See the statement made by Robyn Emerton, as quoted in paragraph </w:t>
      </w:r>
      <w:r w:rsidRPr="008813DE">
        <w:rPr>
          <w:rFonts w:ascii="Arial" w:hAnsi="Arial" w:cs="Arial"/>
          <w:lang w:val="en-GB"/>
        </w:rPr>
        <w:t>5.1</w:t>
      </w:r>
      <w:r w:rsidRPr="00940B40">
        <w:rPr>
          <w:rFonts w:ascii="Arial" w:hAnsi="Arial" w:cs="Arial"/>
          <w:lang w:val="en-GB"/>
        </w:rPr>
        <w:t>6</w:t>
      </w:r>
      <w:r w:rsidRPr="0028108F">
        <w:rPr>
          <w:rFonts w:ascii="Arial" w:hAnsi="Arial" w:cs="Arial"/>
          <w:lang w:val="en-GB"/>
        </w:rPr>
        <w:t xml:space="preserve"> of this Paper.</w:t>
      </w:r>
    </w:p>
  </w:footnote>
  <w:footnote w:id="831">
    <w:p w:rsidR="0022178B" w:rsidRPr="0028108F" w:rsidRDefault="0022178B" w:rsidP="0028108F">
      <w:pPr>
        <w:pStyle w:val="FootnoteText"/>
        <w:tabs>
          <w:tab w:val="left" w:pos="851"/>
        </w:tabs>
        <w:ind w:left="709" w:hanging="709"/>
        <w:jc w:val="both"/>
        <w:rPr>
          <w:rFonts w:ascii="Arial" w:hAnsi="Arial" w:cs="Arial"/>
        </w:rPr>
      </w:pPr>
      <w:r w:rsidRPr="0028108F">
        <w:rPr>
          <w:rFonts w:ascii="Arial" w:hAnsi="Arial" w:cs="Arial"/>
          <w:color w:val="000000" w:themeColor="text1"/>
          <w:lang w:val="en-GB"/>
        </w:rPr>
        <w:footnoteRef/>
      </w:r>
      <w:r w:rsidRPr="0028108F">
        <w:rPr>
          <w:rFonts w:ascii="Arial" w:hAnsi="Arial" w:cs="Arial"/>
          <w:color w:val="000000" w:themeColor="text1"/>
          <w:lang w:val="en-GB"/>
        </w:rPr>
        <w:t xml:space="preserve"> </w:t>
      </w:r>
      <w:r w:rsidRPr="00181CF2">
        <w:rPr>
          <w:rFonts w:ascii="Arial" w:hAnsi="Arial" w:cs="Arial"/>
          <w:color w:val="000000" w:themeColor="text1"/>
          <w:lang w:val="en-GB"/>
        </w:rPr>
        <w:tab/>
      </w:r>
      <w:r w:rsidRPr="00C57CE1">
        <w:rPr>
          <w:rFonts w:ascii="Arial" w:hAnsi="Arial" w:cs="Arial"/>
          <w:color w:val="000000" w:themeColor="text1"/>
          <w:lang w:val="en-GB"/>
        </w:rPr>
        <w:t>Post-Recognition Issues g</w:t>
      </w:r>
      <w:r w:rsidRPr="0028108F">
        <w:rPr>
          <w:rFonts w:ascii="Arial" w:hAnsi="Arial" w:cs="Arial"/>
          <w:color w:val="000000" w:themeColor="text1"/>
          <w:lang w:val="en-GB"/>
        </w:rPr>
        <w:t xml:space="preserve">enerally concern </w:t>
      </w:r>
      <w:r w:rsidRPr="0028108F" w:rsidDel="00BB3EC1">
        <w:rPr>
          <w:rFonts w:ascii="Arial" w:hAnsi="Arial" w:cs="Arial"/>
          <w:color w:val="000000" w:themeColor="text1"/>
          <w:lang w:val="en-GB"/>
        </w:rPr>
        <w:t>the impact of gender recognition on existing laws</w:t>
      </w:r>
      <w:r w:rsidRPr="00181CF2">
        <w:rPr>
          <w:rFonts w:ascii="Arial" w:hAnsi="Arial" w:cs="Arial"/>
          <w:color w:val="000000" w:themeColor="text1"/>
          <w:lang w:val="en-GB"/>
        </w:rPr>
        <w:t xml:space="preserve"> which</w:t>
      </w:r>
      <w:r w:rsidRPr="0028108F" w:rsidDel="00BB3EC1">
        <w:rPr>
          <w:rFonts w:ascii="Arial" w:hAnsi="Arial" w:cs="Arial"/>
          <w:color w:val="000000" w:themeColor="text1"/>
          <w:lang w:val="en-GB"/>
        </w:rPr>
        <w:t xml:space="preserve"> may touch on a wide range of legal areas with many possible legal consequences to be addressed.  In </w:t>
      </w:r>
      <w:r w:rsidRPr="00181CF2">
        <w:rPr>
          <w:rFonts w:ascii="Arial" w:hAnsi="Arial" w:cs="Arial"/>
          <w:color w:val="000000" w:themeColor="text1"/>
          <w:lang w:val="en-GB"/>
        </w:rPr>
        <w:t>some</w:t>
      </w:r>
      <w:r w:rsidRPr="0028108F" w:rsidDel="00BB3EC1">
        <w:rPr>
          <w:rFonts w:ascii="Arial" w:hAnsi="Arial" w:cs="Arial"/>
          <w:color w:val="000000" w:themeColor="text1"/>
          <w:lang w:val="en-GB"/>
        </w:rPr>
        <w:t xml:space="preserve"> overseas jurisdictions, individuals who have obtained legal gender recognition in principle will be recognised in their preferred gender for all legal purposes.  However, exceptions to this general rule may apply in certain areas of law, such as criminal law, family law, or in the law regarding healthcare, sport, etc.</w:t>
      </w:r>
    </w:p>
  </w:footnote>
  <w:footnote w:id="832">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eastAsia="細明體" w:hAnsi="Arial" w:cs="Arial"/>
          <w:iCs/>
          <w:color w:val="000000"/>
          <w:kern w:val="0"/>
          <w:lang w:val="en-GB"/>
        </w:rPr>
        <w:footnoteRef/>
      </w:r>
      <w:r w:rsidRPr="0028108F">
        <w:rPr>
          <w:rFonts w:ascii="Arial" w:eastAsia="細明體" w:hAnsi="Arial" w:cs="Arial"/>
          <w:iCs/>
          <w:color w:val="000000"/>
          <w:kern w:val="0"/>
          <w:lang w:val="en-GB"/>
        </w:rPr>
        <w:t xml:space="preserve"> </w:t>
      </w:r>
      <w:r w:rsidRPr="00181CF2">
        <w:rPr>
          <w:rFonts w:ascii="Arial" w:eastAsia="細明體" w:hAnsi="Arial" w:cs="Arial"/>
          <w:iCs/>
          <w:color w:val="000000"/>
          <w:kern w:val="0"/>
          <w:lang w:val="en-GB"/>
        </w:rPr>
        <w:tab/>
      </w:r>
      <w:r w:rsidRPr="0028108F">
        <w:rPr>
          <w:rFonts w:ascii="Arial" w:eastAsia="細明體" w:hAnsi="Arial" w:cs="Arial"/>
          <w:iCs/>
          <w:color w:val="000000"/>
          <w:kern w:val="0"/>
          <w:lang w:val="en-GB"/>
        </w:rPr>
        <w:t xml:space="preserve">This is </w:t>
      </w:r>
      <w:r w:rsidRPr="0028108F">
        <w:rPr>
          <w:rFonts w:ascii="Arial" w:hAnsi="Arial" w:cs="Arial"/>
          <w:color w:val="000000" w:themeColor="text1"/>
          <w:lang w:val="en-GB"/>
        </w:rPr>
        <w:t>completed</w:t>
      </w:r>
      <w:r w:rsidRPr="0028108F">
        <w:rPr>
          <w:rFonts w:ascii="Arial" w:eastAsia="細明體" w:hAnsi="Arial" w:cs="Arial"/>
          <w:iCs/>
          <w:color w:val="000000"/>
          <w:kern w:val="0"/>
          <w:lang w:val="en-GB"/>
        </w:rPr>
        <w:t xml:space="preserve"> by reference to biological criteria - </w:t>
      </w:r>
      <w:r w:rsidRPr="00181CF2">
        <w:rPr>
          <w:rFonts w:ascii="Arial" w:eastAsia="細明體" w:hAnsi="Arial" w:cs="Arial"/>
          <w:iCs/>
          <w:color w:val="000000"/>
          <w:kern w:val="0"/>
          <w:lang w:val="en-GB"/>
        </w:rPr>
        <w:t>primarily the</w:t>
      </w:r>
      <w:r w:rsidRPr="00C57CE1">
        <w:rPr>
          <w:rFonts w:ascii="Arial" w:eastAsia="細明體" w:hAnsi="Arial" w:cs="Arial"/>
          <w:iCs/>
          <w:color w:val="000000"/>
          <w:kern w:val="0"/>
          <w:lang w:val="en-GB"/>
        </w:rPr>
        <w:t xml:space="preserve"> </w:t>
      </w:r>
      <w:r w:rsidRPr="0028108F">
        <w:rPr>
          <w:rFonts w:ascii="Arial" w:eastAsia="細明體" w:hAnsi="Arial" w:cs="Arial"/>
          <w:iCs/>
          <w:color w:val="000000"/>
          <w:kern w:val="0"/>
          <w:lang w:val="en-GB"/>
        </w:rPr>
        <w:t>genitals (penis in males; vagina in females), but also gonads (testes in males;</w:t>
      </w:r>
      <w:r w:rsidRPr="00181CF2">
        <w:rPr>
          <w:rFonts w:ascii="Arial" w:eastAsia="細明體" w:hAnsi="Arial" w:cs="Arial"/>
          <w:iCs/>
          <w:color w:val="000000"/>
          <w:kern w:val="0"/>
          <w:lang w:val="en-GB"/>
        </w:rPr>
        <w:t xml:space="preserve"> </w:t>
      </w:r>
      <w:r w:rsidRPr="0028108F">
        <w:rPr>
          <w:rFonts w:ascii="Arial" w:eastAsia="細明體" w:hAnsi="Arial" w:cs="Arial"/>
          <w:iCs/>
          <w:color w:val="000000"/>
          <w:kern w:val="0"/>
          <w:lang w:val="en-GB"/>
        </w:rPr>
        <w:t>ovaries in females) and chromosomes (XY in males; XX in females) in less</w:t>
      </w:r>
      <w:r w:rsidRPr="00181CF2">
        <w:rPr>
          <w:rFonts w:ascii="Arial" w:eastAsia="細明體" w:hAnsi="Arial" w:cs="Arial"/>
          <w:iCs/>
          <w:color w:val="000000"/>
          <w:kern w:val="0"/>
          <w:lang w:val="en-GB"/>
        </w:rPr>
        <w:t xml:space="preserve"> </w:t>
      </w:r>
      <w:r w:rsidRPr="0028108F">
        <w:rPr>
          <w:rFonts w:ascii="Arial" w:eastAsia="細明體" w:hAnsi="Arial" w:cs="Arial"/>
          <w:iCs/>
          <w:color w:val="000000"/>
          <w:kern w:val="0"/>
          <w:lang w:val="en-GB"/>
        </w:rPr>
        <w:t xml:space="preserve">straightforward cases.  See </w:t>
      </w:r>
      <w:r w:rsidRPr="00181CF2">
        <w:rPr>
          <w:rFonts w:ascii="Arial" w:eastAsia="細明體" w:hAnsi="Arial" w:cs="Arial"/>
          <w:iCs/>
          <w:color w:val="000000"/>
          <w:kern w:val="0"/>
          <w:lang w:val="en-GB"/>
        </w:rPr>
        <w:t>Robyn Emerton, “</w:t>
      </w:r>
      <w:r w:rsidRPr="00C57CE1">
        <w:rPr>
          <w:rFonts w:ascii="Arial" w:eastAsia="細明體" w:hAnsi="Arial" w:cs="Arial"/>
          <w:iCs/>
          <w:color w:val="000000"/>
          <w:kern w:val="0"/>
          <w:lang w:val="en-GB"/>
        </w:rPr>
        <w:t>Neither Here Nor There: The Current Status Of Transsexual And Other Transgender Persons Under Hong Kong Law”</w:t>
      </w:r>
      <w:r w:rsidRPr="0028108F">
        <w:rPr>
          <w:rFonts w:ascii="Arial" w:eastAsia="細明體" w:hAnsi="Arial" w:cs="Arial"/>
          <w:color w:val="000000"/>
          <w:kern w:val="0"/>
          <w:lang w:val="en-GB"/>
        </w:rPr>
        <w:t xml:space="preserve"> (2004) </w:t>
      </w:r>
      <w:r>
        <w:rPr>
          <w:rFonts w:ascii="Arial" w:eastAsia="細明體" w:hAnsi="Arial" w:cs="Arial"/>
          <w:color w:val="000000"/>
          <w:kern w:val="0"/>
          <w:lang w:val="en-GB"/>
        </w:rPr>
        <w:t xml:space="preserve">34 </w:t>
      </w:r>
      <w:r w:rsidRPr="00F86CD8">
        <w:rPr>
          <w:rFonts w:ascii="Arial" w:eastAsia="細明體" w:hAnsi="Arial" w:cs="Arial"/>
          <w:color w:val="000000"/>
          <w:kern w:val="0"/>
          <w:lang w:val="en-GB"/>
        </w:rPr>
        <w:t>HKLJ</w:t>
      </w:r>
      <w:r w:rsidRPr="0028108F">
        <w:rPr>
          <w:rFonts w:ascii="Arial" w:eastAsia="細明體" w:hAnsi="Arial" w:cs="Arial"/>
          <w:color w:val="000000"/>
          <w:kern w:val="0"/>
          <w:lang w:val="en-GB"/>
        </w:rPr>
        <w:t xml:space="preserve"> 245, at 257.</w:t>
      </w:r>
    </w:p>
  </w:footnote>
  <w:footnote w:id="833">
    <w:p w:rsidR="0022178B" w:rsidRPr="0028108F" w:rsidRDefault="0022178B" w:rsidP="0028108F">
      <w:pPr>
        <w:pStyle w:val="FootnoteText"/>
        <w:tabs>
          <w:tab w:val="left" w:pos="851"/>
        </w:tabs>
        <w:ind w:left="709" w:hanging="709"/>
        <w:jc w:val="both"/>
        <w:rPr>
          <w:rFonts w:ascii="Arial" w:hAnsi="Arial" w:cs="Arial"/>
        </w:rPr>
      </w:pPr>
      <w:r w:rsidRPr="0028108F">
        <w:rPr>
          <w:rFonts w:ascii="Arial" w:hAnsi="Arial" w:cs="Arial"/>
          <w:lang w:val="en-GB"/>
        </w:rPr>
        <w:footnoteRef/>
      </w:r>
      <w:r w:rsidRPr="0028108F">
        <w:rPr>
          <w:rFonts w:ascii="Arial" w:hAnsi="Arial" w:cs="Arial"/>
        </w:rPr>
        <w:t xml:space="preserve"> </w:t>
      </w:r>
      <w:r w:rsidRPr="0028108F">
        <w:rPr>
          <w:rFonts w:ascii="Arial" w:hAnsi="Arial" w:cs="Arial"/>
          <w:lang w:val="en-US"/>
        </w:rPr>
        <w:tab/>
      </w:r>
      <w:r w:rsidRPr="00181CF2">
        <w:rPr>
          <w:rFonts w:ascii="Arial" w:hAnsi="Arial" w:cs="Arial"/>
          <w:i/>
          <w:lang w:val="en-GB"/>
        </w:rPr>
        <w:t>W v Registrar of Marriages</w:t>
      </w:r>
      <w:r w:rsidRPr="00C57CE1">
        <w:rPr>
          <w:rFonts w:ascii="Arial" w:hAnsi="Arial" w:cs="Arial"/>
          <w:lang w:val="en-GB"/>
        </w:rPr>
        <w:t xml:space="preserve">, </w:t>
      </w:r>
      <w:r w:rsidRPr="008813DE">
        <w:rPr>
          <w:rFonts w:ascii="Arial" w:hAnsi="Arial" w:cs="Arial"/>
          <w:lang w:val="en-GB"/>
        </w:rPr>
        <w:t>HCAL</w:t>
      </w:r>
      <w:r w:rsidRPr="0028108F">
        <w:rPr>
          <w:rFonts w:ascii="Arial" w:hAnsi="Arial" w:cs="Arial"/>
          <w:lang w:val="en-GB"/>
        </w:rPr>
        <w:t xml:space="preserve"> 120/2009 (CFI), judgment of 5 October 20</w:t>
      </w:r>
      <w:r>
        <w:rPr>
          <w:rFonts w:ascii="Arial" w:hAnsi="Arial" w:cs="Arial"/>
          <w:lang w:val="en-GB"/>
        </w:rPr>
        <w:t>10</w:t>
      </w:r>
      <w:r w:rsidRPr="0028108F">
        <w:rPr>
          <w:rFonts w:ascii="Arial" w:hAnsi="Arial" w:cs="Arial"/>
          <w:lang w:val="en-GB"/>
        </w:rPr>
        <w:t>, at paragraph 45.</w:t>
      </w:r>
    </w:p>
  </w:footnote>
  <w:footnote w:id="834">
    <w:p w:rsidR="0022178B" w:rsidRPr="0028108F" w:rsidRDefault="0022178B" w:rsidP="00394A27">
      <w:pPr>
        <w:pStyle w:val="FootnoteText"/>
        <w:tabs>
          <w:tab w:val="left" w:pos="851"/>
        </w:tabs>
        <w:ind w:left="709" w:hanging="709"/>
        <w:jc w:val="both"/>
        <w:rPr>
          <w:rFonts w:ascii="Arial" w:hAnsi="Arial" w:cs="Arial"/>
          <w:lang w:val="en-US"/>
        </w:rPr>
      </w:pPr>
      <w:r w:rsidRPr="0028108F">
        <w:rPr>
          <w:rFonts w:ascii="Arial" w:eastAsia="細明體" w:hAnsi="Arial" w:cs="Arial"/>
          <w:iCs/>
          <w:color w:val="000000"/>
          <w:kern w:val="0"/>
          <w:lang w:val="en-GB"/>
        </w:rPr>
        <w:footnoteRef/>
      </w:r>
      <w:r w:rsidRPr="0028108F">
        <w:rPr>
          <w:rFonts w:ascii="Arial" w:eastAsia="細明體" w:hAnsi="Arial" w:cs="Arial"/>
          <w:iCs/>
          <w:color w:val="000000"/>
          <w:kern w:val="0"/>
          <w:lang w:val="en-GB"/>
        </w:rPr>
        <w:t xml:space="preserve"> </w:t>
      </w:r>
      <w:r w:rsidRPr="0028108F">
        <w:rPr>
          <w:rFonts w:ascii="Arial" w:eastAsia="細明體" w:hAnsi="Arial" w:cs="Arial"/>
          <w:iCs/>
          <w:color w:val="000000"/>
          <w:kern w:val="0"/>
          <w:lang w:val="en-GB"/>
        </w:rPr>
        <w:tab/>
        <w:t>See Robyn Emerton, “Neither Here Nor There: The Current Status Of Transsexual And Other Transgender Persons Under Hong Kong Law”</w:t>
      </w:r>
      <w:r w:rsidRPr="0028108F">
        <w:rPr>
          <w:rFonts w:ascii="Arial" w:eastAsia="細明體" w:hAnsi="Arial" w:cs="Arial"/>
          <w:color w:val="000000"/>
          <w:kern w:val="0"/>
          <w:lang w:val="en-GB"/>
        </w:rPr>
        <w:t xml:space="preserve"> (2004) </w:t>
      </w:r>
      <w:r>
        <w:rPr>
          <w:rFonts w:ascii="Arial" w:eastAsia="細明體" w:hAnsi="Arial" w:cs="Arial"/>
          <w:color w:val="000000"/>
          <w:kern w:val="0"/>
          <w:lang w:val="en-GB"/>
        </w:rPr>
        <w:t xml:space="preserve">34 </w:t>
      </w:r>
      <w:r w:rsidRPr="00F86CD8">
        <w:rPr>
          <w:rFonts w:ascii="Arial" w:eastAsia="細明體" w:hAnsi="Arial" w:cs="Arial"/>
          <w:color w:val="000000"/>
          <w:kern w:val="0"/>
          <w:lang w:val="en-GB"/>
        </w:rPr>
        <w:t>HKLJ</w:t>
      </w:r>
      <w:r w:rsidRPr="0028108F">
        <w:rPr>
          <w:rFonts w:ascii="Arial" w:eastAsia="細明體" w:hAnsi="Arial" w:cs="Arial"/>
          <w:color w:val="000000"/>
          <w:kern w:val="0"/>
          <w:lang w:val="en-GB"/>
        </w:rPr>
        <w:t xml:space="preserve"> 245, at 257.</w:t>
      </w:r>
    </w:p>
  </w:footnote>
  <w:footnote w:id="835">
    <w:p w:rsidR="0022178B" w:rsidRPr="0028108F" w:rsidRDefault="0022178B" w:rsidP="0063690B">
      <w:pPr>
        <w:pStyle w:val="FootnoteText"/>
        <w:tabs>
          <w:tab w:val="left" w:pos="851"/>
        </w:tabs>
        <w:ind w:left="709" w:hanging="709"/>
        <w:jc w:val="both"/>
        <w:rPr>
          <w:rFonts w:ascii="Arial" w:hAnsi="Arial" w:cs="Arial"/>
          <w:lang w:val="en-GB"/>
        </w:rPr>
      </w:pPr>
      <w:r w:rsidRPr="00181CF2">
        <w:rPr>
          <w:rStyle w:val="FootnoteReference"/>
          <w:rFonts w:ascii="Arial" w:hAnsi="Arial" w:cs="Arial"/>
          <w:vertAlign w:val="baseline"/>
          <w:lang w:val="en-GB"/>
        </w:rPr>
        <w:footnoteRef/>
      </w:r>
      <w:r w:rsidRPr="00C57CE1">
        <w:rPr>
          <w:rFonts w:ascii="Arial" w:hAnsi="Arial" w:cs="Arial"/>
          <w:lang w:val="en-GB"/>
        </w:rPr>
        <w:t xml:space="preserve"> </w:t>
      </w:r>
      <w:r w:rsidRPr="00C57CE1">
        <w:rPr>
          <w:rFonts w:ascii="Arial" w:hAnsi="Arial" w:cs="Arial"/>
          <w:lang w:val="en-GB"/>
        </w:rPr>
        <w:tab/>
      </w:r>
      <w:r>
        <w:rPr>
          <w:rFonts w:ascii="Arial" w:hAnsi="Arial" w:cs="Arial" w:hint="eastAsia"/>
          <w:lang w:val="en-GB" w:eastAsia="zh-TW"/>
        </w:rPr>
        <w:t>Same as above</w:t>
      </w:r>
      <w:r w:rsidRPr="0028108F">
        <w:rPr>
          <w:rFonts w:ascii="Arial" w:hAnsi="Arial" w:cs="Arial"/>
          <w:lang w:val="en-GB"/>
        </w:rPr>
        <w:t>, at 256.</w:t>
      </w:r>
    </w:p>
  </w:footnote>
  <w:footnote w:id="836">
    <w:p w:rsidR="0022178B" w:rsidRPr="0028108F" w:rsidRDefault="0022178B" w:rsidP="00E721F3">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 xml:space="preserve">See </w:t>
      </w:r>
      <w:r w:rsidRPr="0028108F">
        <w:rPr>
          <w:rFonts w:ascii="Arial" w:hAnsi="Arial" w:cs="Arial"/>
          <w:i/>
          <w:lang w:val="en-GB"/>
        </w:rPr>
        <w:t>Goodwin v The United Kingdom</w:t>
      </w:r>
      <w:r w:rsidRPr="0028108F">
        <w:rPr>
          <w:rFonts w:ascii="Arial" w:hAnsi="Arial" w:cs="Arial"/>
          <w:lang w:val="en-GB"/>
        </w:rPr>
        <w:t xml:space="preserve"> (2002) 35 </w:t>
      </w:r>
      <w:r w:rsidRPr="00F86CD8">
        <w:rPr>
          <w:rFonts w:ascii="Arial" w:hAnsi="Arial" w:cs="Arial"/>
          <w:lang w:val="en-GB"/>
        </w:rPr>
        <w:t>EHRR</w:t>
      </w:r>
      <w:r w:rsidRPr="0028108F">
        <w:rPr>
          <w:rFonts w:ascii="Arial" w:hAnsi="Arial" w:cs="Arial"/>
          <w:lang w:val="en-GB"/>
        </w:rPr>
        <w:t xml:space="preserve"> 18, at paragraph 77, which states:</w:t>
      </w:r>
    </w:p>
    <w:p w:rsidR="0022178B" w:rsidRPr="00181CF2" w:rsidRDefault="0022178B" w:rsidP="0028108F">
      <w:pPr>
        <w:pStyle w:val="FootnoteText"/>
        <w:tabs>
          <w:tab w:val="left" w:pos="851"/>
        </w:tabs>
        <w:ind w:left="993" w:rightChars="94" w:right="226"/>
        <w:jc w:val="both"/>
        <w:rPr>
          <w:rFonts w:ascii="Arial" w:eastAsia="細明體" w:hAnsi="Arial" w:cs="Arial"/>
          <w:i/>
          <w:iCs/>
          <w:color w:val="000000"/>
          <w:kern w:val="0"/>
          <w:lang w:val="en-GB"/>
        </w:rPr>
      </w:pPr>
      <w:r w:rsidRPr="0028108F">
        <w:rPr>
          <w:rFonts w:ascii="Arial" w:eastAsia="細明體" w:hAnsi="Arial" w:cs="Arial"/>
          <w:i/>
          <w:iCs/>
          <w:color w:val="000000"/>
          <w:kern w:val="0"/>
          <w:lang w:val="en-GB"/>
        </w:rPr>
        <w:t xml:space="preserve">“It must also be recognised that serious interference with private life can arise where the state of domestic law conflicts with an important aspect of personal identity </w:t>
      </w:r>
      <w:r w:rsidRPr="00181CF2">
        <w:rPr>
          <w:rFonts w:ascii="Arial" w:eastAsia="細明體" w:hAnsi="Arial" w:cs="Arial"/>
          <w:i/>
          <w:iCs/>
          <w:color w:val="000000"/>
          <w:kern w:val="0"/>
          <w:lang w:val="en-GB"/>
        </w:rPr>
        <w:t xml:space="preserve">… </w:t>
      </w:r>
      <w:r w:rsidRPr="0028108F">
        <w:rPr>
          <w:rFonts w:ascii="Arial" w:eastAsia="細明體" w:hAnsi="Arial" w:cs="Arial"/>
          <w:i/>
          <w:iCs/>
          <w:color w:val="000000"/>
          <w:kern w:val="0"/>
          <w:lang w:val="en-GB"/>
        </w:rPr>
        <w:t>. The stress and alienation arising from a discordance between the position in society assumed by a post-operative transsexual and the status imposed by law which refuses to recognise the change of gender cannot, in the Court's view, be regarded as a minor inconvenience arising from a formality. A conflict between social reality and law arises which places the transsexual in an anomalous position, in which he or she may experience feelings of vulnerability, humiliation and anxiety.”</w:t>
      </w:r>
    </w:p>
    <w:p w:rsidR="0022178B" w:rsidRPr="0028108F" w:rsidRDefault="0022178B">
      <w:pPr>
        <w:pStyle w:val="FootnoteText"/>
        <w:tabs>
          <w:tab w:val="left" w:pos="851"/>
        </w:tabs>
        <w:ind w:left="709" w:hanging="709"/>
        <w:jc w:val="both"/>
        <w:rPr>
          <w:rFonts w:ascii="Arial" w:hAnsi="Arial" w:cs="Arial"/>
          <w:lang w:val="en-GB"/>
        </w:rPr>
      </w:pPr>
      <w:r w:rsidRPr="0028108F">
        <w:rPr>
          <w:rFonts w:ascii="Arial" w:eastAsia="細明體" w:hAnsi="Arial" w:cs="Arial"/>
          <w:iCs/>
          <w:color w:val="000000"/>
          <w:kern w:val="0"/>
          <w:lang w:val="en-GB"/>
        </w:rPr>
        <w:tab/>
        <w:t xml:space="preserve">See also Athena Liu, “Understanding Goodwin: W v Registrar of Marriages” 42 </w:t>
      </w:r>
      <w:r w:rsidRPr="00F86CD8">
        <w:rPr>
          <w:rFonts w:ascii="Arial" w:eastAsia="細明體" w:hAnsi="Arial" w:cs="Arial"/>
          <w:iCs/>
          <w:color w:val="000000"/>
          <w:kern w:val="0"/>
          <w:lang w:val="en-GB"/>
        </w:rPr>
        <w:t>HKLJ</w:t>
      </w:r>
      <w:r w:rsidRPr="00181CF2">
        <w:rPr>
          <w:rFonts w:ascii="Arial" w:eastAsia="細明體" w:hAnsi="Arial" w:cs="Arial"/>
          <w:iCs/>
          <w:color w:val="000000"/>
          <w:kern w:val="0"/>
          <w:lang w:val="en-GB"/>
        </w:rPr>
        <w:t xml:space="preserve"> 403, at </w:t>
      </w:r>
      <w:r w:rsidRPr="00C57CE1">
        <w:rPr>
          <w:rFonts w:ascii="Arial" w:eastAsia="細明體" w:hAnsi="Arial" w:cs="Arial"/>
          <w:iCs/>
          <w:color w:val="000000"/>
          <w:kern w:val="0"/>
          <w:lang w:val="en-GB"/>
        </w:rPr>
        <w:t>4.</w:t>
      </w:r>
    </w:p>
  </w:footnote>
  <w:footnote w:id="837">
    <w:p w:rsidR="0022178B" w:rsidRPr="0028108F" w:rsidRDefault="0022178B" w:rsidP="0028108F">
      <w:pPr>
        <w:pStyle w:val="FootnoteText"/>
        <w:tabs>
          <w:tab w:val="left" w:pos="851"/>
        </w:tabs>
        <w:ind w:left="709" w:hanging="709"/>
        <w:jc w:val="both"/>
        <w:rPr>
          <w:rFonts w:ascii="Arial" w:hAnsi="Arial" w:cs="Arial"/>
          <w:lang w:val="en-US"/>
        </w:rPr>
      </w:pPr>
      <w:r w:rsidRPr="0028108F">
        <w:rPr>
          <w:rFonts w:ascii="Arial" w:hAnsi="Arial" w:cs="Arial"/>
          <w:lang w:val="en-GB"/>
        </w:rPr>
        <w:footnoteRef/>
      </w:r>
      <w:r w:rsidRPr="0028108F">
        <w:rPr>
          <w:rFonts w:ascii="Arial" w:hAnsi="Arial" w:cs="Arial"/>
          <w:lang w:val="en-GB"/>
        </w:rPr>
        <w:t xml:space="preserve"> </w:t>
      </w:r>
      <w:r w:rsidRPr="0028108F">
        <w:rPr>
          <w:rFonts w:ascii="Arial" w:hAnsi="Arial" w:cs="Arial"/>
          <w:lang w:val="en-GB"/>
        </w:rPr>
        <w:tab/>
        <w:t>Births and Deaths Registration Ordinance (Cap 174), sections 12A, 12B and 12C.</w:t>
      </w:r>
    </w:p>
  </w:footnote>
  <w:footnote w:id="838">
    <w:p w:rsidR="0022178B" w:rsidRPr="0028108F" w:rsidRDefault="0022178B" w:rsidP="004423E1">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See Kwan Kai-man, </w:t>
      </w:r>
      <w:r w:rsidRPr="008813DE">
        <w:rPr>
          <w:rFonts w:ascii="Arial" w:hAnsi="Arial" w:cs="Arial" w:hint="eastAsia"/>
          <w:i/>
          <w:lang w:val="en-GB"/>
        </w:rPr>
        <w:t>同性與變性</w:t>
      </w:r>
      <w:r w:rsidRPr="008813DE">
        <w:rPr>
          <w:rFonts w:ascii="Arial" w:hAnsi="Arial" w:cs="Arial"/>
          <w:i/>
          <w:lang w:val="en-GB"/>
        </w:rPr>
        <w:t xml:space="preserve"> – </w:t>
      </w:r>
      <w:r w:rsidRPr="008813DE">
        <w:rPr>
          <w:rFonts w:ascii="Arial" w:hAnsi="Arial" w:cs="Arial" w:hint="eastAsia"/>
          <w:i/>
          <w:lang w:val="en-GB"/>
        </w:rPr>
        <w:t>評價同性戀運動和變性人婚姻</w:t>
      </w:r>
      <w:r w:rsidRPr="0028108F">
        <w:rPr>
          <w:rFonts w:ascii="Arial" w:hAnsi="Arial" w:cs="Arial"/>
          <w:lang w:val="en-GB"/>
        </w:rPr>
        <w:t xml:space="preserve"> (in Chinese, transliterated as “Homosexuality and Transsexualism – Commenting on Homosexual Movement and Transsexual Marriage”), June 2015, at 268 to 269, where the author offered two examples to illustrate this point.  In 2008, an American male-to-female transgender person was beaten to death by her husband who learned that she had changed her sex: see news report of </w:t>
      </w:r>
      <w:r w:rsidRPr="0028108F">
        <w:rPr>
          <w:rFonts w:ascii="Arial" w:hAnsi="Arial" w:cs="Arial"/>
          <w:i/>
          <w:lang w:val="en-GB"/>
        </w:rPr>
        <w:t>CNN</w:t>
      </w:r>
      <w:r w:rsidRPr="0028108F">
        <w:rPr>
          <w:rFonts w:ascii="Arial" w:hAnsi="Arial" w:cs="Arial"/>
          <w:lang w:val="en-GB"/>
        </w:rPr>
        <w:t xml:space="preserve">, 23 April 2009, </w:t>
      </w:r>
      <w:r w:rsidRPr="001F1A82">
        <w:rPr>
          <w:rFonts w:ascii="Arial" w:hAnsi="Arial" w:cs="Arial"/>
          <w:lang w:val="en-GB" w:eastAsia="zh-TW"/>
        </w:rPr>
        <w:t>“</w:t>
      </w:r>
      <w:r w:rsidRPr="00B25672">
        <w:rPr>
          <w:rFonts w:ascii="Arial" w:hAnsi="Arial" w:cs="Arial"/>
          <w:lang w:val="en-GB"/>
        </w:rPr>
        <w:t>Transgender murder, hate crime conviction a first</w:t>
      </w:r>
      <w:r w:rsidRPr="00B25672">
        <w:rPr>
          <w:rFonts w:ascii="Arial" w:hAnsi="Arial" w:cs="Arial"/>
          <w:lang w:val="en-GB" w:eastAsia="zh-TW"/>
        </w:rPr>
        <w:t>”</w:t>
      </w:r>
      <w:r w:rsidRPr="001F1A82">
        <w:rPr>
          <w:rFonts w:ascii="Arial" w:hAnsi="Arial" w:cs="Arial"/>
          <w:lang w:val="en-GB"/>
        </w:rPr>
        <w:t>,</w:t>
      </w:r>
      <w:r w:rsidRPr="0028108F">
        <w:rPr>
          <w:rFonts w:ascii="Arial" w:hAnsi="Arial" w:cs="Arial"/>
          <w:lang w:val="en-GB"/>
        </w:rPr>
        <w:t xml:space="preserve"> available at:</w:t>
      </w:r>
    </w:p>
    <w:p w:rsidR="0022178B" w:rsidRDefault="0022178B" w:rsidP="004423E1">
      <w:pPr>
        <w:pStyle w:val="FootnoteText"/>
        <w:tabs>
          <w:tab w:val="left" w:pos="851"/>
        </w:tabs>
        <w:ind w:left="709" w:hanging="709"/>
        <w:jc w:val="both"/>
        <w:rPr>
          <w:rFonts w:ascii="Arial" w:hAnsi="Arial" w:cs="Arial"/>
          <w:lang w:val="en-GB" w:eastAsia="zh-TW"/>
        </w:rPr>
      </w:pPr>
      <w:r w:rsidRPr="0028108F">
        <w:rPr>
          <w:rFonts w:ascii="Arial" w:hAnsi="Arial" w:cs="Arial"/>
          <w:lang w:val="en-GB"/>
        </w:rPr>
        <w:tab/>
      </w:r>
      <w:hyperlink r:id="rId101" w:history="1">
        <w:r w:rsidRPr="0028108F">
          <w:rPr>
            <w:rStyle w:val="Hyperlink"/>
            <w:rFonts w:ascii="Arial" w:hAnsi="Arial" w:cs="Arial"/>
            <w:lang w:val="en-GB"/>
          </w:rPr>
          <w:t>http://edition.cnn.com/2009/CRIME/04/22/transgender.slaying.trial/</w:t>
        </w:r>
      </w:hyperlink>
      <w:r w:rsidRPr="00B25672">
        <w:rPr>
          <w:rStyle w:val="Hyperlink"/>
          <w:rFonts w:ascii="Arial" w:hAnsi="Arial" w:cs="Arial"/>
          <w:color w:val="000000" w:themeColor="text1"/>
          <w:u w:val="none"/>
          <w:lang w:val="en-GB" w:eastAsia="zh-TW"/>
        </w:rPr>
        <w:t>.</w:t>
      </w:r>
      <w:r w:rsidRPr="0028108F">
        <w:rPr>
          <w:rFonts w:ascii="Arial" w:hAnsi="Arial" w:cs="Arial"/>
          <w:lang w:val="en-GB"/>
        </w:rPr>
        <w:t xml:space="preserve">  Further, it was reported in 2012 that a Belgian husband discovered after 19 years of marriage that his Indonesian wife was born a boy, and after that he had been undergoing psychiatric treatment: see news report of</w:t>
      </w:r>
      <w:r>
        <w:rPr>
          <w:rFonts w:ascii="Arial" w:hAnsi="Arial" w:cs="Arial"/>
          <w:lang w:val="en-GB"/>
        </w:rPr>
        <w:t xml:space="preserve"> </w:t>
      </w:r>
      <w:r w:rsidRPr="008813DE">
        <w:rPr>
          <w:rFonts w:ascii="Arial" w:hAnsi="Arial" w:cs="Arial"/>
          <w:i/>
          <w:lang w:val="en-GB"/>
        </w:rPr>
        <w:t xml:space="preserve">Daily </w:t>
      </w:r>
      <w:r w:rsidRPr="00C02C2F">
        <w:rPr>
          <w:rFonts w:ascii="Arial" w:hAnsi="Arial" w:cs="Arial"/>
          <w:i/>
          <w:lang w:val="en-GB"/>
        </w:rPr>
        <w:t>Mail O</w:t>
      </w:r>
      <w:r w:rsidRPr="0028108F">
        <w:rPr>
          <w:rFonts w:ascii="Arial" w:hAnsi="Arial" w:cs="Arial"/>
          <w:i/>
          <w:lang w:val="en-GB"/>
        </w:rPr>
        <w:t>nline</w:t>
      </w:r>
      <w:r w:rsidRPr="0028108F">
        <w:rPr>
          <w:rFonts w:ascii="Arial" w:hAnsi="Arial" w:cs="Arial"/>
          <w:lang w:val="en-GB"/>
        </w:rPr>
        <w:t xml:space="preserve">, 26 November 2012, available at: </w:t>
      </w:r>
      <w:hyperlink r:id="rId102" w:history="1">
        <w:r w:rsidRPr="0028108F">
          <w:rPr>
            <w:rStyle w:val="Hyperlink"/>
            <w:rFonts w:ascii="Arial" w:hAnsi="Arial" w:cs="Arial"/>
            <w:lang w:val="en-GB"/>
          </w:rPr>
          <w:t>http://www.dailymail.co.uk/news/article-2238663/Belgian-husband-leaves-wife-19-years-discovering-man-says-knows-good-ironing.html</w:t>
        </w:r>
      </w:hyperlink>
      <w:r w:rsidRPr="0028108F">
        <w:rPr>
          <w:rFonts w:ascii="Arial" w:hAnsi="Arial" w:cs="Arial"/>
          <w:lang w:val="en-GB"/>
        </w:rPr>
        <w:t xml:space="preserve">. </w:t>
      </w:r>
      <w:r>
        <w:rPr>
          <w:rFonts w:ascii="Arial" w:hAnsi="Arial" w:cs="Arial" w:hint="eastAsia"/>
          <w:lang w:val="en-GB" w:eastAsia="zh-TW"/>
        </w:rPr>
        <w:t xml:space="preserve"> </w:t>
      </w:r>
      <w:r w:rsidRPr="0028108F">
        <w:rPr>
          <w:rFonts w:ascii="Arial" w:hAnsi="Arial" w:cs="Arial"/>
          <w:lang w:val="en-GB"/>
        </w:rPr>
        <w:t xml:space="preserve">See also </w:t>
      </w:r>
      <w:r w:rsidRPr="0028108F">
        <w:rPr>
          <w:rFonts w:ascii="Arial" w:hAnsi="Arial" w:cs="Arial"/>
          <w:i/>
          <w:lang w:val="en-GB"/>
        </w:rPr>
        <w:t>Fox News</w:t>
      </w:r>
      <w:r w:rsidRPr="0028108F">
        <w:rPr>
          <w:rFonts w:ascii="Arial" w:hAnsi="Arial" w:cs="Arial"/>
          <w:lang w:val="en-GB"/>
        </w:rPr>
        <w:t>, 27 November 2012, “Belgian man finds out his wife of 19 years was born a man”, available at:</w:t>
      </w:r>
    </w:p>
    <w:p w:rsidR="0022178B" w:rsidRPr="0028108F" w:rsidRDefault="0022178B" w:rsidP="004423E1">
      <w:pPr>
        <w:pStyle w:val="FootnoteText"/>
        <w:tabs>
          <w:tab w:val="left" w:pos="851"/>
        </w:tabs>
        <w:ind w:left="709" w:hanging="709"/>
        <w:jc w:val="both"/>
        <w:rPr>
          <w:rFonts w:ascii="Arial" w:hAnsi="Arial" w:cs="Arial"/>
          <w:lang w:val="en-GB"/>
        </w:rPr>
      </w:pPr>
      <w:r>
        <w:rPr>
          <w:rFonts w:ascii="Arial" w:hAnsi="Arial" w:cs="Arial" w:hint="eastAsia"/>
          <w:lang w:val="en-GB" w:eastAsia="zh-TW"/>
        </w:rPr>
        <w:tab/>
      </w:r>
      <w:hyperlink r:id="rId103" w:history="1">
        <w:r w:rsidRPr="0028108F">
          <w:rPr>
            <w:rStyle w:val="Hyperlink"/>
            <w:rFonts w:ascii="Arial" w:hAnsi="Arial" w:cs="Arial"/>
            <w:lang w:val="en-GB"/>
          </w:rPr>
          <w:t>http://www.foxnews.com/world/2012/11/27/belgian-man-finds-out-his-wife-1-years-was-born-man/</w:t>
        </w:r>
      </w:hyperlink>
      <w:r w:rsidRPr="0028108F">
        <w:rPr>
          <w:rFonts w:ascii="Arial" w:hAnsi="Arial" w:cs="Arial"/>
          <w:lang w:val="en-GB"/>
        </w:rPr>
        <w:t xml:space="preserve">.  </w:t>
      </w:r>
    </w:p>
  </w:footnote>
  <w:footnote w:id="839">
    <w:p w:rsidR="0022178B" w:rsidRPr="0028108F" w:rsidRDefault="0022178B" w:rsidP="004633AF">
      <w:pPr>
        <w:pStyle w:val="FootnoteText"/>
        <w:tabs>
          <w:tab w:val="left" w:pos="851"/>
        </w:tabs>
        <w:ind w:left="709" w:hanging="709"/>
        <w:jc w:val="both"/>
        <w:rPr>
          <w:rFonts w:ascii="Arial" w:hAnsi="Arial" w:cs="Arial"/>
          <w:lang w:val="en-GB"/>
        </w:rPr>
      </w:pPr>
      <w:r w:rsidRPr="0028108F">
        <w:rPr>
          <w:rStyle w:val="FootnoteReference"/>
          <w:rFonts w:ascii="Arial" w:hAnsi="Arial" w:cs="Arial"/>
          <w:vertAlign w:val="baseline"/>
          <w:lang w:val="en-GB"/>
        </w:rPr>
        <w:footnoteRef/>
      </w:r>
      <w:r w:rsidRPr="0028108F">
        <w:rPr>
          <w:rFonts w:ascii="Arial" w:hAnsi="Arial" w:cs="Arial"/>
          <w:lang w:val="en-GB"/>
        </w:rPr>
        <w:t xml:space="preserve"> </w:t>
      </w:r>
      <w:r w:rsidRPr="0028108F">
        <w:rPr>
          <w:rFonts w:ascii="Arial" w:hAnsi="Arial" w:cs="Arial"/>
          <w:lang w:val="en-GB"/>
        </w:rPr>
        <w:tab/>
        <w:t>This Order came into force on 4 April 2005 (available at :</w:t>
      </w:r>
    </w:p>
    <w:p w:rsidR="0022178B" w:rsidRPr="0028108F" w:rsidRDefault="0022178B" w:rsidP="004633AF">
      <w:pPr>
        <w:pStyle w:val="FootnoteText"/>
        <w:tabs>
          <w:tab w:val="left" w:pos="851"/>
        </w:tabs>
        <w:ind w:left="709" w:hanging="709"/>
        <w:jc w:val="both"/>
        <w:rPr>
          <w:rFonts w:ascii="Arial" w:hAnsi="Arial" w:cs="Arial"/>
          <w:lang w:val="en-GB"/>
        </w:rPr>
      </w:pPr>
      <w:r w:rsidRPr="0028108F">
        <w:rPr>
          <w:rFonts w:ascii="Arial" w:hAnsi="Arial" w:cs="Arial"/>
          <w:lang w:val="en-GB"/>
        </w:rPr>
        <w:tab/>
      </w:r>
      <w:hyperlink r:id="rId104" w:history="1">
        <w:r w:rsidRPr="0028108F">
          <w:rPr>
            <w:rStyle w:val="Hyperlink"/>
            <w:rFonts w:ascii="Arial" w:hAnsi="Arial" w:cs="Arial"/>
            <w:lang w:val="en-GB"/>
          </w:rPr>
          <w:t>http://www.legislation.gov.uk/uksi/2005/916/made/data.pdf</w:t>
        </w:r>
      </w:hyperlink>
      <w:r w:rsidRPr="0028108F">
        <w:rPr>
          <w:rFonts w:ascii="Arial" w:hAnsi="Arial" w:cs="Arial"/>
          <w:lang w:val="en-GB"/>
        </w:rPr>
        <w:t>).</w:t>
      </w:r>
    </w:p>
  </w:footnote>
  <w:footnote w:id="840">
    <w:p w:rsidR="0022178B" w:rsidRPr="0028108F" w:rsidRDefault="0022178B" w:rsidP="0028108F">
      <w:pPr>
        <w:pStyle w:val="FootnoteText"/>
        <w:tabs>
          <w:tab w:val="left" w:pos="851"/>
        </w:tabs>
        <w:ind w:left="709" w:hanging="709"/>
        <w:jc w:val="both"/>
        <w:rPr>
          <w:rFonts w:ascii="Arial" w:hAnsi="Arial" w:cs="Arial"/>
          <w:lang w:val="en-GB"/>
        </w:rPr>
      </w:pPr>
      <w:r w:rsidRPr="0028108F">
        <w:rPr>
          <w:rFonts w:ascii="Arial" w:hAnsi="Arial" w:cs="Arial"/>
          <w:lang w:val="en-GB"/>
        </w:rPr>
        <w:footnoteRef/>
      </w:r>
      <w:r w:rsidRPr="0028108F">
        <w:rPr>
          <w:rFonts w:ascii="Arial" w:hAnsi="Arial" w:cs="Arial"/>
          <w:lang w:val="en-GB"/>
        </w:rPr>
        <w:t xml:space="preserve"> </w:t>
      </w:r>
      <w:r w:rsidRPr="00181CF2">
        <w:rPr>
          <w:rFonts w:ascii="Arial" w:hAnsi="Arial" w:cs="Arial"/>
          <w:lang w:val="en-GB"/>
        </w:rPr>
        <w:tab/>
      </w:r>
      <w:r w:rsidRPr="0028108F">
        <w:rPr>
          <w:rFonts w:ascii="Arial" w:hAnsi="Arial" w:cs="Arial"/>
          <w:lang w:val="en-GB"/>
        </w:rPr>
        <w:t xml:space="preserve">Equality and Human Rights Commission, </w:t>
      </w:r>
      <w:r w:rsidRPr="00181CF2">
        <w:rPr>
          <w:rFonts w:ascii="Arial" w:hAnsi="Arial" w:cs="Arial"/>
          <w:lang w:val="en-GB"/>
        </w:rPr>
        <w:t>“</w:t>
      </w:r>
      <w:r w:rsidRPr="00CA234A">
        <w:rPr>
          <w:rFonts w:ascii="Arial" w:hAnsi="Arial" w:cs="Arial"/>
          <w:lang w:val="en-GB"/>
        </w:rPr>
        <w:t>Equality Act 2010 Statutory Code of Practice: Services, Public Functions and Associations</w:t>
      </w:r>
      <w:r>
        <w:rPr>
          <w:rFonts w:ascii="Arial" w:hAnsi="Arial" w:cs="Arial"/>
          <w:i/>
          <w:lang w:val="en-GB"/>
        </w:rPr>
        <w:t>”</w:t>
      </w:r>
      <w:r w:rsidRPr="0028108F">
        <w:rPr>
          <w:rFonts w:ascii="Arial" w:hAnsi="Arial" w:cs="Arial"/>
          <w:lang w:val="en-GB"/>
        </w:rPr>
        <w:t>, 2011, para</w:t>
      </w:r>
      <w:r>
        <w:rPr>
          <w:rFonts w:ascii="Arial" w:hAnsi="Arial" w:cs="Arial"/>
          <w:lang w:val="en-GB"/>
        </w:rPr>
        <w:t>graph</w:t>
      </w:r>
      <w:r w:rsidRPr="0028108F">
        <w:rPr>
          <w:rFonts w:ascii="Arial" w:hAnsi="Arial" w:cs="Arial"/>
          <w:lang w:val="en-GB"/>
        </w:rPr>
        <w:t xml:space="preserve"> 2.27</w:t>
      </w:r>
      <w:r w:rsidRPr="00181CF2">
        <w:rPr>
          <w:rFonts w:ascii="Arial" w:hAnsi="Arial" w:cs="Arial"/>
          <w:lang w:val="en-GB"/>
        </w:rPr>
        <w:t>.</w:t>
      </w:r>
    </w:p>
  </w:footnote>
  <w:footnote w:id="841">
    <w:p w:rsidR="0022178B" w:rsidRPr="00181CF2"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Lisa Mottet, </w:t>
      </w:r>
      <w:r w:rsidRPr="0028108F">
        <w:rPr>
          <w:rFonts w:ascii="Arial" w:hAnsi="Arial" w:cs="Arial"/>
          <w:lang w:val="en-GB"/>
        </w:rPr>
        <w:t>“Modernizing State Vital Statistics Statutes and Policies to Ensure Accurate Gender Markers on Birth Certificates: A Good Government Approach to Recognizing the Lives of Transgender People”</w:t>
      </w:r>
      <w:r w:rsidRPr="00181CF2">
        <w:rPr>
          <w:rFonts w:ascii="Arial" w:hAnsi="Arial" w:cs="Arial"/>
          <w:lang w:val="en-GB"/>
        </w:rPr>
        <w:t>,</w:t>
      </w:r>
      <w:r w:rsidRPr="00C57CE1">
        <w:rPr>
          <w:rFonts w:ascii="Arial" w:hAnsi="Arial" w:cs="Arial"/>
          <w:lang w:val="en-GB"/>
        </w:rPr>
        <w:t xml:space="preserve"> 19 </w:t>
      </w:r>
      <w:r w:rsidRPr="0028108F">
        <w:rPr>
          <w:rFonts w:ascii="Arial" w:hAnsi="Arial" w:cs="Arial"/>
          <w:i/>
          <w:lang w:val="en-GB"/>
        </w:rPr>
        <w:t>Mich J Gender &amp; L</w:t>
      </w:r>
      <w:r w:rsidRPr="00181CF2">
        <w:rPr>
          <w:rFonts w:ascii="Arial" w:hAnsi="Arial" w:cs="Arial"/>
          <w:lang w:val="en-GB"/>
        </w:rPr>
        <w:t xml:space="preserve"> 373 (2013), at 437.</w:t>
      </w:r>
    </w:p>
  </w:footnote>
  <w:footnote w:id="842">
    <w:p w:rsidR="0022178B" w:rsidRPr="00C57CE1" w:rsidRDefault="0022178B" w:rsidP="004633AF">
      <w:pPr>
        <w:pStyle w:val="FootnoteText"/>
        <w:tabs>
          <w:tab w:val="left" w:pos="851"/>
        </w:tabs>
        <w:ind w:left="709" w:hanging="709"/>
        <w:jc w:val="both"/>
        <w:rPr>
          <w:rFonts w:ascii="Arial" w:hAnsi="Arial" w:cs="Arial"/>
          <w:lang w:val="en-GB"/>
        </w:rPr>
      </w:pPr>
      <w:r w:rsidRPr="00181CF2">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Same as above, at 444.</w:t>
      </w:r>
    </w:p>
  </w:footnote>
  <w:footnote w:id="843">
    <w:p w:rsidR="0022178B" w:rsidRPr="0028108F" w:rsidRDefault="0022178B" w:rsidP="005266B3">
      <w:pPr>
        <w:pStyle w:val="FootnoteText"/>
        <w:tabs>
          <w:tab w:val="left" w:pos="851"/>
        </w:tabs>
        <w:ind w:left="708" w:hangingChars="354" w:hanging="708"/>
        <w:jc w:val="both"/>
        <w:rPr>
          <w:rFonts w:ascii="Arial" w:hAnsi="Arial" w:cs="Arial"/>
          <w:b/>
          <w:lang w:val="en-GB"/>
        </w:rPr>
      </w:pPr>
      <w:r w:rsidRPr="00C57CE1">
        <w:rPr>
          <w:rFonts w:ascii="Arial" w:hAnsi="Arial" w:cs="Arial"/>
          <w:lang w:val="en-GB"/>
        </w:rPr>
        <w:footnoteRef/>
      </w:r>
      <w:r w:rsidRPr="00C57CE1">
        <w:rPr>
          <w:rFonts w:ascii="Arial" w:hAnsi="Arial" w:cs="Arial"/>
          <w:lang w:val="en-GB"/>
        </w:rPr>
        <w:t xml:space="preserve"> </w:t>
      </w:r>
      <w:r w:rsidRPr="00C57CE1">
        <w:rPr>
          <w:rFonts w:ascii="Arial" w:hAnsi="Arial" w:cs="Arial"/>
          <w:lang w:val="en-GB"/>
        </w:rPr>
        <w:tab/>
        <w:t xml:space="preserve">The definition of </w:t>
      </w:r>
      <w:r w:rsidRPr="0028108F">
        <w:rPr>
          <w:rFonts w:ascii="Arial" w:hAnsi="Arial" w:cs="Arial"/>
          <w:i/>
          <w:lang w:val="en-GB"/>
        </w:rPr>
        <w:t>“minor”</w:t>
      </w:r>
      <w:r w:rsidRPr="0028108F">
        <w:rPr>
          <w:rFonts w:ascii="Arial" w:hAnsi="Arial" w:cs="Arial"/>
          <w:lang w:val="en-GB"/>
        </w:rPr>
        <w:t xml:space="preserve"> is provided in section 3 of the Interpretation and General Clauses Ordinance (Cap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861"/>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
    <w:nsid w:val="02720580"/>
    <w:multiLevelType w:val="hybridMultilevel"/>
    <w:tmpl w:val="D3D2DC76"/>
    <w:lvl w:ilvl="0" w:tplc="0F1629EE">
      <w:start w:val="1"/>
      <w:numFmt w:val="decimal"/>
      <w:lvlText w:val="(%1)"/>
      <w:lvlJc w:val="left"/>
      <w:pPr>
        <w:ind w:left="1129" w:hanging="4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34E00F2"/>
    <w:multiLevelType w:val="hybridMultilevel"/>
    <w:tmpl w:val="78885466"/>
    <w:lvl w:ilvl="0" w:tplc="761A4084">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nsid w:val="04C81F42"/>
    <w:multiLevelType w:val="hybridMultilevel"/>
    <w:tmpl w:val="68D08DCA"/>
    <w:lvl w:ilvl="0" w:tplc="3D94DFA6">
      <w:start w:val="1"/>
      <w:numFmt w:val="lowerRoman"/>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7352802"/>
    <w:multiLevelType w:val="hybridMultilevel"/>
    <w:tmpl w:val="4BCC5496"/>
    <w:lvl w:ilvl="0" w:tplc="8850F68A">
      <w:start w:val="1"/>
      <w:numFmt w:val="decimal"/>
      <w:lvlText w:val="7.%1"/>
      <w:lvlJc w:val="left"/>
      <w:pPr>
        <w:ind w:left="480" w:hanging="480"/>
      </w:pPr>
      <w:rPr>
        <w:rFonts w:ascii="Arial" w:hAnsi="Arial" w:cs="Arial" w:hint="default"/>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B26E8F"/>
    <w:multiLevelType w:val="hybridMultilevel"/>
    <w:tmpl w:val="52CCED2A"/>
    <w:lvl w:ilvl="0" w:tplc="9B1AC99C">
      <w:start w:val="1"/>
      <w:numFmt w:val="decimal"/>
      <w:lvlText w:val="8.%1"/>
      <w:lvlJc w:val="left"/>
      <w:pPr>
        <w:ind w:left="480" w:hanging="480"/>
      </w:pPr>
      <w:rPr>
        <w:rFonts w:hint="eastAsia"/>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DB109F"/>
    <w:multiLevelType w:val="hybridMultilevel"/>
    <w:tmpl w:val="B57AC08E"/>
    <w:lvl w:ilvl="0" w:tplc="ACC80574">
      <w:start w:val="1"/>
      <w:numFmt w:val="lowerLetter"/>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BB1B71"/>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nsid w:val="09441D7F"/>
    <w:multiLevelType w:val="hybridMultilevel"/>
    <w:tmpl w:val="14A20FB4"/>
    <w:lvl w:ilvl="0" w:tplc="AF1C41F2">
      <w:start w:val="1"/>
      <w:numFmt w:val="lowerLetter"/>
      <w:lvlText w:val="(%1)"/>
      <w:lvlJc w:val="left"/>
      <w:pPr>
        <w:ind w:left="1776" w:hanging="360"/>
      </w:pPr>
      <w:rPr>
        <w:rFonts w:hint="default"/>
        <w:i/>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9">
    <w:nsid w:val="0AC43FAA"/>
    <w:multiLevelType w:val="hybridMultilevel"/>
    <w:tmpl w:val="FA123546"/>
    <w:lvl w:ilvl="0" w:tplc="D576993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0B113803"/>
    <w:multiLevelType w:val="hybridMultilevel"/>
    <w:tmpl w:val="3684F11C"/>
    <w:lvl w:ilvl="0" w:tplc="E1E23896">
      <w:start w:val="1"/>
      <w:numFmt w:val="lowerLetter"/>
      <w:lvlText w:val="(%1)"/>
      <w:lvlJc w:val="left"/>
      <w:pPr>
        <w:ind w:left="1493" w:hanging="36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nsid w:val="0B916B41"/>
    <w:multiLevelType w:val="hybridMultilevel"/>
    <w:tmpl w:val="DF14B7DA"/>
    <w:lvl w:ilvl="0" w:tplc="972262D6">
      <w:start w:val="1"/>
      <w:numFmt w:val="decimal"/>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0BF014E3"/>
    <w:multiLevelType w:val="hybridMultilevel"/>
    <w:tmpl w:val="B71A0E3A"/>
    <w:lvl w:ilvl="0" w:tplc="1F70578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0C04350C"/>
    <w:multiLevelType w:val="hybridMultilevel"/>
    <w:tmpl w:val="5FB89032"/>
    <w:lvl w:ilvl="0" w:tplc="818EC76E">
      <w:start w:val="1"/>
      <w:numFmt w:val="decimal"/>
      <w:lvlText w:val="3.%1"/>
      <w:lvlJc w:val="left"/>
      <w:pPr>
        <w:ind w:left="480" w:hanging="480"/>
      </w:pPr>
      <w:rPr>
        <w:rFonts w:ascii="Arial" w:hAnsi="Arial" w:cs="Arial" w:hint="default"/>
        <w:b w:val="0"/>
        <w:i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F1A1A3A"/>
    <w:multiLevelType w:val="hybridMultilevel"/>
    <w:tmpl w:val="A48E5414"/>
    <w:lvl w:ilvl="0" w:tplc="FC3C3AA2">
      <w:start w:val="1"/>
      <w:numFmt w:val="lowerLetter"/>
      <w:lvlText w:val="(%1)"/>
      <w:lvlJc w:val="left"/>
      <w:pPr>
        <w:ind w:left="1975" w:hanging="645"/>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5">
    <w:nsid w:val="100F4D2D"/>
    <w:multiLevelType w:val="hybridMultilevel"/>
    <w:tmpl w:val="7C7E9430"/>
    <w:lvl w:ilvl="0" w:tplc="7C901E8E">
      <w:start w:val="1"/>
      <w:numFmt w:val="lowerLetter"/>
      <w:lvlText w:val="(%1)"/>
      <w:lvlJc w:val="left"/>
      <w:pPr>
        <w:ind w:left="1800" w:hanging="36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06C3515"/>
    <w:multiLevelType w:val="hybridMultilevel"/>
    <w:tmpl w:val="436E40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1199446F"/>
    <w:multiLevelType w:val="hybridMultilevel"/>
    <w:tmpl w:val="5B0A1D10"/>
    <w:lvl w:ilvl="0" w:tplc="9D404730">
      <w:start w:val="1"/>
      <w:numFmt w:val="upperLetter"/>
      <w:lvlText w:val="(%1)"/>
      <w:lvlJc w:val="left"/>
      <w:pPr>
        <w:ind w:left="3361" w:hanging="525"/>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18">
    <w:nsid w:val="11E52F73"/>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nsid w:val="13CF2A18"/>
    <w:multiLevelType w:val="hybridMultilevel"/>
    <w:tmpl w:val="37CA9E52"/>
    <w:lvl w:ilvl="0" w:tplc="0450EDE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4570AA8"/>
    <w:multiLevelType w:val="hybridMultilevel"/>
    <w:tmpl w:val="7D3A99B6"/>
    <w:lvl w:ilvl="0" w:tplc="ACC80574">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55D525F"/>
    <w:multiLevelType w:val="hybridMultilevel"/>
    <w:tmpl w:val="0192923A"/>
    <w:lvl w:ilvl="0" w:tplc="4CBE6780">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562736A"/>
    <w:multiLevelType w:val="hybridMultilevel"/>
    <w:tmpl w:val="C1BCF8C6"/>
    <w:lvl w:ilvl="0" w:tplc="6FF0A490">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15744611"/>
    <w:multiLevelType w:val="hybridMultilevel"/>
    <w:tmpl w:val="593CEA48"/>
    <w:lvl w:ilvl="0" w:tplc="17B8594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15A63B55"/>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nsid w:val="15AF1BDD"/>
    <w:multiLevelType w:val="hybridMultilevel"/>
    <w:tmpl w:val="6D0CFCA0"/>
    <w:lvl w:ilvl="0" w:tplc="080877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61607ED"/>
    <w:multiLevelType w:val="hybridMultilevel"/>
    <w:tmpl w:val="F9F00AF8"/>
    <w:lvl w:ilvl="0" w:tplc="6FD84D46">
      <w:start w:val="1"/>
      <w:numFmt w:val="decimal"/>
      <w:lvlText w:val="(%1)"/>
      <w:lvlJc w:val="left"/>
      <w:pPr>
        <w:ind w:left="1530" w:hanging="525"/>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7">
    <w:nsid w:val="16560658"/>
    <w:multiLevelType w:val="hybridMultilevel"/>
    <w:tmpl w:val="545495FE"/>
    <w:lvl w:ilvl="0" w:tplc="13C48A5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6FF73BA"/>
    <w:multiLevelType w:val="hybridMultilevel"/>
    <w:tmpl w:val="1B4A6192"/>
    <w:lvl w:ilvl="0" w:tplc="6AB62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9C54645"/>
    <w:multiLevelType w:val="hybridMultilevel"/>
    <w:tmpl w:val="199240BA"/>
    <w:lvl w:ilvl="0" w:tplc="62C8F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A365217"/>
    <w:multiLevelType w:val="hybridMultilevel"/>
    <w:tmpl w:val="46FA6198"/>
    <w:lvl w:ilvl="0" w:tplc="2F320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D9353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1E5556BA"/>
    <w:multiLevelType w:val="hybridMultilevel"/>
    <w:tmpl w:val="44E462F2"/>
    <w:lvl w:ilvl="0" w:tplc="5B4C0FE6">
      <w:start w:val="1"/>
      <w:numFmt w:val="lowerLetter"/>
      <w:lvlText w:val="(%1)"/>
      <w:lvlJc w:val="left"/>
      <w:pPr>
        <w:ind w:left="1495" w:hanging="360"/>
      </w:pPr>
      <w:rPr>
        <w:rFonts w:ascii="Arial" w:eastAsia="新細明體" w:hAnsi="Arial" w:cs="Arial"/>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nsid w:val="1E997F25"/>
    <w:multiLevelType w:val="hybridMultilevel"/>
    <w:tmpl w:val="298E9DBE"/>
    <w:lvl w:ilvl="0" w:tplc="1E3AE1AE">
      <w:start w:val="1"/>
      <w:numFmt w:val="lowerLetter"/>
      <w:lvlText w:val="(%1)"/>
      <w:lvlJc w:val="left"/>
      <w:pPr>
        <w:ind w:left="2430" w:hanging="870"/>
      </w:pPr>
      <w:rPr>
        <w:rFonts w:hint="default"/>
        <w:i/>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nsid w:val="249228B1"/>
    <w:multiLevelType w:val="hybridMultilevel"/>
    <w:tmpl w:val="9F1A25FA"/>
    <w:lvl w:ilvl="0" w:tplc="6DE216D0">
      <w:start w:val="1"/>
      <w:numFmt w:val="lowerLetter"/>
      <w:lvlText w:val="(%1)"/>
      <w:lvlJc w:val="left"/>
      <w:pPr>
        <w:ind w:left="1440" w:hanging="360"/>
      </w:pPr>
      <w:rPr>
        <w:rFonts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5">
    <w:nsid w:val="251007BC"/>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nsid w:val="252C4873"/>
    <w:multiLevelType w:val="hybridMultilevel"/>
    <w:tmpl w:val="721ACBAC"/>
    <w:lvl w:ilvl="0" w:tplc="4F303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58D5B54"/>
    <w:multiLevelType w:val="hybridMultilevel"/>
    <w:tmpl w:val="33769E96"/>
    <w:lvl w:ilvl="0" w:tplc="DFA446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70C2264"/>
    <w:multiLevelType w:val="hybridMultilevel"/>
    <w:tmpl w:val="2AE27F96"/>
    <w:lvl w:ilvl="0" w:tplc="B7A4BA86">
      <w:start w:val="1"/>
      <w:numFmt w:val="decimal"/>
      <w:lvlText w:val="6.%1"/>
      <w:lvlJc w:val="left"/>
      <w:pPr>
        <w:ind w:left="480" w:hanging="480"/>
      </w:pPr>
      <w:rPr>
        <w:rFonts w:ascii="Arial" w:hAnsi="Arial" w:cs="Arial" w:hint="default"/>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8812509"/>
    <w:multiLevelType w:val="multilevel"/>
    <w:tmpl w:val="EF46D494"/>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29BE1C29"/>
    <w:multiLevelType w:val="hybridMultilevel"/>
    <w:tmpl w:val="2ED2BC06"/>
    <w:lvl w:ilvl="0" w:tplc="FBCC80F4">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1">
    <w:nsid w:val="2B187D40"/>
    <w:multiLevelType w:val="hybridMultilevel"/>
    <w:tmpl w:val="2578B980"/>
    <w:lvl w:ilvl="0" w:tplc="8DA809B8">
      <w:start w:val="1"/>
      <w:numFmt w:val="lowerLetter"/>
      <w:lvlText w:val="(%1)"/>
      <w:lvlJc w:val="left"/>
      <w:pPr>
        <w:ind w:left="964" w:hanging="360"/>
      </w:pPr>
      <w:rPr>
        <w:rFonts w:hint="default"/>
      </w:rPr>
    </w:lvl>
    <w:lvl w:ilvl="1" w:tplc="04090019" w:tentative="1">
      <w:start w:val="1"/>
      <w:numFmt w:val="ideographTraditional"/>
      <w:lvlText w:val="%2、"/>
      <w:lvlJc w:val="left"/>
      <w:pPr>
        <w:ind w:left="1564" w:hanging="480"/>
      </w:pPr>
    </w:lvl>
    <w:lvl w:ilvl="2" w:tplc="0409001B" w:tentative="1">
      <w:start w:val="1"/>
      <w:numFmt w:val="lowerRoman"/>
      <w:lvlText w:val="%3."/>
      <w:lvlJc w:val="right"/>
      <w:pPr>
        <w:ind w:left="2044" w:hanging="480"/>
      </w:pPr>
    </w:lvl>
    <w:lvl w:ilvl="3" w:tplc="0409000F" w:tentative="1">
      <w:start w:val="1"/>
      <w:numFmt w:val="decimal"/>
      <w:lvlText w:val="%4."/>
      <w:lvlJc w:val="left"/>
      <w:pPr>
        <w:ind w:left="2524" w:hanging="480"/>
      </w:pPr>
    </w:lvl>
    <w:lvl w:ilvl="4" w:tplc="04090019" w:tentative="1">
      <w:start w:val="1"/>
      <w:numFmt w:val="ideographTraditional"/>
      <w:lvlText w:val="%5、"/>
      <w:lvlJc w:val="left"/>
      <w:pPr>
        <w:ind w:left="3004" w:hanging="480"/>
      </w:pPr>
    </w:lvl>
    <w:lvl w:ilvl="5" w:tplc="0409001B" w:tentative="1">
      <w:start w:val="1"/>
      <w:numFmt w:val="lowerRoman"/>
      <w:lvlText w:val="%6."/>
      <w:lvlJc w:val="right"/>
      <w:pPr>
        <w:ind w:left="3484" w:hanging="480"/>
      </w:pPr>
    </w:lvl>
    <w:lvl w:ilvl="6" w:tplc="0409000F" w:tentative="1">
      <w:start w:val="1"/>
      <w:numFmt w:val="decimal"/>
      <w:lvlText w:val="%7."/>
      <w:lvlJc w:val="left"/>
      <w:pPr>
        <w:ind w:left="3964" w:hanging="480"/>
      </w:pPr>
    </w:lvl>
    <w:lvl w:ilvl="7" w:tplc="04090019" w:tentative="1">
      <w:start w:val="1"/>
      <w:numFmt w:val="ideographTraditional"/>
      <w:lvlText w:val="%8、"/>
      <w:lvlJc w:val="left"/>
      <w:pPr>
        <w:ind w:left="4444" w:hanging="480"/>
      </w:pPr>
    </w:lvl>
    <w:lvl w:ilvl="8" w:tplc="0409001B" w:tentative="1">
      <w:start w:val="1"/>
      <w:numFmt w:val="lowerRoman"/>
      <w:lvlText w:val="%9."/>
      <w:lvlJc w:val="right"/>
      <w:pPr>
        <w:ind w:left="4924" w:hanging="480"/>
      </w:pPr>
    </w:lvl>
  </w:abstractNum>
  <w:abstractNum w:abstractNumId="42">
    <w:nsid w:val="2B232073"/>
    <w:multiLevelType w:val="hybridMultilevel"/>
    <w:tmpl w:val="A28099E0"/>
    <w:lvl w:ilvl="0" w:tplc="93FA659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nsid w:val="2E8A1B26"/>
    <w:multiLevelType w:val="hybridMultilevel"/>
    <w:tmpl w:val="45927B9A"/>
    <w:lvl w:ilvl="0" w:tplc="E05849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2EAF2654"/>
    <w:multiLevelType w:val="hybridMultilevel"/>
    <w:tmpl w:val="9918B7B4"/>
    <w:lvl w:ilvl="0" w:tplc="82F80D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EF76B87"/>
    <w:multiLevelType w:val="hybridMultilevel"/>
    <w:tmpl w:val="C610D0AC"/>
    <w:lvl w:ilvl="0" w:tplc="413873D8">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FA87D4A"/>
    <w:multiLevelType w:val="hybridMultilevel"/>
    <w:tmpl w:val="9B101E58"/>
    <w:lvl w:ilvl="0" w:tplc="E8EE7CE8">
      <w:start w:val="1"/>
      <w:numFmt w:val="lowerLetter"/>
      <w:lvlText w:val="(%1)"/>
      <w:lvlJc w:val="left"/>
      <w:pPr>
        <w:ind w:left="169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0FC7AA3"/>
    <w:multiLevelType w:val="hybridMultilevel"/>
    <w:tmpl w:val="61289044"/>
    <w:lvl w:ilvl="0" w:tplc="EA30F5DE">
      <w:start w:val="1"/>
      <w:numFmt w:val="lowerLetter"/>
      <w:lvlText w:val="(%1)"/>
      <w:lvlJc w:val="left"/>
      <w:pPr>
        <w:ind w:left="1695" w:hanging="360"/>
      </w:pPr>
      <w:rPr>
        <w:rFonts w:hint="eastAsia"/>
        <w:i w:val="0"/>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8">
    <w:nsid w:val="312353E1"/>
    <w:multiLevelType w:val="hybridMultilevel"/>
    <w:tmpl w:val="FF82B82E"/>
    <w:lvl w:ilvl="0" w:tplc="E3189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1607947"/>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nsid w:val="324112D6"/>
    <w:multiLevelType w:val="hybridMultilevel"/>
    <w:tmpl w:val="FA2C34D2"/>
    <w:lvl w:ilvl="0" w:tplc="F7C4E384">
      <w:start w:val="1"/>
      <w:numFmt w:val="lowerLetter"/>
      <w:lvlText w:val="(%1)"/>
      <w:lvlJc w:val="left"/>
      <w:pPr>
        <w:ind w:left="2641" w:hanging="1200"/>
      </w:pPr>
      <w:rPr>
        <w:rFonts w:hint="default"/>
      </w:rPr>
    </w:lvl>
    <w:lvl w:ilvl="1" w:tplc="04090019" w:tentative="1">
      <w:start w:val="1"/>
      <w:numFmt w:val="ideographTraditional"/>
      <w:lvlText w:val="%2、"/>
      <w:lvlJc w:val="left"/>
      <w:pPr>
        <w:ind w:left="2401" w:hanging="480"/>
      </w:pPr>
    </w:lvl>
    <w:lvl w:ilvl="2" w:tplc="0409001B" w:tentative="1">
      <w:start w:val="1"/>
      <w:numFmt w:val="lowerRoman"/>
      <w:lvlText w:val="%3."/>
      <w:lvlJc w:val="right"/>
      <w:pPr>
        <w:ind w:left="2881" w:hanging="480"/>
      </w:pPr>
    </w:lvl>
    <w:lvl w:ilvl="3" w:tplc="0409000F" w:tentative="1">
      <w:start w:val="1"/>
      <w:numFmt w:val="decimal"/>
      <w:lvlText w:val="%4."/>
      <w:lvlJc w:val="left"/>
      <w:pPr>
        <w:ind w:left="3361" w:hanging="480"/>
      </w:pPr>
    </w:lvl>
    <w:lvl w:ilvl="4" w:tplc="04090019" w:tentative="1">
      <w:start w:val="1"/>
      <w:numFmt w:val="ideographTraditional"/>
      <w:lvlText w:val="%5、"/>
      <w:lvlJc w:val="left"/>
      <w:pPr>
        <w:ind w:left="3841" w:hanging="480"/>
      </w:pPr>
    </w:lvl>
    <w:lvl w:ilvl="5" w:tplc="0409001B" w:tentative="1">
      <w:start w:val="1"/>
      <w:numFmt w:val="lowerRoman"/>
      <w:lvlText w:val="%6."/>
      <w:lvlJc w:val="right"/>
      <w:pPr>
        <w:ind w:left="4321" w:hanging="480"/>
      </w:pPr>
    </w:lvl>
    <w:lvl w:ilvl="6" w:tplc="0409000F" w:tentative="1">
      <w:start w:val="1"/>
      <w:numFmt w:val="decimal"/>
      <w:lvlText w:val="%7."/>
      <w:lvlJc w:val="left"/>
      <w:pPr>
        <w:ind w:left="4801" w:hanging="480"/>
      </w:pPr>
    </w:lvl>
    <w:lvl w:ilvl="7" w:tplc="04090019" w:tentative="1">
      <w:start w:val="1"/>
      <w:numFmt w:val="ideographTraditional"/>
      <w:lvlText w:val="%8、"/>
      <w:lvlJc w:val="left"/>
      <w:pPr>
        <w:ind w:left="5281" w:hanging="480"/>
      </w:pPr>
    </w:lvl>
    <w:lvl w:ilvl="8" w:tplc="0409001B" w:tentative="1">
      <w:start w:val="1"/>
      <w:numFmt w:val="lowerRoman"/>
      <w:lvlText w:val="%9."/>
      <w:lvlJc w:val="right"/>
      <w:pPr>
        <w:ind w:left="5761" w:hanging="480"/>
      </w:pPr>
    </w:lvl>
  </w:abstractNum>
  <w:abstractNum w:abstractNumId="51">
    <w:nsid w:val="340C0128"/>
    <w:multiLevelType w:val="hybridMultilevel"/>
    <w:tmpl w:val="B100F674"/>
    <w:lvl w:ilvl="0" w:tplc="B51ED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7D2377E"/>
    <w:multiLevelType w:val="hybridMultilevel"/>
    <w:tmpl w:val="6AB0388E"/>
    <w:lvl w:ilvl="0" w:tplc="26D412E0">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3">
    <w:nsid w:val="39925E55"/>
    <w:multiLevelType w:val="hybridMultilevel"/>
    <w:tmpl w:val="6B507BDE"/>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4">
    <w:nsid w:val="3A0211F6"/>
    <w:multiLevelType w:val="hybridMultilevel"/>
    <w:tmpl w:val="96363784"/>
    <w:lvl w:ilvl="0" w:tplc="B03A0CCC">
      <w:start w:val="1"/>
      <w:numFmt w:val="decimal"/>
      <w:lvlText w:val="6.%1"/>
      <w:lvlJc w:val="left"/>
      <w:pPr>
        <w:ind w:left="480" w:hanging="480"/>
      </w:pPr>
      <w:rPr>
        <w:rFonts w:ascii="Arial" w:hAnsi="Arial" w:cs="Arial" w:hint="default"/>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B125347"/>
    <w:multiLevelType w:val="hybridMultilevel"/>
    <w:tmpl w:val="3E90945E"/>
    <w:lvl w:ilvl="0" w:tplc="40C88888">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nsid w:val="3B6714F0"/>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7">
    <w:nsid w:val="3C391A45"/>
    <w:multiLevelType w:val="hybridMultilevel"/>
    <w:tmpl w:val="2E46A01C"/>
    <w:lvl w:ilvl="0" w:tplc="BE0446C0">
      <w:start w:val="1"/>
      <w:numFmt w:val="decimal"/>
      <w:lvlText w:val="4.%1"/>
      <w:lvlJc w:val="left"/>
      <w:pPr>
        <w:ind w:left="480" w:hanging="480"/>
      </w:pPr>
      <w:rPr>
        <w:rFonts w:ascii="Arial" w:hAnsi="Arial" w:cs="Arial" w:hint="default"/>
        <w:b w:val="0"/>
        <w:i w:val="0"/>
        <w:color w:val="000000" w:themeColor="text1"/>
        <w:sz w:val="24"/>
        <w:szCs w:val="24"/>
        <w:vertAlign w:val="base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E4344A1"/>
    <w:multiLevelType w:val="hybridMultilevel"/>
    <w:tmpl w:val="A4E8D584"/>
    <w:lvl w:ilvl="0" w:tplc="DD709F1C">
      <w:start w:val="1"/>
      <w:numFmt w:val="low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9">
    <w:nsid w:val="3FA26DE2"/>
    <w:multiLevelType w:val="hybridMultilevel"/>
    <w:tmpl w:val="E4D8C08A"/>
    <w:lvl w:ilvl="0" w:tplc="66203A3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nsid w:val="3FC05BDF"/>
    <w:multiLevelType w:val="hybridMultilevel"/>
    <w:tmpl w:val="6D921C48"/>
    <w:lvl w:ilvl="0" w:tplc="040A33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FC244D1"/>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2">
    <w:nsid w:val="40D279C8"/>
    <w:multiLevelType w:val="hybridMultilevel"/>
    <w:tmpl w:val="8252F7E2"/>
    <w:lvl w:ilvl="0" w:tplc="0B4A5606">
      <w:start w:val="1"/>
      <w:numFmt w:val="lowerLetter"/>
      <w:lvlText w:val="(%1)"/>
      <w:lvlJc w:val="left"/>
      <w:pPr>
        <w:ind w:left="1695" w:hanging="360"/>
      </w:pPr>
      <w:rPr>
        <w:rFonts w:hint="eastAsia"/>
      </w:rPr>
    </w:lvl>
    <w:lvl w:ilvl="1" w:tplc="04090019">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63">
    <w:nsid w:val="40ED07D0"/>
    <w:multiLevelType w:val="hybridMultilevel"/>
    <w:tmpl w:val="E8F8365A"/>
    <w:lvl w:ilvl="0" w:tplc="5BA89020">
      <w:start w:val="1"/>
      <w:numFmt w:val="decimal"/>
      <w:lvlText w:val="9.%1"/>
      <w:lvlJc w:val="left"/>
      <w:pPr>
        <w:ind w:left="1440" w:hanging="480"/>
      </w:pPr>
      <w:rPr>
        <w:rFonts w:ascii="Arial" w:hAnsi="Arial" w:cs="Arial" w:hint="default"/>
        <w:b w:val="0"/>
        <w:i w:val="0"/>
        <w:color w:val="000000" w:themeColor="text1"/>
        <w:sz w:val="24"/>
        <w:szCs w:val="24"/>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4">
    <w:nsid w:val="41522252"/>
    <w:multiLevelType w:val="hybridMultilevel"/>
    <w:tmpl w:val="50FADDCA"/>
    <w:lvl w:ilvl="0" w:tplc="19EE2D1E">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1657228"/>
    <w:multiLevelType w:val="hybridMultilevel"/>
    <w:tmpl w:val="676AB03C"/>
    <w:lvl w:ilvl="0" w:tplc="C334431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1AA46FA"/>
    <w:multiLevelType w:val="hybridMultilevel"/>
    <w:tmpl w:val="40F681A8"/>
    <w:lvl w:ilvl="0" w:tplc="5BA89020">
      <w:start w:val="1"/>
      <w:numFmt w:val="decimal"/>
      <w:lvlText w:val="9.%1"/>
      <w:lvlJc w:val="left"/>
      <w:pPr>
        <w:ind w:left="480" w:hanging="480"/>
      </w:pPr>
      <w:rPr>
        <w:rFonts w:ascii="Arial" w:hAnsi="Arial" w:cs="Arial" w:hint="default"/>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3240D7F"/>
    <w:multiLevelType w:val="hybridMultilevel"/>
    <w:tmpl w:val="F5F6A070"/>
    <w:lvl w:ilvl="0" w:tplc="44FA91EE">
      <w:start w:val="1"/>
      <w:numFmt w:val="decimal"/>
      <w:lvlText w:val="4.%1"/>
      <w:lvlJc w:val="left"/>
      <w:pPr>
        <w:ind w:left="480" w:hanging="480"/>
      </w:pPr>
      <w:rPr>
        <w:rFonts w:ascii="Arial" w:hAnsi="Arial" w:cs="Arial" w:hint="default"/>
        <w:b w:val="0"/>
        <w:i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33A3C1F"/>
    <w:multiLevelType w:val="hybridMultilevel"/>
    <w:tmpl w:val="EDFEA8F0"/>
    <w:lvl w:ilvl="0" w:tplc="3D544356">
      <w:start w:val="1"/>
      <w:numFmt w:val="bullet"/>
      <w:pStyle w:val="a"/>
      <w:lvlText w:val=""/>
      <w:lvlJc w:val="left"/>
      <w:pPr>
        <w:ind w:left="2640" w:hanging="480"/>
      </w:pPr>
      <w:rPr>
        <w:rFonts w:ascii="Wingdings" w:hAnsi="Wingdings" w:hint="default"/>
        <w:sz w:val="20"/>
        <w:szCs w:val="20"/>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69">
    <w:nsid w:val="440D6A2F"/>
    <w:multiLevelType w:val="hybridMultilevel"/>
    <w:tmpl w:val="1BCA9D50"/>
    <w:lvl w:ilvl="0" w:tplc="0BD2DE94">
      <w:start w:val="1"/>
      <w:numFmt w:val="decimal"/>
      <w:lvlText w:val="9.%1"/>
      <w:lvlJc w:val="left"/>
      <w:pPr>
        <w:ind w:left="480" w:hanging="480"/>
      </w:pPr>
      <w:rPr>
        <w:rFonts w:ascii="Arial" w:hAnsi="Arial" w:cs="Arial" w:hint="default"/>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47F71D9"/>
    <w:multiLevelType w:val="hybridMultilevel"/>
    <w:tmpl w:val="6E8A4760"/>
    <w:lvl w:ilvl="0" w:tplc="1A32469C">
      <w:start w:val="1"/>
      <w:numFmt w:val="decimal"/>
      <w:lvlText w:val="2.%1"/>
      <w:lvlJc w:val="left"/>
      <w:pPr>
        <w:ind w:left="960" w:hanging="480"/>
      </w:pPr>
      <w:rPr>
        <w:rFonts w:ascii="Arial" w:hAnsi="Arial" w:cs="Arial" w:hint="default"/>
        <w:b w:val="0"/>
        <w:i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nsid w:val="44C04ED8"/>
    <w:multiLevelType w:val="hybridMultilevel"/>
    <w:tmpl w:val="588A0FA6"/>
    <w:lvl w:ilvl="0" w:tplc="91A4D438">
      <w:start w:val="1"/>
      <w:numFmt w:val="decimal"/>
      <w:lvlText w:val="5.%1"/>
      <w:lvlJc w:val="left"/>
      <w:pPr>
        <w:ind w:left="480" w:hanging="480"/>
      </w:pPr>
      <w:rPr>
        <w:rFonts w:hint="eastAsia"/>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5F34CE6"/>
    <w:multiLevelType w:val="hybridMultilevel"/>
    <w:tmpl w:val="72BAAEFE"/>
    <w:lvl w:ilvl="0" w:tplc="61A0BEF6">
      <w:start w:val="1"/>
      <w:numFmt w:val="lowerLetter"/>
      <w:lvlText w:val="(%1)"/>
      <w:lvlJc w:val="left"/>
      <w:pPr>
        <w:ind w:left="852" w:hanging="8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64F1B2E"/>
    <w:multiLevelType w:val="hybridMultilevel"/>
    <w:tmpl w:val="A698ABAA"/>
    <w:lvl w:ilvl="0" w:tplc="CA04A40A">
      <w:start w:val="1"/>
      <w:numFmt w:val="decimal"/>
      <w:lvlText w:val="8.%1"/>
      <w:lvlJc w:val="left"/>
      <w:pPr>
        <w:ind w:left="480" w:hanging="480"/>
      </w:pPr>
      <w:rPr>
        <w:rFonts w:ascii="Arial" w:hAnsi="Arial" w:cs="Arial" w:hint="default"/>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471D5619"/>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5">
    <w:nsid w:val="47C76EEF"/>
    <w:multiLevelType w:val="hybridMultilevel"/>
    <w:tmpl w:val="4EA0E8AA"/>
    <w:lvl w:ilvl="0" w:tplc="E252DE14">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6">
    <w:nsid w:val="47DD1B37"/>
    <w:multiLevelType w:val="hybridMultilevel"/>
    <w:tmpl w:val="CEDA233C"/>
    <w:lvl w:ilvl="0" w:tplc="EDD492D8">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7">
    <w:nsid w:val="47EE4AB5"/>
    <w:multiLevelType w:val="hybridMultilevel"/>
    <w:tmpl w:val="5BBEE288"/>
    <w:lvl w:ilvl="0" w:tplc="DA5ED544">
      <w:numFmt w:val="bullet"/>
      <w:lvlText w:val="-"/>
      <w:lvlJc w:val="left"/>
      <w:pPr>
        <w:ind w:left="1440" w:hanging="480"/>
      </w:pPr>
      <w:rPr>
        <w:rFonts w:ascii="Arial" w:eastAsia="新細明體" w:hAnsi="Arial" w:cs="Arial" w:hint="default"/>
      </w:rPr>
    </w:lvl>
    <w:lvl w:ilvl="1" w:tplc="9D8C9528">
      <w:start w:val="1"/>
      <w:numFmt w:val="bullet"/>
      <w:lvlText w:val="□"/>
      <w:lvlJc w:val="left"/>
      <w:pPr>
        <w:ind w:left="1920" w:hanging="480"/>
      </w:pPr>
      <w:rPr>
        <w:rFonts w:ascii="新細明體" w:eastAsia="新細明體" w:hAnsi="新細明體" w:cs="Arial"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8">
    <w:nsid w:val="47F1342A"/>
    <w:multiLevelType w:val="hybridMultilevel"/>
    <w:tmpl w:val="721ACBAC"/>
    <w:lvl w:ilvl="0" w:tplc="4F303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8DA1A25"/>
    <w:multiLevelType w:val="hybridMultilevel"/>
    <w:tmpl w:val="A48E5414"/>
    <w:lvl w:ilvl="0" w:tplc="FC3C3AA2">
      <w:start w:val="1"/>
      <w:numFmt w:val="lowerLetter"/>
      <w:lvlText w:val="(%1)"/>
      <w:lvlJc w:val="left"/>
      <w:pPr>
        <w:ind w:left="1975" w:hanging="645"/>
      </w:pPr>
      <w:rPr>
        <w:rFonts w:hint="default"/>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80">
    <w:nsid w:val="492E2F8D"/>
    <w:multiLevelType w:val="hybridMultilevel"/>
    <w:tmpl w:val="5926A052"/>
    <w:lvl w:ilvl="0" w:tplc="E81866C0">
      <w:start w:val="1"/>
      <w:numFmt w:val="lowerLetter"/>
      <w:lvlText w:val="(%1)"/>
      <w:lvlJc w:val="left"/>
      <w:pPr>
        <w:ind w:left="1808"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1">
    <w:nsid w:val="49D41D58"/>
    <w:multiLevelType w:val="hybridMultilevel"/>
    <w:tmpl w:val="A7ECA616"/>
    <w:lvl w:ilvl="0" w:tplc="122EC262">
      <w:start w:val="1"/>
      <w:numFmt w:val="upp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A0B50C0"/>
    <w:multiLevelType w:val="hybridMultilevel"/>
    <w:tmpl w:val="91864B4C"/>
    <w:lvl w:ilvl="0" w:tplc="C71E5418">
      <w:start w:val="2"/>
      <w:numFmt w:val="bullet"/>
      <w:lvlText w:val="-"/>
      <w:lvlJc w:val="left"/>
      <w:pPr>
        <w:ind w:left="2345" w:hanging="360"/>
      </w:pPr>
      <w:rPr>
        <w:rFonts w:ascii="Arial" w:eastAsia="新細明體" w:hAnsi="Arial" w:cs="Arial"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83">
    <w:nsid w:val="4A2F2357"/>
    <w:multiLevelType w:val="hybridMultilevel"/>
    <w:tmpl w:val="69265FDA"/>
    <w:lvl w:ilvl="0" w:tplc="B41C134E">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4">
    <w:nsid w:val="4A5D0410"/>
    <w:multiLevelType w:val="hybridMultilevel"/>
    <w:tmpl w:val="5B10D3D0"/>
    <w:lvl w:ilvl="0" w:tplc="4ED4B550">
      <w:start w:val="1"/>
      <w:numFmt w:val="upperLetter"/>
      <w:lvlText w:val="(%1)"/>
      <w:lvlJc w:val="left"/>
      <w:pPr>
        <w:ind w:left="2937" w:hanging="540"/>
      </w:pPr>
      <w:rPr>
        <w:rFonts w:hint="default"/>
      </w:rPr>
    </w:lvl>
    <w:lvl w:ilvl="1" w:tplc="04090019" w:tentative="1">
      <w:start w:val="1"/>
      <w:numFmt w:val="ideographTraditional"/>
      <w:lvlText w:val="%2、"/>
      <w:lvlJc w:val="left"/>
      <w:pPr>
        <w:ind w:left="3357" w:hanging="480"/>
      </w:pPr>
    </w:lvl>
    <w:lvl w:ilvl="2" w:tplc="0409001B" w:tentative="1">
      <w:start w:val="1"/>
      <w:numFmt w:val="lowerRoman"/>
      <w:lvlText w:val="%3."/>
      <w:lvlJc w:val="right"/>
      <w:pPr>
        <w:ind w:left="3837" w:hanging="480"/>
      </w:pPr>
    </w:lvl>
    <w:lvl w:ilvl="3" w:tplc="0409000F" w:tentative="1">
      <w:start w:val="1"/>
      <w:numFmt w:val="decimal"/>
      <w:lvlText w:val="%4."/>
      <w:lvlJc w:val="left"/>
      <w:pPr>
        <w:ind w:left="4317" w:hanging="480"/>
      </w:pPr>
    </w:lvl>
    <w:lvl w:ilvl="4" w:tplc="04090019" w:tentative="1">
      <w:start w:val="1"/>
      <w:numFmt w:val="ideographTraditional"/>
      <w:lvlText w:val="%5、"/>
      <w:lvlJc w:val="left"/>
      <w:pPr>
        <w:ind w:left="4797" w:hanging="480"/>
      </w:pPr>
    </w:lvl>
    <w:lvl w:ilvl="5" w:tplc="0409001B" w:tentative="1">
      <w:start w:val="1"/>
      <w:numFmt w:val="lowerRoman"/>
      <w:lvlText w:val="%6."/>
      <w:lvlJc w:val="right"/>
      <w:pPr>
        <w:ind w:left="5277" w:hanging="480"/>
      </w:pPr>
    </w:lvl>
    <w:lvl w:ilvl="6" w:tplc="0409000F" w:tentative="1">
      <w:start w:val="1"/>
      <w:numFmt w:val="decimal"/>
      <w:lvlText w:val="%7."/>
      <w:lvlJc w:val="left"/>
      <w:pPr>
        <w:ind w:left="5757" w:hanging="480"/>
      </w:pPr>
    </w:lvl>
    <w:lvl w:ilvl="7" w:tplc="04090019" w:tentative="1">
      <w:start w:val="1"/>
      <w:numFmt w:val="ideographTraditional"/>
      <w:lvlText w:val="%8、"/>
      <w:lvlJc w:val="left"/>
      <w:pPr>
        <w:ind w:left="6237" w:hanging="480"/>
      </w:pPr>
    </w:lvl>
    <w:lvl w:ilvl="8" w:tplc="0409001B" w:tentative="1">
      <w:start w:val="1"/>
      <w:numFmt w:val="lowerRoman"/>
      <w:lvlText w:val="%9."/>
      <w:lvlJc w:val="right"/>
      <w:pPr>
        <w:ind w:left="6717" w:hanging="480"/>
      </w:pPr>
    </w:lvl>
  </w:abstractNum>
  <w:abstractNum w:abstractNumId="85">
    <w:nsid w:val="4A973D24"/>
    <w:multiLevelType w:val="hybridMultilevel"/>
    <w:tmpl w:val="BABC4126"/>
    <w:lvl w:ilvl="0" w:tplc="E348DD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BF07D85"/>
    <w:multiLevelType w:val="hybridMultilevel"/>
    <w:tmpl w:val="967C7E70"/>
    <w:lvl w:ilvl="0" w:tplc="D33C21F8">
      <w:start w:val="1"/>
      <w:numFmt w:val="lowerLetter"/>
      <w:lvlText w:val="(%1)"/>
      <w:lvlJc w:val="left"/>
      <w:pPr>
        <w:ind w:left="360" w:hanging="360"/>
      </w:pPr>
      <w:rPr>
        <w:rFonts w:eastAsia="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E2952A0"/>
    <w:multiLevelType w:val="hybridMultilevel"/>
    <w:tmpl w:val="CF462A36"/>
    <w:lvl w:ilvl="0" w:tplc="64CEA1AC">
      <w:start w:val="1"/>
      <w:numFmt w:val="lowerLetter"/>
      <w:lvlText w:val="(%1)"/>
      <w:lvlJc w:val="left"/>
      <w:pPr>
        <w:ind w:left="1980" w:hanging="645"/>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8">
    <w:nsid w:val="4EC51FBA"/>
    <w:multiLevelType w:val="hybridMultilevel"/>
    <w:tmpl w:val="A60E1486"/>
    <w:lvl w:ilvl="0" w:tplc="ABB8401A">
      <w:start w:val="1"/>
      <w:numFmt w:val="lowerLetter"/>
      <w:lvlText w:val="(%1)"/>
      <w:lvlJc w:val="left"/>
      <w:pPr>
        <w:ind w:left="1980" w:hanging="645"/>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9">
    <w:nsid w:val="4EDE5550"/>
    <w:multiLevelType w:val="hybridMultilevel"/>
    <w:tmpl w:val="45927B9A"/>
    <w:lvl w:ilvl="0" w:tplc="E05849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nsid w:val="4EE90629"/>
    <w:multiLevelType w:val="hybridMultilevel"/>
    <w:tmpl w:val="42ECC49E"/>
    <w:lvl w:ilvl="0" w:tplc="E756635C">
      <w:start w:val="1"/>
      <w:numFmt w:val="decimal"/>
      <w:lvlText w:val="(%1)"/>
      <w:lvlJc w:val="left"/>
      <w:pPr>
        <w:ind w:left="4500" w:hanging="660"/>
      </w:pPr>
      <w:rPr>
        <w:rFonts w:hint="default"/>
      </w:rPr>
    </w:lvl>
    <w:lvl w:ilvl="1" w:tplc="04090019">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91">
    <w:nsid w:val="52537BE8"/>
    <w:multiLevelType w:val="hybridMultilevel"/>
    <w:tmpl w:val="ACC0C17E"/>
    <w:lvl w:ilvl="0" w:tplc="31A0244C">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92">
    <w:nsid w:val="558C1455"/>
    <w:multiLevelType w:val="hybridMultilevel"/>
    <w:tmpl w:val="BDC857DE"/>
    <w:lvl w:ilvl="0" w:tplc="09D0E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82C4AB6"/>
    <w:multiLevelType w:val="hybridMultilevel"/>
    <w:tmpl w:val="43B26300"/>
    <w:lvl w:ilvl="0" w:tplc="EFA2AC5E">
      <w:start w:val="1"/>
      <w:numFmt w:val="decimal"/>
      <w:lvlText w:val="3.%1"/>
      <w:lvlJc w:val="left"/>
      <w:pPr>
        <w:ind w:left="906"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BEF38F0"/>
    <w:multiLevelType w:val="hybridMultilevel"/>
    <w:tmpl w:val="EA8A3DA8"/>
    <w:lvl w:ilvl="0" w:tplc="A1D61096">
      <w:start w:val="1"/>
      <w:numFmt w:val="decimal"/>
      <w:lvlText w:val="%1."/>
      <w:lvlJc w:val="left"/>
      <w:pPr>
        <w:ind w:left="1440" w:hanging="1440"/>
      </w:pPr>
      <w:rPr>
        <w:rFonts w:hint="default"/>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C9A3BBB"/>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6">
    <w:nsid w:val="5D107F42"/>
    <w:multiLevelType w:val="hybridMultilevel"/>
    <w:tmpl w:val="9F1A25FA"/>
    <w:lvl w:ilvl="0" w:tplc="6DE216D0">
      <w:start w:val="1"/>
      <w:numFmt w:val="low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7">
    <w:nsid w:val="5D892ADC"/>
    <w:multiLevelType w:val="hybridMultilevel"/>
    <w:tmpl w:val="C1405C1E"/>
    <w:lvl w:ilvl="0" w:tplc="E64CA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DDA30C3"/>
    <w:multiLevelType w:val="hybridMultilevel"/>
    <w:tmpl w:val="49688256"/>
    <w:lvl w:ilvl="0" w:tplc="AF6C3130">
      <w:start w:val="1"/>
      <w:numFmt w:val="decimal"/>
      <w:lvlText w:val="10.%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F173FC3"/>
    <w:multiLevelType w:val="hybridMultilevel"/>
    <w:tmpl w:val="B8D8C224"/>
    <w:lvl w:ilvl="0" w:tplc="4C1A129E">
      <w:start w:val="1"/>
      <w:numFmt w:val="lowerLetter"/>
      <w:lvlText w:val="(%1)"/>
      <w:lvlJc w:val="left"/>
      <w:pPr>
        <w:ind w:left="1691" w:hanging="36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00">
    <w:nsid w:val="5F370514"/>
    <w:multiLevelType w:val="hybridMultilevel"/>
    <w:tmpl w:val="1556CE30"/>
    <w:lvl w:ilvl="0" w:tplc="AA84361A">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01">
    <w:nsid w:val="60806389"/>
    <w:multiLevelType w:val="hybridMultilevel"/>
    <w:tmpl w:val="17209606"/>
    <w:lvl w:ilvl="0" w:tplc="0AF4A0EC">
      <w:start w:val="1"/>
      <w:numFmt w:val="lowerRoman"/>
      <w:lvlText w:val="(%1)"/>
      <w:lvlJc w:val="left"/>
      <w:pPr>
        <w:ind w:left="2422" w:hanging="72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02">
    <w:nsid w:val="61CE6EF3"/>
    <w:multiLevelType w:val="hybridMultilevel"/>
    <w:tmpl w:val="4BC4220E"/>
    <w:lvl w:ilvl="0" w:tplc="319CA8C6">
      <w:start w:val="1"/>
      <w:numFmt w:val="decimal"/>
      <w:lvlText w:val="(%1)"/>
      <w:lvlJc w:val="left"/>
      <w:pPr>
        <w:ind w:left="1692" w:hanging="360"/>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03">
    <w:nsid w:val="6235588E"/>
    <w:multiLevelType w:val="hybridMultilevel"/>
    <w:tmpl w:val="54409070"/>
    <w:lvl w:ilvl="0" w:tplc="E83E59BE">
      <w:start w:val="1"/>
      <w:numFmt w:val="decimal"/>
      <w:lvlText w:val="(%1)"/>
      <w:lvlJc w:val="left"/>
      <w:pPr>
        <w:ind w:left="1425" w:hanging="70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4">
    <w:nsid w:val="628A2621"/>
    <w:multiLevelType w:val="hybridMultilevel"/>
    <w:tmpl w:val="588A0FA6"/>
    <w:lvl w:ilvl="0" w:tplc="91A4D438">
      <w:start w:val="1"/>
      <w:numFmt w:val="decimal"/>
      <w:lvlText w:val="5.%1"/>
      <w:lvlJc w:val="left"/>
      <w:pPr>
        <w:ind w:left="1190" w:hanging="480"/>
      </w:pPr>
      <w:rPr>
        <w:rFonts w:hint="eastAsia"/>
        <w:b w:val="0"/>
        <w:i w:val="0"/>
        <w:color w:val="000000" w:themeColor="text1"/>
        <w:sz w:val="24"/>
        <w:szCs w:val="24"/>
        <w:vertAlign w:val="baseline"/>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2C30D62"/>
    <w:multiLevelType w:val="hybridMultilevel"/>
    <w:tmpl w:val="14904EE0"/>
    <w:lvl w:ilvl="0" w:tplc="13C2664A">
      <w:start w:val="4"/>
      <w:numFmt w:val="lowerLetter"/>
      <w:lvlText w:val="(%1)"/>
      <w:lvlJc w:val="left"/>
      <w:pPr>
        <w:ind w:left="197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46F3D95"/>
    <w:multiLevelType w:val="hybridMultilevel"/>
    <w:tmpl w:val="8B945256"/>
    <w:lvl w:ilvl="0" w:tplc="A4A4D1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7">
    <w:nsid w:val="65AC4AB6"/>
    <w:multiLevelType w:val="hybridMultilevel"/>
    <w:tmpl w:val="D110FD60"/>
    <w:lvl w:ilvl="0" w:tplc="EF88D46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5B36042"/>
    <w:multiLevelType w:val="hybridMultilevel"/>
    <w:tmpl w:val="E0B29166"/>
    <w:lvl w:ilvl="0" w:tplc="DD744162">
      <w:start w:val="1"/>
      <w:numFmt w:val="lowerRoman"/>
      <w:lvlText w:val="(%1)"/>
      <w:lvlJc w:val="left"/>
      <w:pPr>
        <w:ind w:left="2642" w:hanging="720"/>
      </w:pPr>
      <w:rPr>
        <w:rFonts w:hint="default"/>
      </w:rPr>
    </w:lvl>
    <w:lvl w:ilvl="1" w:tplc="04090019" w:tentative="1">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109">
    <w:nsid w:val="67435402"/>
    <w:multiLevelType w:val="hybridMultilevel"/>
    <w:tmpl w:val="A8B6DA2A"/>
    <w:lvl w:ilvl="0" w:tplc="9D8C9528">
      <w:start w:val="1"/>
      <w:numFmt w:val="bullet"/>
      <w:lvlText w:val="□"/>
      <w:lvlJc w:val="left"/>
      <w:pPr>
        <w:ind w:left="2262" w:hanging="360"/>
      </w:pPr>
      <w:rPr>
        <w:rFonts w:ascii="新細明體" w:eastAsia="新細明體" w:hAnsi="新細明體" w:cs="Arial" w:hint="eastAsia"/>
      </w:rPr>
    </w:lvl>
    <w:lvl w:ilvl="1" w:tplc="04090003" w:tentative="1">
      <w:start w:val="1"/>
      <w:numFmt w:val="bullet"/>
      <w:lvlText w:val=""/>
      <w:lvlJc w:val="left"/>
      <w:pPr>
        <w:ind w:left="2862" w:hanging="480"/>
      </w:pPr>
      <w:rPr>
        <w:rFonts w:ascii="Wingdings" w:hAnsi="Wingdings" w:hint="default"/>
      </w:rPr>
    </w:lvl>
    <w:lvl w:ilvl="2" w:tplc="04090005" w:tentative="1">
      <w:start w:val="1"/>
      <w:numFmt w:val="bullet"/>
      <w:lvlText w:val=""/>
      <w:lvlJc w:val="left"/>
      <w:pPr>
        <w:ind w:left="3342" w:hanging="480"/>
      </w:pPr>
      <w:rPr>
        <w:rFonts w:ascii="Wingdings" w:hAnsi="Wingdings" w:hint="default"/>
      </w:rPr>
    </w:lvl>
    <w:lvl w:ilvl="3" w:tplc="04090001" w:tentative="1">
      <w:start w:val="1"/>
      <w:numFmt w:val="bullet"/>
      <w:lvlText w:val=""/>
      <w:lvlJc w:val="left"/>
      <w:pPr>
        <w:ind w:left="3822" w:hanging="480"/>
      </w:pPr>
      <w:rPr>
        <w:rFonts w:ascii="Wingdings" w:hAnsi="Wingdings" w:hint="default"/>
      </w:rPr>
    </w:lvl>
    <w:lvl w:ilvl="4" w:tplc="04090003" w:tentative="1">
      <w:start w:val="1"/>
      <w:numFmt w:val="bullet"/>
      <w:lvlText w:val=""/>
      <w:lvlJc w:val="left"/>
      <w:pPr>
        <w:ind w:left="4302" w:hanging="480"/>
      </w:pPr>
      <w:rPr>
        <w:rFonts w:ascii="Wingdings" w:hAnsi="Wingdings" w:hint="default"/>
      </w:rPr>
    </w:lvl>
    <w:lvl w:ilvl="5" w:tplc="04090005" w:tentative="1">
      <w:start w:val="1"/>
      <w:numFmt w:val="bullet"/>
      <w:lvlText w:val=""/>
      <w:lvlJc w:val="left"/>
      <w:pPr>
        <w:ind w:left="4782" w:hanging="480"/>
      </w:pPr>
      <w:rPr>
        <w:rFonts w:ascii="Wingdings" w:hAnsi="Wingdings" w:hint="default"/>
      </w:rPr>
    </w:lvl>
    <w:lvl w:ilvl="6" w:tplc="04090001" w:tentative="1">
      <w:start w:val="1"/>
      <w:numFmt w:val="bullet"/>
      <w:lvlText w:val=""/>
      <w:lvlJc w:val="left"/>
      <w:pPr>
        <w:ind w:left="5262" w:hanging="480"/>
      </w:pPr>
      <w:rPr>
        <w:rFonts w:ascii="Wingdings" w:hAnsi="Wingdings" w:hint="default"/>
      </w:rPr>
    </w:lvl>
    <w:lvl w:ilvl="7" w:tplc="04090003" w:tentative="1">
      <w:start w:val="1"/>
      <w:numFmt w:val="bullet"/>
      <w:lvlText w:val=""/>
      <w:lvlJc w:val="left"/>
      <w:pPr>
        <w:ind w:left="5742" w:hanging="480"/>
      </w:pPr>
      <w:rPr>
        <w:rFonts w:ascii="Wingdings" w:hAnsi="Wingdings" w:hint="default"/>
      </w:rPr>
    </w:lvl>
    <w:lvl w:ilvl="8" w:tplc="04090005" w:tentative="1">
      <w:start w:val="1"/>
      <w:numFmt w:val="bullet"/>
      <w:lvlText w:val=""/>
      <w:lvlJc w:val="left"/>
      <w:pPr>
        <w:ind w:left="6222" w:hanging="480"/>
      </w:pPr>
      <w:rPr>
        <w:rFonts w:ascii="Wingdings" w:hAnsi="Wingdings" w:hint="default"/>
      </w:rPr>
    </w:lvl>
  </w:abstractNum>
  <w:abstractNum w:abstractNumId="110">
    <w:nsid w:val="68FF4EBA"/>
    <w:multiLevelType w:val="hybridMultilevel"/>
    <w:tmpl w:val="D3D4F2AE"/>
    <w:lvl w:ilvl="0" w:tplc="D9BA6610">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11">
    <w:nsid w:val="698D0C70"/>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2">
    <w:nsid w:val="6E0223AC"/>
    <w:multiLevelType w:val="hybridMultilevel"/>
    <w:tmpl w:val="9FFAC3E4"/>
    <w:lvl w:ilvl="0" w:tplc="4502C492">
      <w:start w:val="1"/>
      <w:numFmt w:val="decimal"/>
      <w:lvlText w:val="(%1)"/>
      <w:lvlJc w:val="left"/>
      <w:pPr>
        <w:ind w:left="1958" w:hanging="54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3">
    <w:nsid w:val="6E54615B"/>
    <w:multiLevelType w:val="hybridMultilevel"/>
    <w:tmpl w:val="6FA0B1CA"/>
    <w:lvl w:ilvl="0" w:tplc="07F49EAE">
      <w:start w:val="1"/>
      <w:numFmt w:val="lowerLetter"/>
      <w:lvlText w:val="(%1)"/>
      <w:lvlJc w:val="left"/>
      <w:pPr>
        <w:ind w:left="720" w:hanging="72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6E9C3712"/>
    <w:multiLevelType w:val="hybridMultilevel"/>
    <w:tmpl w:val="CA28123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5">
    <w:nsid w:val="7110484F"/>
    <w:multiLevelType w:val="hybridMultilevel"/>
    <w:tmpl w:val="721ACBAC"/>
    <w:lvl w:ilvl="0" w:tplc="4F303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71D660B8"/>
    <w:multiLevelType w:val="hybridMultilevel"/>
    <w:tmpl w:val="7EA4E3C2"/>
    <w:lvl w:ilvl="0" w:tplc="6D6C6616">
      <w:start w:val="1"/>
      <w:numFmt w:val="decimal"/>
      <w:lvlText w:val="7.%1"/>
      <w:lvlJc w:val="left"/>
      <w:pPr>
        <w:ind w:left="480" w:hanging="480"/>
      </w:pPr>
      <w:rPr>
        <w:rFonts w:hint="eastAsia"/>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72A91FA9"/>
    <w:multiLevelType w:val="hybridMultilevel"/>
    <w:tmpl w:val="2C46C43A"/>
    <w:lvl w:ilvl="0" w:tplc="3654B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74024797"/>
    <w:multiLevelType w:val="hybridMultilevel"/>
    <w:tmpl w:val="1BF633CA"/>
    <w:lvl w:ilvl="0" w:tplc="6CE27E84">
      <w:start w:val="1"/>
      <w:numFmt w:val="lowerLetter"/>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75D70B9F"/>
    <w:multiLevelType w:val="multilevel"/>
    <w:tmpl w:val="4D52C604"/>
    <w:lvl w:ilvl="0">
      <w:start w:val="1"/>
      <w:numFmt w:val="decimal"/>
      <w:pStyle w:val="ParaLevel1"/>
      <w:lvlText w:val="%1."/>
      <w:lvlJc w:val="left"/>
      <w:pPr>
        <w:tabs>
          <w:tab w:val="num" w:pos="900"/>
        </w:tabs>
        <w:ind w:left="90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20">
    <w:nsid w:val="75DE0E32"/>
    <w:multiLevelType w:val="hybridMultilevel"/>
    <w:tmpl w:val="8840A608"/>
    <w:lvl w:ilvl="0" w:tplc="BD62D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76097DCE"/>
    <w:multiLevelType w:val="hybridMultilevel"/>
    <w:tmpl w:val="AC66414C"/>
    <w:lvl w:ilvl="0" w:tplc="5A48E5E2">
      <w:start w:val="1"/>
      <w:numFmt w:val="decimal"/>
      <w:lvlText w:val="(%1)"/>
      <w:lvlJc w:val="left"/>
      <w:pPr>
        <w:ind w:left="1845" w:hanging="42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22">
    <w:nsid w:val="766D7FBE"/>
    <w:multiLevelType w:val="hybridMultilevel"/>
    <w:tmpl w:val="D01663B8"/>
    <w:lvl w:ilvl="0" w:tplc="825A59A0">
      <w:start w:val="1"/>
      <w:numFmt w:val="lowerRoman"/>
      <w:lvlText w:val="(%1)"/>
      <w:lvlJc w:val="left"/>
      <w:pPr>
        <w:ind w:left="3131" w:hanging="720"/>
      </w:pPr>
      <w:rPr>
        <w:rFonts w:hint="default"/>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123">
    <w:nsid w:val="78CE4D65"/>
    <w:multiLevelType w:val="hybridMultilevel"/>
    <w:tmpl w:val="191A5766"/>
    <w:lvl w:ilvl="0" w:tplc="DFE28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79395ADD"/>
    <w:multiLevelType w:val="hybridMultilevel"/>
    <w:tmpl w:val="85E8A676"/>
    <w:lvl w:ilvl="0" w:tplc="1FE4D1B6">
      <w:start w:val="1"/>
      <w:numFmt w:val="decimal"/>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5">
    <w:nsid w:val="79563267"/>
    <w:multiLevelType w:val="hybridMultilevel"/>
    <w:tmpl w:val="5A025E00"/>
    <w:lvl w:ilvl="0" w:tplc="6444FBB2">
      <w:start w:val="1"/>
      <w:numFmt w:val="lowerRoman"/>
      <w:lvlText w:val="(%1)"/>
      <w:lvlJc w:val="left"/>
      <w:pPr>
        <w:ind w:left="1905" w:hanging="480"/>
      </w:pPr>
      <w:rPr>
        <w:rFonts w:hint="eastAsia"/>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26">
    <w:nsid w:val="79895C8B"/>
    <w:multiLevelType w:val="hybridMultilevel"/>
    <w:tmpl w:val="CB12044C"/>
    <w:lvl w:ilvl="0" w:tplc="E8EE7CE8">
      <w:start w:val="1"/>
      <w:numFmt w:val="lowerLetter"/>
      <w:lvlText w:val="(%1)"/>
      <w:lvlJc w:val="left"/>
      <w:pPr>
        <w:ind w:left="1695" w:hanging="360"/>
      </w:pPr>
      <w:rPr>
        <w:rFonts w:hint="eastAsia"/>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7">
    <w:nsid w:val="79BD12F4"/>
    <w:multiLevelType w:val="hybridMultilevel"/>
    <w:tmpl w:val="8D9C0D3A"/>
    <w:lvl w:ilvl="0" w:tplc="B41C134E">
      <w:start w:val="1"/>
      <w:numFmt w:val="lowerLetter"/>
      <w:lvlText w:val="(%1)"/>
      <w:lvlJc w:val="left"/>
      <w:pPr>
        <w:ind w:left="169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C9B19D8"/>
    <w:multiLevelType w:val="hybridMultilevel"/>
    <w:tmpl w:val="5096FED2"/>
    <w:lvl w:ilvl="0" w:tplc="C68ED9DA">
      <w:start w:val="1"/>
      <w:numFmt w:val="decimal"/>
      <w:lvlText w:val="9.%1"/>
      <w:lvlJc w:val="left"/>
      <w:pPr>
        <w:ind w:left="480" w:hanging="480"/>
      </w:pPr>
      <w:rPr>
        <w:rFonts w:ascii="Arial" w:hAnsi="Arial" w:cs="Arial" w:hint="default"/>
        <w:b w:val="0"/>
        <w:i w:val="0"/>
        <w:color w:val="000000" w:themeColor="text1"/>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7CBC0226"/>
    <w:multiLevelType w:val="hybridMultilevel"/>
    <w:tmpl w:val="4A32CFC2"/>
    <w:lvl w:ilvl="0" w:tplc="EAF2F6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D810682"/>
    <w:multiLevelType w:val="hybridMultilevel"/>
    <w:tmpl w:val="B0FC612E"/>
    <w:lvl w:ilvl="0" w:tplc="1130E46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1">
    <w:nsid w:val="7DEC2336"/>
    <w:multiLevelType w:val="hybridMultilevel"/>
    <w:tmpl w:val="A808B746"/>
    <w:lvl w:ilvl="0" w:tplc="524A6418">
      <w:start w:val="1"/>
      <w:numFmt w:val="decimal"/>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2">
    <w:nsid w:val="7E2C2241"/>
    <w:multiLevelType w:val="hybridMultilevel"/>
    <w:tmpl w:val="F4749C50"/>
    <w:lvl w:ilvl="0" w:tplc="4482BD0E">
      <w:start w:val="1"/>
      <w:numFmt w:val="lowerRoman"/>
      <w:lvlText w:val="(%1)"/>
      <w:lvlJc w:val="left"/>
      <w:pPr>
        <w:ind w:left="720" w:hanging="360"/>
      </w:pPr>
      <w:rPr>
        <w:rFonts w:ascii="Arial" w:eastAsia="新細明體" w:hAnsi="Arial" w:cs="Arial"/>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3">
    <w:nsid w:val="7F593F7C"/>
    <w:multiLevelType w:val="hybridMultilevel"/>
    <w:tmpl w:val="681EDD22"/>
    <w:lvl w:ilvl="0" w:tplc="19EE0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F6B770A"/>
    <w:multiLevelType w:val="hybridMultilevel"/>
    <w:tmpl w:val="1D4C6E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F861E0F"/>
    <w:multiLevelType w:val="hybridMultilevel"/>
    <w:tmpl w:val="8B5016C4"/>
    <w:lvl w:ilvl="0" w:tplc="1FE02F78">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30"/>
  </w:num>
  <w:num w:numId="2">
    <w:abstractNumId w:val="1"/>
  </w:num>
  <w:num w:numId="3">
    <w:abstractNumId w:val="58"/>
  </w:num>
  <w:num w:numId="4">
    <w:abstractNumId w:val="68"/>
  </w:num>
  <w:num w:numId="5">
    <w:abstractNumId w:val="119"/>
  </w:num>
  <w:num w:numId="6">
    <w:abstractNumId w:val="70"/>
  </w:num>
  <w:num w:numId="7">
    <w:abstractNumId w:val="94"/>
  </w:num>
  <w:num w:numId="8">
    <w:abstractNumId w:val="28"/>
  </w:num>
  <w:num w:numId="9">
    <w:abstractNumId w:val="51"/>
  </w:num>
  <w:num w:numId="10">
    <w:abstractNumId w:val="45"/>
  </w:num>
  <w:num w:numId="11">
    <w:abstractNumId w:val="44"/>
  </w:num>
  <w:num w:numId="12">
    <w:abstractNumId w:val="117"/>
  </w:num>
  <w:num w:numId="13">
    <w:abstractNumId w:val="93"/>
  </w:num>
  <w:num w:numId="14">
    <w:abstractNumId w:val="57"/>
  </w:num>
  <w:num w:numId="15">
    <w:abstractNumId w:val="118"/>
  </w:num>
  <w:num w:numId="16">
    <w:abstractNumId w:val="33"/>
  </w:num>
  <w:num w:numId="17">
    <w:abstractNumId w:val="76"/>
  </w:num>
  <w:num w:numId="18">
    <w:abstractNumId w:val="42"/>
  </w:num>
  <w:num w:numId="19">
    <w:abstractNumId w:val="32"/>
  </w:num>
  <w:num w:numId="20">
    <w:abstractNumId w:val="27"/>
  </w:num>
  <w:num w:numId="21">
    <w:abstractNumId w:val="85"/>
  </w:num>
  <w:num w:numId="22">
    <w:abstractNumId w:val="20"/>
  </w:num>
  <w:num w:numId="23">
    <w:abstractNumId w:val="59"/>
  </w:num>
  <w:num w:numId="24">
    <w:abstractNumId w:val="132"/>
  </w:num>
  <w:num w:numId="25">
    <w:abstractNumId w:val="101"/>
  </w:num>
  <w:num w:numId="26">
    <w:abstractNumId w:val="3"/>
  </w:num>
  <w:num w:numId="27">
    <w:abstractNumId w:val="60"/>
  </w:num>
  <w:num w:numId="28">
    <w:abstractNumId w:val="55"/>
  </w:num>
  <w:num w:numId="29">
    <w:abstractNumId w:val="113"/>
  </w:num>
  <w:num w:numId="30">
    <w:abstractNumId w:val="41"/>
  </w:num>
  <w:num w:numId="31">
    <w:abstractNumId w:val="53"/>
  </w:num>
  <w:num w:numId="32">
    <w:abstractNumId w:val="65"/>
  </w:num>
  <w:num w:numId="33">
    <w:abstractNumId w:val="71"/>
  </w:num>
  <w:num w:numId="34">
    <w:abstractNumId w:val="8"/>
  </w:num>
  <w:num w:numId="35">
    <w:abstractNumId w:val="38"/>
  </w:num>
  <w:num w:numId="36">
    <w:abstractNumId w:val="30"/>
  </w:num>
  <w:num w:numId="37">
    <w:abstractNumId w:val="26"/>
  </w:num>
  <w:num w:numId="38">
    <w:abstractNumId w:val="4"/>
  </w:num>
  <w:num w:numId="39">
    <w:abstractNumId w:val="73"/>
  </w:num>
  <w:num w:numId="40">
    <w:abstractNumId w:val="69"/>
  </w:num>
  <w:num w:numId="41">
    <w:abstractNumId w:val="109"/>
  </w:num>
  <w:num w:numId="42">
    <w:abstractNumId w:val="100"/>
  </w:num>
  <w:num w:numId="43">
    <w:abstractNumId w:val="52"/>
  </w:num>
  <w:num w:numId="44">
    <w:abstractNumId w:val="75"/>
  </w:num>
  <w:num w:numId="45">
    <w:abstractNumId w:val="62"/>
  </w:num>
  <w:num w:numId="46">
    <w:abstractNumId w:val="46"/>
  </w:num>
  <w:num w:numId="47">
    <w:abstractNumId w:val="127"/>
  </w:num>
  <w:num w:numId="48">
    <w:abstractNumId w:val="47"/>
  </w:num>
  <w:num w:numId="49">
    <w:abstractNumId w:val="83"/>
  </w:num>
  <w:num w:numId="50">
    <w:abstractNumId w:val="79"/>
  </w:num>
  <w:num w:numId="51">
    <w:abstractNumId w:val="14"/>
  </w:num>
  <w:num w:numId="52">
    <w:abstractNumId w:val="105"/>
  </w:num>
  <w:num w:numId="53">
    <w:abstractNumId w:val="88"/>
  </w:num>
  <w:num w:numId="54">
    <w:abstractNumId w:val="81"/>
  </w:num>
  <w:num w:numId="55">
    <w:abstractNumId w:val="112"/>
  </w:num>
  <w:num w:numId="56">
    <w:abstractNumId w:val="90"/>
  </w:num>
  <w:num w:numId="57">
    <w:abstractNumId w:val="12"/>
  </w:num>
  <w:num w:numId="58">
    <w:abstractNumId w:val="107"/>
  </w:num>
  <w:num w:numId="59">
    <w:abstractNumId w:val="40"/>
  </w:num>
  <w:num w:numId="60">
    <w:abstractNumId w:val="91"/>
  </w:num>
  <w:num w:numId="61">
    <w:abstractNumId w:val="34"/>
  </w:num>
  <w:num w:numId="62">
    <w:abstractNumId w:val="49"/>
  </w:num>
  <w:num w:numId="63">
    <w:abstractNumId w:val="18"/>
  </w:num>
  <w:num w:numId="64">
    <w:abstractNumId w:val="96"/>
  </w:num>
  <w:num w:numId="65">
    <w:abstractNumId w:val="24"/>
  </w:num>
  <w:num w:numId="66">
    <w:abstractNumId w:val="61"/>
  </w:num>
  <w:num w:numId="67">
    <w:abstractNumId w:val="95"/>
  </w:num>
  <w:num w:numId="68">
    <w:abstractNumId w:val="56"/>
  </w:num>
  <w:num w:numId="69">
    <w:abstractNumId w:val="135"/>
  </w:num>
  <w:num w:numId="70">
    <w:abstractNumId w:val="0"/>
  </w:num>
  <w:num w:numId="71">
    <w:abstractNumId w:val="111"/>
  </w:num>
  <w:num w:numId="72">
    <w:abstractNumId w:val="74"/>
  </w:num>
  <w:num w:numId="73">
    <w:abstractNumId w:val="35"/>
  </w:num>
  <w:num w:numId="74">
    <w:abstractNumId w:val="108"/>
  </w:num>
  <w:num w:numId="75">
    <w:abstractNumId w:val="7"/>
  </w:num>
  <w:num w:numId="76">
    <w:abstractNumId w:val="2"/>
  </w:num>
  <w:num w:numId="77">
    <w:abstractNumId w:val="110"/>
  </w:num>
  <w:num w:numId="78">
    <w:abstractNumId w:val="10"/>
  </w:num>
  <w:num w:numId="79">
    <w:abstractNumId w:val="15"/>
  </w:num>
  <w:num w:numId="80">
    <w:abstractNumId w:val="126"/>
  </w:num>
  <w:num w:numId="81">
    <w:abstractNumId w:val="99"/>
  </w:num>
  <w:num w:numId="82">
    <w:abstractNumId w:val="123"/>
  </w:num>
  <w:num w:numId="83">
    <w:abstractNumId w:val="16"/>
  </w:num>
  <w:num w:numId="84">
    <w:abstractNumId w:val="82"/>
  </w:num>
  <w:num w:numId="85">
    <w:abstractNumId w:val="134"/>
  </w:num>
  <w:num w:numId="86">
    <w:abstractNumId w:val="120"/>
  </w:num>
  <w:num w:numId="87">
    <w:abstractNumId w:val="48"/>
  </w:num>
  <w:num w:numId="88">
    <w:abstractNumId w:val="133"/>
  </w:num>
  <w:num w:numId="89">
    <w:abstractNumId w:val="11"/>
  </w:num>
  <w:num w:numId="90">
    <w:abstractNumId w:val="106"/>
  </w:num>
  <w:num w:numId="91">
    <w:abstractNumId w:val="13"/>
  </w:num>
  <w:num w:numId="92">
    <w:abstractNumId w:val="124"/>
  </w:num>
  <w:num w:numId="93">
    <w:abstractNumId w:val="9"/>
  </w:num>
  <w:num w:numId="94">
    <w:abstractNumId w:val="23"/>
  </w:num>
  <w:num w:numId="95">
    <w:abstractNumId w:val="39"/>
  </w:num>
  <w:num w:numId="96">
    <w:abstractNumId w:val="54"/>
  </w:num>
  <w:num w:numId="97">
    <w:abstractNumId w:val="121"/>
  </w:num>
  <w:num w:numId="98">
    <w:abstractNumId w:val="67"/>
  </w:num>
  <w:num w:numId="99">
    <w:abstractNumId w:val="66"/>
  </w:num>
  <w:num w:numId="100">
    <w:abstractNumId w:val="31"/>
  </w:num>
  <w:num w:numId="101">
    <w:abstractNumId w:val="114"/>
  </w:num>
  <w:num w:numId="102">
    <w:abstractNumId w:val="77"/>
  </w:num>
  <w:num w:numId="103">
    <w:abstractNumId w:val="63"/>
  </w:num>
  <w:num w:numId="104">
    <w:abstractNumId w:val="116"/>
  </w:num>
  <w:num w:numId="105">
    <w:abstractNumId w:val="5"/>
  </w:num>
  <w:num w:numId="106">
    <w:abstractNumId w:val="128"/>
  </w:num>
  <w:num w:numId="107">
    <w:abstractNumId w:val="87"/>
  </w:num>
  <w:num w:numId="108">
    <w:abstractNumId w:val="104"/>
  </w:num>
  <w:num w:numId="109">
    <w:abstractNumId w:val="19"/>
  </w:num>
  <w:num w:numId="110">
    <w:abstractNumId w:val="25"/>
  </w:num>
  <w:num w:numId="111">
    <w:abstractNumId w:val="6"/>
  </w:num>
  <w:num w:numId="112">
    <w:abstractNumId w:val="125"/>
  </w:num>
  <w:num w:numId="113">
    <w:abstractNumId w:val="84"/>
  </w:num>
  <w:num w:numId="114">
    <w:abstractNumId w:val="21"/>
  </w:num>
  <w:num w:numId="115">
    <w:abstractNumId w:val="64"/>
  </w:num>
  <w:num w:numId="116">
    <w:abstractNumId w:val="29"/>
  </w:num>
  <w:num w:numId="117">
    <w:abstractNumId w:val="92"/>
  </w:num>
  <w:num w:numId="118">
    <w:abstractNumId w:val="43"/>
  </w:num>
  <w:num w:numId="119">
    <w:abstractNumId w:val="102"/>
  </w:num>
  <w:num w:numId="120">
    <w:abstractNumId w:val="36"/>
  </w:num>
  <w:num w:numId="121">
    <w:abstractNumId w:val="97"/>
  </w:num>
  <w:num w:numId="122">
    <w:abstractNumId w:val="22"/>
  </w:num>
  <w:num w:numId="123">
    <w:abstractNumId w:val="37"/>
  </w:num>
  <w:num w:numId="124">
    <w:abstractNumId w:val="89"/>
  </w:num>
  <w:num w:numId="125">
    <w:abstractNumId w:val="78"/>
  </w:num>
  <w:num w:numId="126">
    <w:abstractNumId w:val="115"/>
  </w:num>
  <w:num w:numId="127">
    <w:abstractNumId w:val="86"/>
  </w:num>
  <w:num w:numId="128">
    <w:abstractNumId w:val="122"/>
  </w:num>
  <w:num w:numId="129">
    <w:abstractNumId w:val="17"/>
  </w:num>
  <w:num w:numId="130">
    <w:abstractNumId w:val="129"/>
  </w:num>
  <w:num w:numId="131">
    <w:abstractNumId w:val="103"/>
  </w:num>
  <w:num w:numId="132">
    <w:abstractNumId w:val="131"/>
  </w:num>
  <w:num w:numId="133">
    <w:abstractNumId w:val="50"/>
  </w:num>
  <w:num w:numId="134">
    <w:abstractNumId w:val="80"/>
  </w:num>
  <w:num w:numId="135">
    <w:abstractNumId w:val="98"/>
  </w:num>
  <w:num w:numId="136">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zt1hXyvnulJ0DfJFANdVei24Hp4=" w:salt="XxzlU2rFyIe78zGbRXIgjA=="/>
  <w:defaultTabStop w:val="720"/>
  <w:drawingGridHorizontalSpacing w:val="120"/>
  <w:displayHorizontalDrawingGridEvery w:val="0"/>
  <w:displayVerticalDrawingGridEvery w:val="2"/>
  <w:characterSpacingControl w:val="compressPunctuation"/>
  <w:hdrShapeDefaults>
    <o:shapedefaults v:ext="edit" spidmax="504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F2B1D0C-79CF-401B-A58C-5028BC562230}"/>
    <w:docVar w:name="dgnword-eventsink" w:val="351687080"/>
  </w:docVars>
  <w:rsids>
    <w:rsidRoot w:val="00702C5C"/>
    <w:rsid w:val="00000068"/>
    <w:rsid w:val="00001663"/>
    <w:rsid w:val="00001A8C"/>
    <w:rsid w:val="000035DA"/>
    <w:rsid w:val="000036AC"/>
    <w:rsid w:val="00003C23"/>
    <w:rsid w:val="00005627"/>
    <w:rsid w:val="00005B02"/>
    <w:rsid w:val="000063E7"/>
    <w:rsid w:val="000064FA"/>
    <w:rsid w:val="00006779"/>
    <w:rsid w:val="00006916"/>
    <w:rsid w:val="00006AF9"/>
    <w:rsid w:val="00007160"/>
    <w:rsid w:val="00007704"/>
    <w:rsid w:val="00010F88"/>
    <w:rsid w:val="00012981"/>
    <w:rsid w:val="00012F9D"/>
    <w:rsid w:val="00014834"/>
    <w:rsid w:val="000151FC"/>
    <w:rsid w:val="000152CF"/>
    <w:rsid w:val="0001737F"/>
    <w:rsid w:val="0001776F"/>
    <w:rsid w:val="00020C2E"/>
    <w:rsid w:val="000217F3"/>
    <w:rsid w:val="00021D5C"/>
    <w:rsid w:val="000225AF"/>
    <w:rsid w:val="00022BC9"/>
    <w:rsid w:val="00022BE4"/>
    <w:rsid w:val="00023B0E"/>
    <w:rsid w:val="00023C89"/>
    <w:rsid w:val="00023CD4"/>
    <w:rsid w:val="00023F80"/>
    <w:rsid w:val="00024900"/>
    <w:rsid w:val="00024A67"/>
    <w:rsid w:val="00024E20"/>
    <w:rsid w:val="00024F6C"/>
    <w:rsid w:val="000259EC"/>
    <w:rsid w:val="00025FC1"/>
    <w:rsid w:val="00027169"/>
    <w:rsid w:val="00027C9C"/>
    <w:rsid w:val="0003012D"/>
    <w:rsid w:val="00031707"/>
    <w:rsid w:val="00031B31"/>
    <w:rsid w:val="000331C2"/>
    <w:rsid w:val="000343C7"/>
    <w:rsid w:val="00035F37"/>
    <w:rsid w:val="0003654D"/>
    <w:rsid w:val="00036D62"/>
    <w:rsid w:val="00040266"/>
    <w:rsid w:val="00040EFE"/>
    <w:rsid w:val="00042B78"/>
    <w:rsid w:val="00042E07"/>
    <w:rsid w:val="00042F01"/>
    <w:rsid w:val="00042FF3"/>
    <w:rsid w:val="00043FD0"/>
    <w:rsid w:val="000466D4"/>
    <w:rsid w:val="00046A5D"/>
    <w:rsid w:val="0004726B"/>
    <w:rsid w:val="00050228"/>
    <w:rsid w:val="000509F8"/>
    <w:rsid w:val="00050B75"/>
    <w:rsid w:val="00050F41"/>
    <w:rsid w:val="00051D6D"/>
    <w:rsid w:val="00051FF8"/>
    <w:rsid w:val="00052D45"/>
    <w:rsid w:val="00053A4B"/>
    <w:rsid w:val="00054FF4"/>
    <w:rsid w:val="00055A83"/>
    <w:rsid w:val="000579B4"/>
    <w:rsid w:val="00060B79"/>
    <w:rsid w:val="00060D74"/>
    <w:rsid w:val="0006264A"/>
    <w:rsid w:val="0006282B"/>
    <w:rsid w:val="00062BC6"/>
    <w:rsid w:val="00063185"/>
    <w:rsid w:val="000633E4"/>
    <w:rsid w:val="00063D47"/>
    <w:rsid w:val="00064033"/>
    <w:rsid w:val="000644BE"/>
    <w:rsid w:val="00064BD8"/>
    <w:rsid w:val="00066B32"/>
    <w:rsid w:val="00067695"/>
    <w:rsid w:val="00070507"/>
    <w:rsid w:val="0007074E"/>
    <w:rsid w:val="00070B96"/>
    <w:rsid w:val="00071656"/>
    <w:rsid w:val="0007351B"/>
    <w:rsid w:val="000739A9"/>
    <w:rsid w:val="000741C5"/>
    <w:rsid w:val="00075278"/>
    <w:rsid w:val="000759A3"/>
    <w:rsid w:val="00077936"/>
    <w:rsid w:val="00080250"/>
    <w:rsid w:val="00080A6F"/>
    <w:rsid w:val="00080E34"/>
    <w:rsid w:val="00081157"/>
    <w:rsid w:val="00081441"/>
    <w:rsid w:val="00082581"/>
    <w:rsid w:val="0008281C"/>
    <w:rsid w:val="000831B2"/>
    <w:rsid w:val="00083986"/>
    <w:rsid w:val="0008412F"/>
    <w:rsid w:val="00084E0F"/>
    <w:rsid w:val="00084EA8"/>
    <w:rsid w:val="000859BF"/>
    <w:rsid w:val="00085F74"/>
    <w:rsid w:val="00087460"/>
    <w:rsid w:val="000913D4"/>
    <w:rsid w:val="000920FE"/>
    <w:rsid w:val="00093CD2"/>
    <w:rsid w:val="00094068"/>
    <w:rsid w:val="000945C4"/>
    <w:rsid w:val="0009485E"/>
    <w:rsid w:val="00094BB7"/>
    <w:rsid w:val="00095982"/>
    <w:rsid w:val="00095E10"/>
    <w:rsid w:val="000A148F"/>
    <w:rsid w:val="000A2D81"/>
    <w:rsid w:val="000A493A"/>
    <w:rsid w:val="000A6241"/>
    <w:rsid w:val="000A6C98"/>
    <w:rsid w:val="000A6FA8"/>
    <w:rsid w:val="000B0569"/>
    <w:rsid w:val="000B05FC"/>
    <w:rsid w:val="000B2250"/>
    <w:rsid w:val="000B2634"/>
    <w:rsid w:val="000B48F2"/>
    <w:rsid w:val="000B4F6C"/>
    <w:rsid w:val="000B518A"/>
    <w:rsid w:val="000B5E06"/>
    <w:rsid w:val="000B7D89"/>
    <w:rsid w:val="000C0FEE"/>
    <w:rsid w:val="000C1E70"/>
    <w:rsid w:val="000C2B10"/>
    <w:rsid w:val="000C3876"/>
    <w:rsid w:val="000C480C"/>
    <w:rsid w:val="000C4A32"/>
    <w:rsid w:val="000C4FA6"/>
    <w:rsid w:val="000C6849"/>
    <w:rsid w:val="000C7853"/>
    <w:rsid w:val="000D0ACE"/>
    <w:rsid w:val="000D17EA"/>
    <w:rsid w:val="000D1FD9"/>
    <w:rsid w:val="000D1FFF"/>
    <w:rsid w:val="000D2223"/>
    <w:rsid w:val="000D2827"/>
    <w:rsid w:val="000D2FC0"/>
    <w:rsid w:val="000D3EA6"/>
    <w:rsid w:val="000D6862"/>
    <w:rsid w:val="000D7C8A"/>
    <w:rsid w:val="000D7D86"/>
    <w:rsid w:val="000E071E"/>
    <w:rsid w:val="000E21C0"/>
    <w:rsid w:val="000E2B47"/>
    <w:rsid w:val="000E2B6B"/>
    <w:rsid w:val="000E64EC"/>
    <w:rsid w:val="000F05FB"/>
    <w:rsid w:val="000F0C98"/>
    <w:rsid w:val="000F1A85"/>
    <w:rsid w:val="000F2383"/>
    <w:rsid w:val="000F2C23"/>
    <w:rsid w:val="000F2CC9"/>
    <w:rsid w:val="000F3A71"/>
    <w:rsid w:val="000F3CC2"/>
    <w:rsid w:val="000F597B"/>
    <w:rsid w:val="000F6A8B"/>
    <w:rsid w:val="00100721"/>
    <w:rsid w:val="00102579"/>
    <w:rsid w:val="00102F5D"/>
    <w:rsid w:val="00103CED"/>
    <w:rsid w:val="00104B44"/>
    <w:rsid w:val="00105061"/>
    <w:rsid w:val="00106736"/>
    <w:rsid w:val="001070FF"/>
    <w:rsid w:val="00107B15"/>
    <w:rsid w:val="00107CC0"/>
    <w:rsid w:val="00107CDB"/>
    <w:rsid w:val="0011195E"/>
    <w:rsid w:val="00111E07"/>
    <w:rsid w:val="001153D0"/>
    <w:rsid w:val="00115E35"/>
    <w:rsid w:val="0011697F"/>
    <w:rsid w:val="00117C9E"/>
    <w:rsid w:val="00122F7D"/>
    <w:rsid w:val="00126569"/>
    <w:rsid w:val="00126DDB"/>
    <w:rsid w:val="00127F98"/>
    <w:rsid w:val="00131045"/>
    <w:rsid w:val="00132CBE"/>
    <w:rsid w:val="00133748"/>
    <w:rsid w:val="00134D56"/>
    <w:rsid w:val="00136514"/>
    <w:rsid w:val="00137553"/>
    <w:rsid w:val="00142686"/>
    <w:rsid w:val="001438C2"/>
    <w:rsid w:val="00145F83"/>
    <w:rsid w:val="00146F4C"/>
    <w:rsid w:val="001470FE"/>
    <w:rsid w:val="0015008F"/>
    <w:rsid w:val="0015074A"/>
    <w:rsid w:val="00153A58"/>
    <w:rsid w:val="001544FD"/>
    <w:rsid w:val="00154594"/>
    <w:rsid w:val="00154985"/>
    <w:rsid w:val="00154A72"/>
    <w:rsid w:val="00154B72"/>
    <w:rsid w:val="001578D5"/>
    <w:rsid w:val="00157B9A"/>
    <w:rsid w:val="0016013E"/>
    <w:rsid w:val="00161B92"/>
    <w:rsid w:val="00162B8C"/>
    <w:rsid w:val="00163780"/>
    <w:rsid w:val="00163EE1"/>
    <w:rsid w:val="001642A5"/>
    <w:rsid w:val="0016451E"/>
    <w:rsid w:val="001662C5"/>
    <w:rsid w:val="0017016E"/>
    <w:rsid w:val="00170A66"/>
    <w:rsid w:val="00170CBE"/>
    <w:rsid w:val="0017189E"/>
    <w:rsid w:val="00173351"/>
    <w:rsid w:val="00173BFF"/>
    <w:rsid w:val="001752E9"/>
    <w:rsid w:val="00177617"/>
    <w:rsid w:val="00177AFA"/>
    <w:rsid w:val="001805F5"/>
    <w:rsid w:val="00181CF2"/>
    <w:rsid w:val="00182CE3"/>
    <w:rsid w:val="0018369D"/>
    <w:rsid w:val="001841A8"/>
    <w:rsid w:val="00185625"/>
    <w:rsid w:val="0018753F"/>
    <w:rsid w:val="0019042A"/>
    <w:rsid w:val="00190FAD"/>
    <w:rsid w:val="00191959"/>
    <w:rsid w:val="00192576"/>
    <w:rsid w:val="001926ED"/>
    <w:rsid w:val="00192F28"/>
    <w:rsid w:val="00193AE9"/>
    <w:rsid w:val="00193F3C"/>
    <w:rsid w:val="0019487E"/>
    <w:rsid w:val="001955BE"/>
    <w:rsid w:val="00196CC7"/>
    <w:rsid w:val="001A0443"/>
    <w:rsid w:val="001A0A1D"/>
    <w:rsid w:val="001A11D5"/>
    <w:rsid w:val="001A2491"/>
    <w:rsid w:val="001A3549"/>
    <w:rsid w:val="001A4235"/>
    <w:rsid w:val="001A51F2"/>
    <w:rsid w:val="001A6160"/>
    <w:rsid w:val="001B1158"/>
    <w:rsid w:val="001B24FF"/>
    <w:rsid w:val="001B2898"/>
    <w:rsid w:val="001B564C"/>
    <w:rsid w:val="001B5829"/>
    <w:rsid w:val="001B5EA4"/>
    <w:rsid w:val="001B6300"/>
    <w:rsid w:val="001B716E"/>
    <w:rsid w:val="001B7D29"/>
    <w:rsid w:val="001C0866"/>
    <w:rsid w:val="001C4814"/>
    <w:rsid w:val="001C7945"/>
    <w:rsid w:val="001D0C19"/>
    <w:rsid w:val="001D0C3A"/>
    <w:rsid w:val="001D119D"/>
    <w:rsid w:val="001D1B27"/>
    <w:rsid w:val="001D1FAF"/>
    <w:rsid w:val="001D2434"/>
    <w:rsid w:val="001D4070"/>
    <w:rsid w:val="001D4C33"/>
    <w:rsid w:val="001D62D9"/>
    <w:rsid w:val="001E03E3"/>
    <w:rsid w:val="001E37A9"/>
    <w:rsid w:val="001E4BB0"/>
    <w:rsid w:val="001E4CB6"/>
    <w:rsid w:val="001E4F4F"/>
    <w:rsid w:val="001E5B32"/>
    <w:rsid w:val="001E5D03"/>
    <w:rsid w:val="001E72AE"/>
    <w:rsid w:val="001E7D8A"/>
    <w:rsid w:val="001F13B9"/>
    <w:rsid w:val="001F1A82"/>
    <w:rsid w:val="001F2048"/>
    <w:rsid w:val="001F31F5"/>
    <w:rsid w:val="001F3369"/>
    <w:rsid w:val="001F349D"/>
    <w:rsid w:val="001F34D5"/>
    <w:rsid w:val="001F3F29"/>
    <w:rsid w:val="001F41FB"/>
    <w:rsid w:val="001F4D27"/>
    <w:rsid w:val="001F5C86"/>
    <w:rsid w:val="001F6523"/>
    <w:rsid w:val="001F6794"/>
    <w:rsid w:val="001F6C8F"/>
    <w:rsid w:val="00201164"/>
    <w:rsid w:val="00201844"/>
    <w:rsid w:val="00203F0B"/>
    <w:rsid w:val="00204D9C"/>
    <w:rsid w:val="002058DC"/>
    <w:rsid w:val="00205EB5"/>
    <w:rsid w:val="0020690D"/>
    <w:rsid w:val="002109B4"/>
    <w:rsid w:val="00210A18"/>
    <w:rsid w:val="002129AB"/>
    <w:rsid w:val="002157E0"/>
    <w:rsid w:val="002209B2"/>
    <w:rsid w:val="00220D25"/>
    <w:rsid w:val="0022178B"/>
    <w:rsid w:val="002229B9"/>
    <w:rsid w:val="00223F42"/>
    <w:rsid w:val="00225361"/>
    <w:rsid w:val="002254C3"/>
    <w:rsid w:val="00225EC1"/>
    <w:rsid w:val="00231C8F"/>
    <w:rsid w:val="00233376"/>
    <w:rsid w:val="002350D5"/>
    <w:rsid w:val="00236B38"/>
    <w:rsid w:val="00236C34"/>
    <w:rsid w:val="00237C6D"/>
    <w:rsid w:val="00240EED"/>
    <w:rsid w:val="00241841"/>
    <w:rsid w:val="00242DB8"/>
    <w:rsid w:val="0024455B"/>
    <w:rsid w:val="0024460A"/>
    <w:rsid w:val="0024466B"/>
    <w:rsid w:val="00245AC9"/>
    <w:rsid w:val="00246C5B"/>
    <w:rsid w:val="002516D2"/>
    <w:rsid w:val="00251863"/>
    <w:rsid w:val="00252D4A"/>
    <w:rsid w:val="00252DBF"/>
    <w:rsid w:val="00254B47"/>
    <w:rsid w:val="00254D9F"/>
    <w:rsid w:val="00256682"/>
    <w:rsid w:val="00256B80"/>
    <w:rsid w:val="00256BF3"/>
    <w:rsid w:val="00260C02"/>
    <w:rsid w:val="00263BA4"/>
    <w:rsid w:val="00263C3A"/>
    <w:rsid w:val="002642FA"/>
    <w:rsid w:val="00264B98"/>
    <w:rsid w:val="002650A0"/>
    <w:rsid w:val="002650BA"/>
    <w:rsid w:val="00265999"/>
    <w:rsid w:val="00265FB5"/>
    <w:rsid w:val="00270134"/>
    <w:rsid w:val="00271241"/>
    <w:rsid w:val="0027315E"/>
    <w:rsid w:val="002738B5"/>
    <w:rsid w:val="002738C1"/>
    <w:rsid w:val="002739B5"/>
    <w:rsid w:val="00273A62"/>
    <w:rsid w:val="002749F0"/>
    <w:rsid w:val="00274B22"/>
    <w:rsid w:val="00274BB1"/>
    <w:rsid w:val="002767B6"/>
    <w:rsid w:val="002805B8"/>
    <w:rsid w:val="0028075F"/>
    <w:rsid w:val="00280D2C"/>
    <w:rsid w:val="0028108F"/>
    <w:rsid w:val="00282791"/>
    <w:rsid w:val="00282BCA"/>
    <w:rsid w:val="00283DEC"/>
    <w:rsid w:val="002842E8"/>
    <w:rsid w:val="002849DB"/>
    <w:rsid w:val="002850B7"/>
    <w:rsid w:val="00287023"/>
    <w:rsid w:val="00287746"/>
    <w:rsid w:val="00287BB6"/>
    <w:rsid w:val="00287D60"/>
    <w:rsid w:val="00290056"/>
    <w:rsid w:val="00290391"/>
    <w:rsid w:val="00290473"/>
    <w:rsid w:val="00291BAC"/>
    <w:rsid w:val="002922C1"/>
    <w:rsid w:val="0029285A"/>
    <w:rsid w:val="0029323C"/>
    <w:rsid w:val="00293542"/>
    <w:rsid w:val="002958A4"/>
    <w:rsid w:val="00295AE8"/>
    <w:rsid w:val="00295B61"/>
    <w:rsid w:val="00295BC5"/>
    <w:rsid w:val="002A1323"/>
    <w:rsid w:val="002A2C6E"/>
    <w:rsid w:val="002A2E8A"/>
    <w:rsid w:val="002A2F3E"/>
    <w:rsid w:val="002A301D"/>
    <w:rsid w:val="002A3C1E"/>
    <w:rsid w:val="002A478F"/>
    <w:rsid w:val="002A479F"/>
    <w:rsid w:val="002A65AA"/>
    <w:rsid w:val="002A7B8F"/>
    <w:rsid w:val="002B067F"/>
    <w:rsid w:val="002B0B3B"/>
    <w:rsid w:val="002B2C68"/>
    <w:rsid w:val="002B4182"/>
    <w:rsid w:val="002B6B0D"/>
    <w:rsid w:val="002B782C"/>
    <w:rsid w:val="002B7E7B"/>
    <w:rsid w:val="002C218A"/>
    <w:rsid w:val="002C3BBD"/>
    <w:rsid w:val="002C408A"/>
    <w:rsid w:val="002C61B6"/>
    <w:rsid w:val="002C625F"/>
    <w:rsid w:val="002C62D3"/>
    <w:rsid w:val="002C7053"/>
    <w:rsid w:val="002D0554"/>
    <w:rsid w:val="002D06E1"/>
    <w:rsid w:val="002D15E3"/>
    <w:rsid w:val="002D1BFF"/>
    <w:rsid w:val="002D2609"/>
    <w:rsid w:val="002D288F"/>
    <w:rsid w:val="002D346F"/>
    <w:rsid w:val="002D3873"/>
    <w:rsid w:val="002D3E89"/>
    <w:rsid w:val="002D5AE0"/>
    <w:rsid w:val="002D7009"/>
    <w:rsid w:val="002E000A"/>
    <w:rsid w:val="002E0AE2"/>
    <w:rsid w:val="002E0B07"/>
    <w:rsid w:val="002E0C60"/>
    <w:rsid w:val="002E30D8"/>
    <w:rsid w:val="002E34FB"/>
    <w:rsid w:val="002E4346"/>
    <w:rsid w:val="002E4AD8"/>
    <w:rsid w:val="002E53B5"/>
    <w:rsid w:val="002E5871"/>
    <w:rsid w:val="002E6A5C"/>
    <w:rsid w:val="002E7373"/>
    <w:rsid w:val="002F059D"/>
    <w:rsid w:val="002F1080"/>
    <w:rsid w:val="002F14DF"/>
    <w:rsid w:val="002F330D"/>
    <w:rsid w:val="002F4025"/>
    <w:rsid w:val="002F47D5"/>
    <w:rsid w:val="002F52D1"/>
    <w:rsid w:val="002F5B93"/>
    <w:rsid w:val="002F6D9B"/>
    <w:rsid w:val="002F7EB3"/>
    <w:rsid w:val="003011A6"/>
    <w:rsid w:val="00301DE9"/>
    <w:rsid w:val="00302203"/>
    <w:rsid w:val="003023C0"/>
    <w:rsid w:val="00302551"/>
    <w:rsid w:val="00304273"/>
    <w:rsid w:val="00304CE9"/>
    <w:rsid w:val="003057A1"/>
    <w:rsid w:val="00305CD6"/>
    <w:rsid w:val="00305EE5"/>
    <w:rsid w:val="00306122"/>
    <w:rsid w:val="00307189"/>
    <w:rsid w:val="00310CBC"/>
    <w:rsid w:val="0031275D"/>
    <w:rsid w:val="00313413"/>
    <w:rsid w:val="00314EFB"/>
    <w:rsid w:val="00314F03"/>
    <w:rsid w:val="00315D23"/>
    <w:rsid w:val="00320BC1"/>
    <w:rsid w:val="00320C16"/>
    <w:rsid w:val="003230B7"/>
    <w:rsid w:val="00323745"/>
    <w:rsid w:val="003240BB"/>
    <w:rsid w:val="00325834"/>
    <w:rsid w:val="00325C0C"/>
    <w:rsid w:val="00326569"/>
    <w:rsid w:val="00326C41"/>
    <w:rsid w:val="00326F93"/>
    <w:rsid w:val="00327D84"/>
    <w:rsid w:val="00327E06"/>
    <w:rsid w:val="00330F97"/>
    <w:rsid w:val="0033209C"/>
    <w:rsid w:val="003323EB"/>
    <w:rsid w:val="003329D1"/>
    <w:rsid w:val="00333416"/>
    <w:rsid w:val="003346DE"/>
    <w:rsid w:val="00334997"/>
    <w:rsid w:val="0033591C"/>
    <w:rsid w:val="00340BC9"/>
    <w:rsid w:val="00341AB2"/>
    <w:rsid w:val="00341CA2"/>
    <w:rsid w:val="00342655"/>
    <w:rsid w:val="00342A74"/>
    <w:rsid w:val="00344B32"/>
    <w:rsid w:val="003452F7"/>
    <w:rsid w:val="003453F4"/>
    <w:rsid w:val="00345612"/>
    <w:rsid w:val="003474AF"/>
    <w:rsid w:val="003475B0"/>
    <w:rsid w:val="00347C88"/>
    <w:rsid w:val="003500E7"/>
    <w:rsid w:val="00350EC0"/>
    <w:rsid w:val="003524EE"/>
    <w:rsid w:val="00352C12"/>
    <w:rsid w:val="00353A30"/>
    <w:rsid w:val="00353A79"/>
    <w:rsid w:val="003548E7"/>
    <w:rsid w:val="003553D6"/>
    <w:rsid w:val="003558CF"/>
    <w:rsid w:val="00355A73"/>
    <w:rsid w:val="003569C2"/>
    <w:rsid w:val="0035709F"/>
    <w:rsid w:val="00357C1E"/>
    <w:rsid w:val="0036036B"/>
    <w:rsid w:val="0036099F"/>
    <w:rsid w:val="003610C9"/>
    <w:rsid w:val="00361677"/>
    <w:rsid w:val="00361A94"/>
    <w:rsid w:val="00361C2F"/>
    <w:rsid w:val="003620FD"/>
    <w:rsid w:val="00363352"/>
    <w:rsid w:val="003634CC"/>
    <w:rsid w:val="00364AF2"/>
    <w:rsid w:val="00365B8A"/>
    <w:rsid w:val="003663FE"/>
    <w:rsid w:val="003672F6"/>
    <w:rsid w:val="00367385"/>
    <w:rsid w:val="003675EF"/>
    <w:rsid w:val="00371FB8"/>
    <w:rsid w:val="00372E26"/>
    <w:rsid w:val="00373FDF"/>
    <w:rsid w:val="003746C0"/>
    <w:rsid w:val="00374DF1"/>
    <w:rsid w:val="0037534D"/>
    <w:rsid w:val="00375467"/>
    <w:rsid w:val="003759D3"/>
    <w:rsid w:val="003764A5"/>
    <w:rsid w:val="00382F9D"/>
    <w:rsid w:val="0038419E"/>
    <w:rsid w:val="00384E35"/>
    <w:rsid w:val="00387FA1"/>
    <w:rsid w:val="003907BE"/>
    <w:rsid w:val="00390D31"/>
    <w:rsid w:val="00390E54"/>
    <w:rsid w:val="003928B9"/>
    <w:rsid w:val="00392E3A"/>
    <w:rsid w:val="00394272"/>
    <w:rsid w:val="00394A27"/>
    <w:rsid w:val="00395655"/>
    <w:rsid w:val="003959AA"/>
    <w:rsid w:val="00395CCB"/>
    <w:rsid w:val="00396423"/>
    <w:rsid w:val="00396C40"/>
    <w:rsid w:val="0039796D"/>
    <w:rsid w:val="003A15BD"/>
    <w:rsid w:val="003A19A4"/>
    <w:rsid w:val="003A39D7"/>
    <w:rsid w:val="003A44A6"/>
    <w:rsid w:val="003A5922"/>
    <w:rsid w:val="003B03AA"/>
    <w:rsid w:val="003B03D1"/>
    <w:rsid w:val="003B34D8"/>
    <w:rsid w:val="003B38B1"/>
    <w:rsid w:val="003B420F"/>
    <w:rsid w:val="003B45A2"/>
    <w:rsid w:val="003B48EA"/>
    <w:rsid w:val="003B58AE"/>
    <w:rsid w:val="003B666D"/>
    <w:rsid w:val="003B6AC8"/>
    <w:rsid w:val="003B7441"/>
    <w:rsid w:val="003B7862"/>
    <w:rsid w:val="003B7DE5"/>
    <w:rsid w:val="003C01E2"/>
    <w:rsid w:val="003C18D0"/>
    <w:rsid w:val="003C2EBB"/>
    <w:rsid w:val="003C2F61"/>
    <w:rsid w:val="003C410B"/>
    <w:rsid w:val="003C52B1"/>
    <w:rsid w:val="003C72D4"/>
    <w:rsid w:val="003D1D22"/>
    <w:rsid w:val="003D261A"/>
    <w:rsid w:val="003D31FA"/>
    <w:rsid w:val="003D3A75"/>
    <w:rsid w:val="003D52D7"/>
    <w:rsid w:val="003D58CE"/>
    <w:rsid w:val="003D623D"/>
    <w:rsid w:val="003D78F0"/>
    <w:rsid w:val="003E1FA1"/>
    <w:rsid w:val="003E2353"/>
    <w:rsid w:val="003E2C64"/>
    <w:rsid w:val="003E3711"/>
    <w:rsid w:val="003E374E"/>
    <w:rsid w:val="003E47D4"/>
    <w:rsid w:val="003E505C"/>
    <w:rsid w:val="003E55AA"/>
    <w:rsid w:val="003E5D6D"/>
    <w:rsid w:val="003E642E"/>
    <w:rsid w:val="003E7651"/>
    <w:rsid w:val="003F09FC"/>
    <w:rsid w:val="003F0CF7"/>
    <w:rsid w:val="003F1011"/>
    <w:rsid w:val="003F10E0"/>
    <w:rsid w:val="003F127A"/>
    <w:rsid w:val="003F22C1"/>
    <w:rsid w:val="003F3332"/>
    <w:rsid w:val="003F3B26"/>
    <w:rsid w:val="003F6540"/>
    <w:rsid w:val="003F7914"/>
    <w:rsid w:val="00400335"/>
    <w:rsid w:val="00400B3A"/>
    <w:rsid w:val="00401D3F"/>
    <w:rsid w:val="00402ABB"/>
    <w:rsid w:val="00402BE7"/>
    <w:rsid w:val="004049C4"/>
    <w:rsid w:val="00404F22"/>
    <w:rsid w:val="0040549F"/>
    <w:rsid w:val="00406BC7"/>
    <w:rsid w:val="00406E68"/>
    <w:rsid w:val="0040740B"/>
    <w:rsid w:val="00407B8D"/>
    <w:rsid w:val="00410266"/>
    <w:rsid w:val="00411850"/>
    <w:rsid w:val="00411EF1"/>
    <w:rsid w:val="004125A3"/>
    <w:rsid w:val="004128F2"/>
    <w:rsid w:val="00413217"/>
    <w:rsid w:val="0041355A"/>
    <w:rsid w:val="00413659"/>
    <w:rsid w:val="004160E0"/>
    <w:rsid w:val="004168A3"/>
    <w:rsid w:val="00416EB0"/>
    <w:rsid w:val="00417947"/>
    <w:rsid w:val="0042026C"/>
    <w:rsid w:val="004207D1"/>
    <w:rsid w:val="00420B68"/>
    <w:rsid w:val="00420C82"/>
    <w:rsid w:val="004213B9"/>
    <w:rsid w:val="004228C3"/>
    <w:rsid w:val="00423DE0"/>
    <w:rsid w:val="00423EC9"/>
    <w:rsid w:val="00427A06"/>
    <w:rsid w:val="0043020E"/>
    <w:rsid w:val="004303E9"/>
    <w:rsid w:val="0043095F"/>
    <w:rsid w:val="00431C1C"/>
    <w:rsid w:val="00432470"/>
    <w:rsid w:val="004327DB"/>
    <w:rsid w:val="00433964"/>
    <w:rsid w:val="00435AB2"/>
    <w:rsid w:val="00435F9B"/>
    <w:rsid w:val="00435FD2"/>
    <w:rsid w:val="00440683"/>
    <w:rsid w:val="004422E5"/>
    <w:rsid w:val="004423E1"/>
    <w:rsid w:val="0044435A"/>
    <w:rsid w:val="004444AD"/>
    <w:rsid w:val="00445FDC"/>
    <w:rsid w:val="0044624E"/>
    <w:rsid w:val="004462DD"/>
    <w:rsid w:val="00450555"/>
    <w:rsid w:val="004506FA"/>
    <w:rsid w:val="004508DC"/>
    <w:rsid w:val="00451606"/>
    <w:rsid w:val="00451A3A"/>
    <w:rsid w:val="00451AB0"/>
    <w:rsid w:val="00451E0D"/>
    <w:rsid w:val="00452052"/>
    <w:rsid w:val="004527AC"/>
    <w:rsid w:val="00453260"/>
    <w:rsid w:val="0045358B"/>
    <w:rsid w:val="004535AB"/>
    <w:rsid w:val="004542CE"/>
    <w:rsid w:val="00455E1C"/>
    <w:rsid w:val="00455F0E"/>
    <w:rsid w:val="00456A34"/>
    <w:rsid w:val="00457401"/>
    <w:rsid w:val="004605EF"/>
    <w:rsid w:val="004633AF"/>
    <w:rsid w:val="00463412"/>
    <w:rsid w:val="00463CD1"/>
    <w:rsid w:val="00463EDA"/>
    <w:rsid w:val="00464906"/>
    <w:rsid w:val="00464A7C"/>
    <w:rsid w:val="00465E7E"/>
    <w:rsid w:val="004660FF"/>
    <w:rsid w:val="00466286"/>
    <w:rsid w:val="004669A8"/>
    <w:rsid w:val="00467511"/>
    <w:rsid w:val="00467590"/>
    <w:rsid w:val="00473975"/>
    <w:rsid w:val="00474224"/>
    <w:rsid w:val="00475682"/>
    <w:rsid w:val="00476898"/>
    <w:rsid w:val="00476D11"/>
    <w:rsid w:val="00477459"/>
    <w:rsid w:val="0047759D"/>
    <w:rsid w:val="004825C3"/>
    <w:rsid w:val="00482DCA"/>
    <w:rsid w:val="00483818"/>
    <w:rsid w:val="00485871"/>
    <w:rsid w:val="00486084"/>
    <w:rsid w:val="00486A65"/>
    <w:rsid w:val="00487943"/>
    <w:rsid w:val="0049060D"/>
    <w:rsid w:val="00492868"/>
    <w:rsid w:val="0049585F"/>
    <w:rsid w:val="00497577"/>
    <w:rsid w:val="00497774"/>
    <w:rsid w:val="004A38A8"/>
    <w:rsid w:val="004A3B34"/>
    <w:rsid w:val="004A47D5"/>
    <w:rsid w:val="004A4809"/>
    <w:rsid w:val="004A4873"/>
    <w:rsid w:val="004A4F7C"/>
    <w:rsid w:val="004A5583"/>
    <w:rsid w:val="004A66C5"/>
    <w:rsid w:val="004A707B"/>
    <w:rsid w:val="004B07D8"/>
    <w:rsid w:val="004B0C4E"/>
    <w:rsid w:val="004B161D"/>
    <w:rsid w:val="004B1746"/>
    <w:rsid w:val="004B19E4"/>
    <w:rsid w:val="004B1E43"/>
    <w:rsid w:val="004B2E7E"/>
    <w:rsid w:val="004B2E95"/>
    <w:rsid w:val="004B3773"/>
    <w:rsid w:val="004B3E1F"/>
    <w:rsid w:val="004B4F8E"/>
    <w:rsid w:val="004B79DC"/>
    <w:rsid w:val="004C1A3E"/>
    <w:rsid w:val="004C2F0F"/>
    <w:rsid w:val="004C3395"/>
    <w:rsid w:val="004C3837"/>
    <w:rsid w:val="004C48D0"/>
    <w:rsid w:val="004C4CF0"/>
    <w:rsid w:val="004C56A7"/>
    <w:rsid w:val="004C5BB2"/>
    <w:rsid w:val="004D0040"/>
    <w:rsid w:val="004D0328"/>
    <w:rsid w:val="004D079C"/>
    <w:rsid w:val="004D0F6B"/>
    <w:rsid w:val="004D5591"/>
    <w:rsid w:val="004D6E1D"/>
    <w:rsid w:val="004E0838"/>
    <w:rsid w:val="004E110E"/>
    <w:rsid w:val="004E2691"/>
    <w:rsid w:val="004E32CE"/>
    <w:rsid w:val="004E3316"/>
    <w:rsid w:val="004E6426"/>
    <w:rsid w:val="004E7218"/>
    <w:rsid w:val="004E7803"/>
    <w:rsid w:val="004F0263"/>
    <w:rsid w:val="004F054C"/>
    <w:rsid w:val="004F12CC"/>
    <w:rsid w:val="004F1E6D"/>
    <w:rsid w:val="004F2CC9"/>
    <w:rsid w:val="004F333C"/>
    <w:rsid w:val="004F3DF2"/>
    <w:rsid w:val="004F498A"/>
    <w:rsid w:val="004F581B"/>
    <w:rsid w:val="004F6B16"/>
    <w:rsid w:val="004F6EDD"/>
    <w:rsid w:val="005001F8"/>
    <w:rsid w:val="00500251"/>
    <w:rsid w:val="005016F2"/>
    <w:rsid w:val="005020A8"/>
    <w:rsid w:val="0050225C"/>
    <w:rsid w:val="005023B2"/>
    <w:rsid w:val="00502EE3"/>
    <w:rsid w:val="0050404C"/>
    <w:rsid w:val="00504456"/>
    <w:rsid w:val="0050483C"/>
    <w:rsid w:val="00506191"/>
    <w:rsid w:val="0050636E"/>
    <w:rsid w:val="00506A6A"/>
    <w:rsid w:val="00506EED"/>
    <w:rsid w:val="00507E3A"/>
    <w:rsid w:val="00511472"/>
    <w:rsid w:val="00511AB2"/>
    <w:rsid w:val="00511D22"/>
    <w:rsid w:val="00512AC0"/>
    <w:rsid w:val="005135BC"/>
    <w:rsid w:val="00513877"/>
    <w:rsid w:val="00513A29"/>
    <w:rsid w:val="00513A43"/>
    <w:rsid w:val="00513E4A"/>
    <w:rsid w:val="005142A9"/>
    <w:rsid w:val="005145D9"/>
    <w:rsid w:val="005158DE"/>
    <w:rsid w:val="00515DED"/>
    <w:rsid w:val="00516D4A"/>
    <w:rsid w:val="00517171"/>
    <w:rsid w:val="005177C7"/>
    <w:rsid w:val="00517B66"/>
    <w:rsid w:val="00517E47"/>
    <w:rsid w:val="00520B45"/>
    <w:rsid w:val="00520C8B"/>
    <w:rsid w:val="0052456C"/>
    <w:rsid w:val="005250D8"/>
    <w:rsid w:val="00526337"/>
    <w:rsid w:val="00526528"/>
    <w:rsid w:val="005266B3"/>
    <w:rsid w:val="00533276"/>
    <w:rsid w:val="0053438C"/>
    <w:rsid w:val="00534B85"/>
    <w:rsid w:val="005374B1"/>
    <w:rsid w:val="00540443"/>
    <w:rsid w:val="00540523"/>
    <w:rsid w:val="00540F37"/>
    <w:rsid w:val="0054131D"/>
    <w:rsid w:val="00541C85"/>
    <w:rsid w:val="0054203B"/>
    <w:rsid w:val="00542670"/>
    <w:rsid w:val="00542CF5"/>
    <w:rsid w:val="00542DD3"/>
    <w:rsid w:val="00543855"/>
    <w:rsid w:val="0054620D"/>
    <w:rsid w:val="00546607"/>
    <w:rsid w:val="00546B51"/>
    <w:rsid w:val="00551D0D"/>
    <w:rsid w:val="00552436"/>
    <w:rsid w:val="0055406B"/>
    <w:rsid w:val="0055451C"/>
    <w:rsid w:val="00554E1A"/>
    <w:rsid w:val="005565E4"/>
    <w:rsid w:val="00556994"/>
    <w:rsid w:val="00556F03"/>
    <w:rsid w:val="00557801"/>
    <w:rsid w:val="005607CC"/>
    <w:rsid w:val="00561157"/>
    <w:rsid w:val="00561831"/>
    <w:rsid w:val="00562C15"/>
    <w:rsid w:val="00562C8F"/>
    <w:rsid w:val="00562F79"/>
    <w:rsid w:val="0056379B"/>
    <w:rsid w:val="00564539"/>
    <w:rsid w:val="00566468"/>
    <w:rsid w:val="005666D8"/>
    <w:rsid w:val="00573259"/>
    <w:rsid w:val="0057385A"/>
    <w:rsid w:val="005738D3"/>
    <w:rsid w:val="005739FD"/>
    <w:rsid w:val="00574666"/>
    <w:rsid w:val="00575704"/>
    <w:rsid w:val="00576BD9"/>
    <w:rsid w:val="00577DA2"/>
    <w:rsid w:val="005805EA"/>
    <w:rsid w:val="00581C2F"/>
    <w:rsid w:val="00583218"/>
    <w:rsid w:val="00583853"/>
    <w:rsid w:val="00584ABB"/>
    <w:rsid w:val="005850D5"/>
    <w:rsid w:val="00585F17"/>
    <w:rsid w:val="00586A4B"/>
    <w:rsid w:val="005877EC"/>
    <w:rsid w:val="005909F4"/>
    <w:rsid w:val="00593EC4"/>
    <w:rsid w:val="00595700"/>
    <w:rsid w:val="00596FF6"/>
    <w:rsid w:val="00597C51"/>
    <w:rsid w:val="005A0181"/>
    <w:rsid w:val="005A0374"/>
    <w:rsid w:val="005A06BC"/>
    <w:rsid w:val="005A085E"/>
    <w:rsid w:val="005A4FCD"/>
    <w:rsid w:val="005A6127"/>
    <w:rsid w:val="005A6A94"/>
    <w:rsid w:val="005A72CA"/>
    <w:rsid w:val="005A7B21"/>
    <w:rsid w:val="005B198A"/>
    <w:rsid w:val="005B3286"/>
    <w:rsid w:val="005B3B80"/>
    <w:rsid w:val="005B4013"/>
    <w:rsid w:val="005B4BC2"/>
    <w:rsid w:val="005B7E51"/>
    <w:rsid w:val="005C29B7"/>
    <w:rsid w:val="005C2E5C"/>
    <w:rsid w:val="005C43B6"/>
    <w:rsid w:val="005C4FF4"/>
    <w:rsid w:val="005C5064"/>
    <w:rsid w:val="005C54DC"/>
    <w:rsid w:val="005C685F"/>
    <w:rsid w:val="005C6BBD"/>
    <w:rsid w:val="005C7347"/>
    <w:rsid w:val="005D108B"/>
    <w:rsid w:val="005D1CDA"/>
    <w:rsid w:val="005D4185"/>
    <w:rsid w:val="005D49DF"/>
    <w:rsid w:val="005D4FB4"/>
    <w:rsid w:val="005D59AE"/>
    <w:rsid w:val="005D646F"/>
    <w:rsid w:val="005D650E"/>
    <w:rsid w:val="005D68CD"/>
    <w:rsid w:val="005D7C56"/>
    <w:rsid w:val="005D7E28"/>
    <w:rsid w:val="005E08C2"/>
    <w:rsid w:val="005E0A80"/>
    <w:rsid w:val="005E0BF7"/>
    <w:rsid w:val="005E1259"/>
    <w:rsid w:val="005E17D9"/>
    <w:rsid w:val="005E290B"/>
    <w:rsid w:val="005E2B47"/>
    <w:rsid w:val="005E2CB0"/>
    <w:rsid w:val="005E300A"/>
    <w:rsid w:val="005E576B"/>
    <w:rsid w:val="005E5930"/>
    <w:rsid w:val="005E6528"/>
    <w:rsid w:val="005E6C98"/>
    <w:rsid w:val="005E795B"/>
    <w:rsid w:val="005E7A9B"/>
    <w:rsid w:val="005F1065"/>
    <w:rsid w:val="005F17DB"/>
    <w:rsid w:val="005F18D6"/>
    <w:rsid w:val="005F1CFF"/>
    <w:rsid w:val="005F2084"/>
    <w:rsid w:val="005F2416"/>
    <w:rsid w:val="005F2A7B"/>
    <w:rsid w:val="005F3E93"/>
    <w:rsid w:val="005F3F9A"/>
    <w:rsid w:val="005F4018"/>
    <w:rsid w:val="005F4252"/>
    <w:rsid w:val="005F4488"/>
    <w:rsid w:val="005F56B7"/>
    <w:rsid w:val="005F5CBB"/>
    <w:rsid w:val="005F5E86"/>
    <w:rsid w:val="005F69BE"/>
    <w:rsid w:val="005F7078"/>
    <w:rsid w:val="005F711B"/>
    <w:rsid w:val="005F7BE2"/>
    <w:rsid w:val="00600471"/>
    <w:rsid w:val="00602AFF"/>
    <w:rsid w:val="00604960"/>
    <w:rsid w:val="00604F31"/>
    <w:rsid w:val="006050BC"/>
    <w:rsid w:val="00606276"/>
    <w:rsid w:val="00606BE1"/>
    <w:rsid w:val="00606C7D"/>
    <w:rsid w:val="0060768F"/>
    <w:rsid w:val="00607C99"/>
    <w:rsid w:val="00607EDE"/>
    <w:rsid w:val="00610AE5"/>
    <w:rsid w:val="00611B29"/>
    <w:rsid w:val="00612350"/>
    <w:rsid w:val="00614425"/>
    <w:rsid w:val="00614FD8"/>
    <w:rsid w:val="00616394"/>
    <w:rsid w:val="006167D0"/>
    <w:rsid w:val="00616EBF"/>
    <w:rsid w:val="0061737F"/>
    <w:rsid w:val="0062209F"/>
    <w:rsid w:val="00622868"/>
    <w:rsid w:val="00625843"/>
    <w:rsid w:val="00625D62"/>
    <w:rsid w:val="00626EBA"/>
    <w:rsid w:val="006272F9"/>
    <w:rsid w:val="0062760D"/>
    <w:rsid w:val="00630048"/>
    <w:rsid w:val="00630E6B"/>
    <w:rsid w:val="00631F1C"/>
    <w:rsid w:val="00633D77"/>
    <w:rsid w:val="006353BB"/>
    <w:rsid w:val="00636244"/>
    <w:rsid w:val="0063690B"/>
    <w:rsid w:val="00636958"/>
    <w:rsid w:val="00636967"/>
    <w:rsid w:val="00636C6F"/>
    <w:rsid w:val="00636CCD"/>
    <w:rsid w:val="0063786B"/>
    <w:rsid w:val="00642305"/>
    <w:rsid w:val="00642365"/>
    <w:rsid w:val="0064239E"/>
    <w:rsid w:val="00642C56"/>
    <w:rsid w:val="00644262"/>
    <w:rsid w:val="00644C89"/>
    <w:rsid w:val="00644EEE"/>
    <w:rsid w:val="00645259"/>
    <w:rsid w:val="00645594"/>
    <w:rsid w:val="00645994"/>
    <w:rsid w:val="00646FD3"/>
    <w:rsid w:val="006501FD"/>
    <w:rsid w:val="00651452"/>
    <w:rsid w:val="006516E7"/>
    <w:rsid w:val="00652EC6"/>
    <w:rsid w:val="00653DC8"/>
    <w:rsid w:val="00653FFD"/>
    <w:rsid w:val="006548DE"/>
    <w:rsid w:val="0065537A"/>
    <w:rsid w:val="00655EB5"/>
    <w:rsid w:val="00656EF6"/>
    <w:rsid w:val="0066063E"/>
    <w:rsid w:val="006607FF"/>
    <w:rsid w:val="00660AA4"/>
    <w:rsid w:val="0066385D"/>
    <w:rsid w:val="006647A5"/>
    <w:rsid w:val="00664A83"/>
    <w:rsid w:val="00665AE8"/>
    <w:rsid w:val="006675C3"/>
    <w:rsid w:val="00670A29"/>
    <w:rsid w:val="00671423"/>
    <w:rsid w:val="0067200F"/>
    <w:rsid w:val="00674A96"/>
    <w:rsid w:val="00675980"/>
    <w:rsid w:val="006764B5"/>
    <w:rsid w:val="006766AA"/>
    <w:rsid w:val="00677112"/>
    <w:rsid w:val="00680178"/>
    <w:rsid w:val="006804ED"/>
    <w:rsid w:val="006819D7"/>
    <w:rsid w:val="006822BC"/>
    <w:rsid w:val="00684543"/>
    <w:rsid w:val="00685208"/>
    <w:rsid w:val="00687DC5"/>
    <w:rsid w:val="0069002B"/>
    <w:rsid w:val="00690D81"/>
    <w:rsid w:val="00690D89"/>
    <w:rsid w:val="00690DEC"/>
    <w:rsid w:val="00692CF9"/>
    <w:rsid w:val="00693243"/>
    <w:rsid w:val="00693322"/>
    <w:rsid w:val="00693F2F"/>
    <w:rsid w:val="00693FB9"/>
    <w:rsid w:val="00694B1A"/>
    <w:rsid w:val="00695A87"/>
    <w:rsid w:val="00696421"/>
    <w:rsid w:val="00697450"/>
    <w:rsid w:val="006A04D6"/>
    <w:rsid w:val="006A09DE"/>
    <w:rsid w:val="006A2387"/>
    <w:rsid w:val="006A26E2"/>
    <w:rsid w:val="006A46F9"/>
    <w:rsid w:val="006A5A97"/>
    <w:rsid w:val="006A5D38"/>
    <w:rsid w:val="006B2208"/>
    <w:rsid w:val="006B229A"/>
    <w:rsid w:val="006B3182"/>
    <w:rsid w:val="006B330F"/>
    <w:rsid w:val="006B3DC7"/>
    <w:rsid w:val="006B5F8D"/>
    <w:rsid w:val="006B6C0F"/>
    <w:rsid w:val="006B78C8"/>
    <w:rsid w:val="006C0E7A"/>
    <w:rsid w:val="006C1C95"/>
    <w:rsid w:val="006C1FD4"/>
    <w:rsid w:val="006C2163"/>
    <w:rsid w:val="006C2295"/>
    <w:rsid w:val="006C2764"/>
    <w:rsid w:val="006C3F15"/>
    <w:rsid w:val="006C4067"/>
    <w:rsid w:val="006C4619"/>
    <w:rsid w:val="006C51D9"/>
    <w:rsid w:val="006C563C"/>
    <w:rsid w:val="006C68B7"/>
    <w:rsid w:val="006C6E2A"/>
    <w:rsid w:val="006C7303"/>
    <w:rsid w:val="006D1187"/>
    <w:rsid w:val="006D5976"/>
    <w:rsid w:val="006D5C47"/>
    <w:rsid w:val="006D68E2"/>
    <w:rsid w:val="006E09CB"/>
    <w:rsid w:val="006E14CB"/>
    <w:rsid w:val="006E15C4"/>
    <w:rsid w:val="006E31D9"/>
    <w:rsid w:val="006E4A7D"/>
    <w:rsid w:val="006E4E31"/>
    <w:rsid w:val="006E5A2C"/>
    <w:rsid w:val="006E605F"/>
    <w:rsid w:val="006E6766"/>
    <w:rsid w:val="006E6864"/>
    <w:rsid w:val="006E7969"/>
    <w:rsid w:val="006E7DAB"/>
    <w:rsid w:val="006F091F"/>
    <w:rsid w:val="006F3641"/>
    <w:rsid w:val="006F4063"/>
    <w:rsid w:val="006F4818"/>
    <w:rsid w:val="006F48A3"/>
    <w:rsid w:val="006F76B8"/>
    <w:rsid w:val="006F797D"/>
    <w:rsid w:val="006F7B05"/>
    <w:rsid w:val="007002E3"/>
    <w:rsid w:val="007003F5"/>
    <w:rsid w:val="00700A62"/>
    <w:rsid w:val="00702154"/>
    <w:rsid w:val="0070222B"/>
    <w:rsid w:val="00702C5C"/>
    <w:rsid w:val="00703D82"/>
    <w:rsid w:val="007047F5"/>
    <w:rsid w:val="00705AF9"/>
    <w:rsid w:val="007071A6"/>
    <w:rsid w:val="007078C5"/>
    <w:rsid w:val="00710C85"/>
    <w:rsid w:val="00710FD3"/>
    <w:rsid w:val="007116B0"/>
    <w:rsid w:val="007117A5"/>
    <w:rsid w:val="00711BF9"/>
    <w:rsid w:val="007122E6"/>
    <w:rsid w:val="0071265A"/>
    <w:rsid w:val="007132B7"/>
    <w:rsid w:val="00713308"/>
    <w:rsid w:val="0071338F"/>
    <w:rsid w:val="0071361D"/>
    <w:rsid w:val="00714776"/>
    <w:rsid w:val="00715946"/>
    <w:rsid w:val="00715D8F"/>
    <w:rsid w:val="00717496"/>
    <w:rsid w:val="00721138"/>
    <w:rsid w:val="007215BD"/>
    <w:rsid w:val="00722858"/>
    <w:rsid w:val="00723A21"/>
    <w:rsid w:val="00723FA0"/>
    <w:rsid w:val="0072474B"/>
    <w:rsid w:val="00724CB2"/>
    <w:rsid w:val="00725477"/>
    <w:rsid w:val="00725B6F"/>
    <w:rsid w:val="00726B47"/>
    <w:rsid w:val="00726BE0"/>
    <w:rsid w:val="0072778B"/>
    <w:rsid w:val="00727D3B"/>
    <w:rsid w:val="0073014A"/>
    <w:rsid w:val="00731132"/>
    <w:rsid w:val="007311EE"/>
    <w:rsid w:val="007337C3"/>
    <w:rsid w:val="007342D2"/>
    <w:rsid w:val="00735470"/>
    <w:rsid w:val="00737302"/>
    <w:rsid w:val="007409BD"/>
    <w:rsid w:val="00740BD7"/>
    <w:rsid w:val="00741504"/>
    <w:rsid w:val="00741711"/>
    <w:rsid w:val="00741BBE"/>
    <w:rsid w:val="00742350"/>
    <w:rsid w:val="007459D2"/>
    <w:rsid w:val="00745B7A"/>
    <w:rsid w:val="007467EC"/>
    <w:rsid w:val="007518BB"/>
    <w:rsid w:val="00751D84"/>
    <w:rsid w:val="007528CA"/>
    <w:rsid w:val="00754538"/>
    <w:rsid w:val="00754B02"/>
    <w:rsid w:val="0075667E"/>
    <w:rsid w:val="007574DA"/>
    <w:rsid w:val="00760CD6"/>
    <w:rsid w:val="00761281"/>
    <w:rsid w:val="0076241D"/>
    <w:rsid w:val="00762988"/>
    <w:rsid w:val="00763534"/>
    <w:rsid w:val="00764133"/>
    <w:rsid w:val="00765072"/>
    <w:rsid w:val="007656F4"/>
    <w:rsid w:val="00766259"/>
    <w:rsid w:val="007665EF"/>
    <w:rsid w:val="00767F2F"/>
    <w:rsid w:val="0077151D"/>
    <w:rsid w:val="0077227B"/>
    <w:rsid w:val="00772616"/>
    <w:rsid w:val="00773607"/>
    <w:rsid w:val="007739E3"/>
    <w:rsid w:val="00774EB5"/>
    <w:rsid w:val="007756A3"/>
    <w:rsid w:val="007759D9"/>
    <w:rsid w:val="00776DD9"/>
    <w:rsid w:val="0077706D"/>
    <w:rsid w:val="0077736D"/>
    <w:rsid w:val="00780583"/>
    <w:rsid w:val="00781EE4"/>
    <w:rsid w:val="0078323D"/>
    <w:rsid w:val="007841FD"/>
    <w:rsid w:val="00784AF1"/>
    <w:rsid w:val="0078507B"/>
    <w:rsid w:val="007863FD"/>
    <w:rsid w:val="00787E54"/>
    <w:rsid w:val="00787E8E"/>
    <w:rsid w:val="00787F36"/>
    <w:rsid w:val="007907EF"/>
    <w:rsid w:val="00790ADD"/>
    <w:rsid w:val="007911B8"/>
    <w:rsid w:val="00793CF7"/>
    <w:rsid w:val="007943A5"/>
    <w:rsid w:val="007961F7"/>
    <w:rsid w:val="00796D16"/>
    <w:rsid w:val="00797125"/>
    <w:rsid w:val="00797389"/>
    <w:rsid w:val="00797988"/>
    <w:rsid w:val="00797A2C"/>
    <w:rsid w:val="007A08A6"/>
    <w:rsid w:val="007A18B2"/>
    <w:rsid w:val="007A26AB"/>
    <w:rsid w:val="007A41A4"/>
    <w:rsid w:val="007A52D4"/>
    <w:rsid w:val="007A5B4B"/>
    <w:rsid w:val="007B0F80"/>
    <w:rsid w:val="007B3A16"/>
    <w:rsid w:val="007B3EA1"/>
    <w:rsid w:val="007B4A3F"/>
    <w:rsid w:val="007B650C"/>
    <w:rsid w:val="007B6E60"/>
    <w:rsid w:val="007B7129"/>
    <w:rsid w:val="007C05D9"/>
    <w:rsid w:val="007C3E86"/>
    <w:rsid w:val="007C3FDD"/>
    <w:rsid w:val="007C5102"/>
    <w:rsid w:val="007C51FA"/>
    <w:rsid w:val="007C58AB"/>
    <w:rsid w:val="007C6231"/>
    <w:rsid w:val="007D3127"/>
    <w:rsid w:val="007D3BD5"/>
    <w:rsid w:val="007D58E8"/>
    <w:rsid w:val="007D5BF3"/>
    <w:rsid w:val="007D6D40"/>
    <w:rsid w:val="007D7795"/>
    <w:rsid w:val="007D7B03"/>
    <w:rsid w:val="007E2240"/>
    <w:rsid w:val="007E2458"/>
    <w:rsid w:val="007E314B"/>
    <w:rsid w:val="007E329F"/>
    <w:rsid w:val="007E3AB7"/>
    <w:rsid w:val="007E6069"/>
    <w:rsid w:val="007F1F3C"/>
    <w:rsid w:val="007F2594"/>
    <w:rsid w:val="007F28A3"/>
    <w:rsid w:val="007F2A88"/>
    <w:rsid w:val="007F2F0E"/>
    <w:rsid w:val="007F380E"/>
    <w:rsid w:val="007F3E6F"/>
    <w:rsid w:val="007F4930"/>
    <w:rsid w:val="007F4B03"/>
    <w:rsid w:val="007F5D62"/>
    <w:rsid w:val="007F7210"/>
    <w:rsid w:val="007F7647"/>
    <w:rsid w:val="0080173D"/>
    <w:rsid w:val="008022E0"/>
    <w:rsid w:val="0080381A"/>
    <w:rsid w:val="00803CC9"/>
    <w:rsid w:val="00805B0C"/>
    <w:rsid w:val="00810863"/>
    <w:rsid w:val="00813111"/>
    <w:rsid w:val="0081355D"/>
    <w:rsid w:val="00813EE2"/>
    <w:rsid w:val="00813FAE"/>
    <w:rsid w:val="00814009"/>
    <w:rsid w:val="008156B2"/>
    <w:rsid w:val="008161D7"/>
    <w:rsid w:val="0081735F"/>
    <w:rsid w:val="00820BB4"/>
    <w:rsid w:val="008226CA"/>
    <w:rsid w:val="00823199"/>
    <w:rsid w:val="0082510A"/>
    <w:rsid w:val="00825383"/>
    <w:rsid w:val="008260C8"/>
    <w:rsid w:val="00826799"/>
    <w:rsid w:val="00826864"/>
    <w:rsid w:val="00831F1E"/>
    <w:rsid w:val="008323F8"/>
    <w:rsid w:val="00832F6C"/>
    <w:rsid w:val="00832F92"/>
    <w:rsid w:val="00833383"/>
    <w:rsid w:val="00835703"/>
    <w:rsid w:val="00835AD5"/>
    <w:rsid w:val="00836835"/>
    <w:rsid w:val="00836AC2"/>
    <w:rsid w:val="00841514"/>
    <w:rsid w:val="00841F62"/>
    <w:rsid w:val="00842D40"/>
    <w:rsid w:val="00843592"/>
    <w:rsid w:val="00845175"/>
    <w:rsid w:val="00845D4E"/>
    <w:rsid w:val="00846765"/>
    <w:rsid w:val="00846B0E"/>
    <w:rsid w:val="00847A3B"/>
    <w:rsid w:val="00852612"/>
    <w:rsid w:val="00852B57"/>
    <w:rsid w:val="00852EEF"/>
    <w:rsid w:val="0085330B"/>
    <w:rsid w:val="00854577"/>
    <w:rsid w:val="008553C9"/>
    <w:rsid w:val="008574DD"/>
    <w:rsid w:val="008576CB"/>
    <w:rsid w:val="00860D6D"/>
    <w:rsid w:val="00860EC0"/>
    <w:rsid w:val="00861232"/>
    <w:rsid w:val="008613F3"/>
    <w:rsid w:val="008622D3"/>
    <w:rsid w:val="0086328E"/>
    <w:rsid w:val="00864CCA"/>
    <w:rsid w:val="0086594A"/>
    <w:rsid w:val="008662EB"/>
    <w:rsid w:val="008664C1"/>
    <w:rsid w:val="00871DFD"/>
    <w:rsid w:val="008734D1"/>
    <w:rsid w:val="00873EA0"/>
    <w:rsid w:val="008741E3"/>
    <w:rsid w:val="008763AD"/>
    <w:rsid w:val="008769B1"/>
    <w:rsid w:val="00877FD2"/>
    <w:rsid w:val="008804EE"/>
    <w:rsid w:val="008813DE"/>
    <w:rsid w:val="00881D5F"/>
    <w:rsid w:val="00881FE0"/>
    <w:rsid w:val="00883824"/>
    <w:rsid w:val="00884064"/>
    <w:rsid w:val="00884AA5"/>
    <w:rsid w:val="00884DF1"/>
    <w:rsid w:val="008866ED"/>
    <w:rsid w:val="00886E51"/>
    <w:rsid w:val="00890DC5"/>
    <w:rsid w:val="0089106C"/>
    <w:rsid w:val="00891807"/>
    <w:rsid w:val="0089199A"/>
    <w:rsid w:val="008931FF"/>
    <w:rsid w:val="00893BFB"/>
    <w:rsid w:val="00895571"/>
    <w:rsid w:val="00897F6A"/>
    <w:rsid w:val="008A1F2A"/>
    <w:rsid w:val="008A27C8"/>
    <w:rsid w:val="008A2B20"/>
    <w:rsid w:val="008A3139"/>
    <w:rsid w:val="008A3887"/>
    <w:rsid w:val="008A3FBD"/>
    <w:rsid w:val="008A451E"/>
    <w:rsid w:val="008A569B"/>
    <w:rsid w:val="008A592E"/>
    <w:rsid w:val="008A7187"/>
    <w:rsid w:val="008A7302"/>
    <w:rsid w:val="008A76D3"/>
    <w:rsid w:val="008A7C31"/>
    <w:rsid w:val="008A7C7E"/>
    <w:rsid w:val="008B03E5"/>
    <w:rsid w:val="008B0B11"/>
    <w:rsid w:val="008B1F1B"/>
    <w:rsid w:val="008B2036"/>
    <w:rsid w:val="008B2548"/>
    <w:rsid w:val="008B51D9"/>
    <w:rsid w:val="008C0E68"/>
    <w:rsid w:val="008C202D"/>
    <w:rsid w:val="008C22AB"/>
    <w:rsid w:val="008C27B4"/>
    <w:rsid w:val="008C4928"/>
    <w:rsid w:val="008C593D"/>
    <w:rsid w:val="008C625A"/>
    <w:rsid w:val="008C7BCB"/>
    <w:rsid w:val="008C7CD3"/>
    <w:rsid w:val="008D04A1"/>
    <w:rsid w:val="008D09C8"/>
    <w:rsid w:val="008D0D7A"/>
    <w:rsid w:val="008D2B95"/>
    <w:rsid w:val="008D374A"/>
    <w:rsid w:val="008D47B5"/>
    <w:rsid w:val="008D51D0"/>
    <w:rsid w:val="008D61BF"/>
    <w:rsid w:val="008E28B3"/>
    <w:rsid w:val="008E3551"/>
    <w:rsid w:val="008E48CA"/>
    <w:rsid w:val="008E5746"/>
    <w:rsid w:val="008E6349"/>
    <w:rsid w:val="008E7969"/>
    <w:rsid w:val="008F01D1"/>
    <w:rsid w:val="008F05D1"/>
    <w:rsid w:val="008F0E6B"/>
    <w:rsid w:val="008F1517"/>
    <w:rsid w:val="008F2221"/>
    <w:rsid w:val="008F32DE"/>
    <w:rsid w:val="008F40CE"/>
    <w:rsid w:val="008F471C"/>
    <w:rsid w:val="008F51A0"/>
    <w:rsid w:val="008F5CF0"/>
    <w:rsid w:val="008F6296"/>
    <w:rsid w:val="008F6A0F"/>
    <w:rsid w:val="008F751E"/>
    <w:rsid w:val="008F7595"/>
    <w:rsid w:val="008F7B24"/>
    <w:rsid w:val="009003A7"/>
    <w:rsid w:val="00901830"/>
    <w:rsid w:val="00902168"/>
    <w:rsid w:val="009034EF"/>
    <w:rsid w:val="00903C5B"/>
    <w:rsid w:val="00904534"/>
    <w:rsid w:val="00905810"/>
    <w:rsid w:val="00905DBC"/>
    <w:rsid w:val="00905DED"/>
    <w:rsid w:val="0090612F"/>
    <w:rsid w:val="0090742B"/>
    <w:rsid w:val="00907A1E"/>
    <w:rsid w:val="00907B7B"/>
    <w:rsid w:val="00910E11"/>
    <w:rsid w:val="009111A3"/>
    <w:rsid w:val="009126E5"/>
    <w:rsid w:val="0091372B"/>
    <w:rsid w:val="00914F17"/>
    <w:rsid w:val="00915161"/>
    <w:rsid w:val="0091534D"/>
    <w:rsid w:val="0091565A"/>
    <w:rsid w:val="00915FE7"/>
    <w:rsid w:val="00916B6B"/>
    <w:rsid w:val="009172F5"/>
    <w:rsid w:val="009209A4"/>
    <w:rsid w:val="0092200E"/>
    <w:rsid w:val="0092225A"/>
    <w:rsid w:val="00922323"/>
    <w:rsid w:val="00922392"/>
    <w:rsid w:val="009228F2"/>
    <w:rsid w:val="00922D18"/>
    <w:rsid w:val="009230A9"/>
    <w:rsid w:val="00923501"/>
    <w:rsid w:val="0092447C"/>
    <w:rsid w:val="00924C15"/>
    <w:rsid w:val="00926B11"/>
    <w:rsid w:val="00927B34"/>
    <w:rsid w:val="00930FC7"/>
    <w:rsid w:val="009320C0"/>
    <w:rsid w:val="009331C3"/>
    <w:rsid w:val="00934877"/>
    <w:rsid w:val="00934A73"/>
    <w:rsid w:val="009355F1"/>
    <w:rsid w:val="0093634A"/>
    <w:rsid w:val="009369E5"/>
    <w:rsid w:val="00936CAA"/>
    <w:rsid w:val="00940215"/>
    <w:rsid w:val="00940B40"/>
    <w:rsid w:val="00942DB6"/>
    <w:rsid w:val="00944774"/>
    <w:rsid w:val="00944ECA"/>
    <w:rsid w:val="00945F4E"/>
    <w:rsid w:val="009467A9"/>
    <w:rsid w:val="00947EBE"/>
    <w:rsid w:val="009518DA"/>
    <w:rsid w:val="00951E1A"/>
    <w:rsid w:val="00952B70"/>
    <w:rsid w:val="00952CA7"/>
    <w:rsid w:val="00953144"/>
    <w:rsid w:val="0095452E"/>
    <w:rsid w:val="00957CF6"/>
    <w:rsid w:val="00961014"/>
    <w:rsid w:val="00961D9E"/>
    <w:rsid w:val="0096270B"/>
    <w:rsid w:val="009635BF"/>
    <w:rsid w:val="00963AD4"/>
    <w:rsid w:val="00963DE3"/>
    <w:rsid w:val="00963F4B"/>
    <w:rsid w:val="00964484"/>
    <w:rsid w:val="0096729A"/>
    <w:rsid w:val="00970733"/>
    <w:rsid w:val="00970CE9"/>
    <w:rsid w:val="00970E49"/>
    <w:rsid w:val="00971106"/>
    <w:rsid w:val="0097548F"/>
    <w:rsid w:val="009754CA"/>
    <w:rsid w:val="00975589"/>
    <w:rsid w:val="00975BE5"/>
    <w:rsid w:val="00976E26"/>
    <w:rsid w:val="00981F66"/>
    <w:rsid w:val="00983039"/>
    <w:rsid w:val="00983F78"/>
    <w:rsid w:val="00984149"/>
    <w:rsid w:val="00984639"/>
    <w:rsid w:val="0098537F"/>
    <w:rsid w:val="009856A1"/>
    <w:rsid w:val="00987965"/>
    <w:rsid w:val="0099005B"/>
    <w:rsid w:val="00990512"/>
    <w:rsid w:val="009912A4"/>
    <w:rsid w:val="00991B0C"/>
    <w:rsid w:val="00991ED5"/>
    <w:rsid w:val="00993C42"/>
    <w:rsid w:val="00993C74"/>
    <w:rsid w:val="00994399"/>
    <w:rsid w:val="009959E1"/>
    <w:rsid w:val="00997C0A"/>
    <w:rsid w:val="009A021E"/>
    <w:rsid w:val="009A0745"/>
    <w:rsid w:val="009A0B79"/>
    <w:rsid w:val="009A0F27"/>
    <w:rsid w:val="009A1AD2"/>
    <w:rsid w:val="009A1C31"/>
    <w:rsid w:val="009A1E18"/>
    <w:rsid w:val="009A2F8E"/>
    <w:rsid w:val="009A4042"/>
    <w:rsid w:val="009A407E"/>
    <w:rsid w:val="009A4B68"/>
    <w:rsid w:val="009A5A1C"/>
    <w:rsid w:val="009A5EEA"/>
    <w:rsid w:val="009A6657"/>
    <w:rsid w:val="009B23A1"/>
    <w:rsid w:val="009B4F75"/>
    <w:rsid w:val="009B57AC"/>
    <w:rsid w:val="009B5BD0"/>
    <w:rsid w:val="009B7144"/>
    <w:rsid w:val="009B7DFE"/>
    <w:rsid w:val="009C010B"/>
    <w:rsid w:val="009C076B"/>
    <w:rsid w:val="009C0E6B"/>
    <w:rsid w:val="009C1D0B"/>
    <w:rsid w:val="009C2B21"/>
    <w:rsid w:val="009C2DCA"/>
    <w:rsid w:val="009C35C0"/>
    <w:rsid w:val="009C3B8F"/>
    <w:rsid w:val="009C493D"/>
    <w:rsid w:val="009C61E3"/>
    <w:rsid w:val="009C67BF"/>
    <w:rsid w:val="009C72E7"/>
    <w:rsid w:val="009C7DFD"/>
    <w:rsid w:val="009D0AFD"/>
    <w:rsid w:val="009D1B5A"/>
    <w:rsid w:val="009D33B6"/>
    <w:rsid w:val="009D34E7"/>
    <w:rsid w:val="009D4F43"/>
    <w:rsid w:val="009D67D0"/>
    <w:rsid w:val="009D7268"/>
    <w:rsid w:val="009D74BD"/>
    <w:rsid w:val="009D7CFF"/>
    <w:rsid w:val="009E0309"/>
    <w:rsid w:val="009E14FE"/>
    <w:rsid w:val="009E2729"/>
    <w:rsid w:val="009E2C10"/>
    <w:rsid w:val="009E2E2D"/>
    <w:rsid w:val="009E3D84"/>
    <w:rsid w:val="009E52B5"/>
    <w:rsid w:val="009E57ED"/>
    <w:rsid w:val="009E5964"/>
    <w:rsid w:val="009E6431"/>
    <w:rsid w:val="009E78FB"/>
    <w:rsid w:val="009F1074"/>
    <w:rsid w:val="009F1C41"/>
    <w:rsid w:val="009F1E1B"/>
    <w:rsid w:val="009F57C8"/>
    <w:rsid w:val="009F615C"/>
    <w:rsid w:val="009F6CB9"/>
    <w:rsid w:val="009F74A9"/>
    <w:rsid w:val="009F79C4"/>
    <w:rsid w:val="00A00AD8"/>
    <w:rsid w:val="00A0177D"/>
    <w:rsid w:val="00A026F2"/>
    <w:rsid w:val="00A02C46"/>
    <w:rsid w:val="00A03CE0"/>
    <w:rsid w:val="00A04000"/>
    <w:rsid w:val="00A04D7B"/>
    <w:rsid w:val="00A0687B"/>
    <w:rsid w:val="00A070FC"/>
    <w:rsid w:val="00A07C5B"/>
    <w:rsid w:val="00A10445"/>
    <w:rsid w:val="00A11250"/>
    <w:rsid w:val="00A13F56"/>
    <w:rsid w:val="00A154B4"/>
    <w:rsid w:val="00A17EB3"/>
    <w:rsid w:val="00A21502"/>
    <w:rsid w:val="00A215B0"/>
    <w:rsid w:val="00A216E1"/>
    <w:rsid w:val="00A219F5"/>
    <w:rsid w:val="00A21ECE"/>
    <w:rsid w:val="00A22EE9"/>
    <w:rsid w:val="00A2460D"/>
    <w:rsid w:val="00A24A6A"/>
    <w:rsid w:val="00A25D6F"/>
    <w:rsid w:val="00A260A3"/>
    <w:rsid w:val="00A27041"/>
    <w:rsid w:val="00A272D5"/>
    <w:rsid w:val="00A27A61"/>
    <w:rsid w:val="00A27ED9"/>
    <w:rsid w:val="00A3142A"/>
    <w:rsid w:val="00A31871"/>
    <w:rsid w:val="00A33075"/>
    <w:rsid w:val="00A333C6"/>
    <w:rsid w:val="00A351BE"/>
    <w:rsid w:val="00A35F18"/>
    <w:rsid w:val="00A36A40"/>
    <w:rsid w:val="00A36E8E"/>
    <w:rsid w:val="00A417E8"/>
    <w:rsid w:val="00A42A11"/>
    <w:rsid w:val="00A43750"/>
    <w:rsid w:val="00A446D4"/>
    <w:rsid w:val="00A44BAE"/>
    <w:rsid w:val="00A45228"/>
    <w:rsid w:val="00A45917"/>
    <w:rsid w:val="00A46B7A"/>
    <w:rsid w:val="00A5111D"/>
    <w:rsid w:val="00A52C38"/>
    <w:rsid w:val="00A52E14"/>
    <w:rsid w:val="00A5656C"/>
    <w:rsid w:val="00A57CAD"/>
    <w:rsid w:val="00A57E36"/>
    <w:rsid w:val="00A609F9"/>
    <w:rsid w:val="00A60AB9"/>
    <w:rsid w:val="00A60EDB"/>
    <w:rsid w:val="00A6280D"/>
    <w:rsid w:val="00A63A6A"/>
    <w:rsid w:val="00A64200"/>
    <w:rsid w:val="00A64324"/>
    <w:rsid w:val="00A65246"/>
    <w:rsid w:val="00A655E9"/>
    <w:rsid w:val="00A660E4"/>
    <w:rsid w:val="00A663A3"/>
    <w:rsid w:val="00A67419"/>
    <w:rsid w:val="00A70C7D"/>
    <w:rsid w:val="00A70E59"/>
    <w:rsid w:val="00A715E7"/>
    <w:rsid w:val="00A72966"/>
    <w:rsid w:val="00A74214"/>
    <w:rsid w:val="00A74431"/>
    <w:rsid w:val="00A7623F"/>
    <w:rsid w:val="00A76ECB"/>
    <w:rsid w:val="00A802EF"/>
    <w:rsid w:val="00A808ED"/>
    <w:rsid w:val="00A81DE1"/>
    <w:rsid w:val="00A81EBF"/>
    <w:rsid w:val="00A82709"/>
    <w:rsid w:val="00A83679"/>
    <w:rsid w:val="00A84723"/>
    <w:rsid w:val="00A84871"/>
    <w:rsid w:val="00A85235"/>
    <w:rsid w:val="00A86921"/>
    <w:rsid w:val="00A87230"/>
    <w:rsid w:val="00A87DC2"/>
    <w:rsid w:val="00A9005E"/>
    <w:rsid w:val="00A90FA0"/>
    <w:rsid w:val="00A914FA"/>
    <w:rsid w:val="00A953EC"/>
    <w:rsid w:val="00A9753F"/>
    <w:rsid w:val="00A9774F"/>
    <w:rsid w:val="00A97BBB"/>
    <w:rsid w:val="00AA0286"/>
    <w:rsid w:val="00AA10B7"/>
    <w:rsid w:val="00AA19F5"/>
    <w:rsid w:val="00AA1B59"/>
    <w:rsid w:val="00AA24D6"/>
    <w:rsid w:val="00AA3C17"/>
    <w:rsid w:val="00AA3F3F"/>
    <w:rsid w:val="00AA41D2"/>
    <w:rsid w:val="00AA4FAA"/>
    <w:rsid w:val="00AA62DD"/>
    <w:rsid w:val="00AA6669"/>
    <w:rsid w:val="00AA6C53"/>
    <w:rsid w:val="00AA75E1"/>
    <w:rsid w:val="00AA79F1"/>
    <w:rsid w:val="00AA7C40"/>
    <w:rsid w:val="00AB0E50"/>
    <w:rsid w:val="00AB1DEC"/>
    <w:rsid w:val="00AB3723"/>
    <w:rsid w:val="00AB7675"/>
    <w:rsid w:val="00AB778B"/>
    <w:rsid w:val="00AC093A"/>
    <w:rsid w:val="00AC1665"/>
    <w:rsid w:val="00AC214E"/>
    <w:rsid w:val="00AC24DE"/>
    <w:rsid w:val="00AC39A4"/>
    <w:rsid w:val="00AC3A1E"/>
    <w:rsid w:val="00AC4DDE"/>
    <w:rsid w:val="00AC716B"/>
    <w:rsid w:val="00AC78D9"/>
    <w:rsid w:val="00AD0B62"/>
    <w:rsid w:val="00AD14D7"/>
    <w:rsid w:val="00AD21E2"/>
    <w:rsid w:val="00AD262B"/>
    <w:rsid w:val="00AD4833"/>
    <w:rsid w:val="00AD56DD"/>
    <w:rsid w:val="00AE0981"/>
    <w:rsid w:val="00AE0C30"/>
    <w:rsid w:val="00AE1002"/>
    <w:rsid w:val="00AE10E2"/>
    <w:rsid w:val="00AE1521"/>
    <w:rsid w:val="00AE17D8"/>
    <w:rsid w:val="00AE1E47"/>
    <w:rsid w:val="00AE24F2"/>
    <w:rsid w:val="00AE33D1"/>
    <w:rsid w:val="00AE4A54"/>
    <w:rsid w:val="00AE4B3E"/>
    <w:rsid w:val="00AE521B"/>
    <w:rsid w:val="00AE52C9"/>
    <w:rsid w:val="00AE67C0"/>
    <w:rsid w:val="00AE6D31"/>
    <w:rsid w:val="00AE6E85"/>
    <w:rsid w:val="00AE70E0"/>
    <w:rsid w:val="00AE78C3"/>
    <w:rsid w:val="00AF024A"/>
    <w:rsid w:val="00AF14F5"/>
    <w:rsid w:val="00AF2B01"/>
    <w:rsid w:val="00AF7058"/>
    <w:rsid w:val="00AF7651"/>
    <w:rsid w:val="00AF792E"/>
    <w:rsid w:val="00B00B27"/>
    <w:rsid w:val="00B00CC8"/>
    <w:rsid w:val="00B02269"/>
    <w:rsid w:val="00B0292F"/>
    <w:rsid w:val="00B02C1D"/>
    <w:rsid w:val="00B02EDB"/>
    <w:rsid w:val="00B05478"/>
    <w:rsid w:val="00B059D0"/>
    <w:rsid w:val="00B06321"/>
    <w:rsid w:val="00B065D0"/>
    <w:rsid w:val="00B06611"/>
    <w:rsid w:val="00B07748"/>
    <w:rsid w:val="00B0783A"/>
    <w:rsid w:val="00B07A75"/>
    <w:rsid w:val="00B1099A"/>
    <w:rsid w:val="00B11867"/>
    <w:rsid w:val="00B122E3"/>
    <w:rsid w:val="00B133BD"/>
    <w:rsid w:val="00B14A7F"/>
    <w:rsid w:val="00B169DA"/>
    <w:rsid w:val="00B16B3D"/>
    <w:rsid w:val="00B16B3F"/>
    <w:rsid w:val="00B16F7C"/>
    <w:rsid w:val="00B1790B"/>
    <w:rsid w:val="00B17FDA"/>
    <w:rsid w:val="00B209B5"/>
    <w:rsid w:val="00B20E01"/>
    <w:rsid w:val="00B21257"/>
    <w:rsid w:val="00B227CE"/>
    <w:rsid w:val="00B23092"/>
    <w:rsid w:val="00B238BC"/>
    <w:rsid w:val="00B24434"/>
    <w:rsid w:val="00B2482B"/>
    <w:rsid w:val="00B24E04"/>
    <w:rsid w:val="00B25672"/>
    <w:rsid w:val="00B25C41"/>
    <w:rsid w:val="00B26606"/>
    <w:rsid w:val="00B2700C"/>
    <w:rsid w:val="00B2725E"/>
    <w:rsid w:val="00B27814"/>
    <w:rsid w:val="00B30241"/>
    <w:rsid w:val="00B30449"/>
    <w:rsid w:val="00B30CA3"/>
    <w:rsid w:val="00B31C2B"/>
    <w:rsid w:val="00B31EFB"/>
    <w:rsid w:val="00B335F2"/>
    <w:rsid w:val="00B339A9"/>
    <w:rsid w:val="00B33AF9"/>
    <w:rsid w:val="00B350EA"/>
    <w:rsid w:val="00B351D4"/>
    <w:rsid w:val="00B36AB2"/>
    <w:rsid w:val="00B37004"/>
    <w:rsid w:val="00B37510"/>
    <w:rsid w:val="00B37B63"/>
    <w:rsid w:val="00B40288"/>
    <w:rsid w:val="00B405B5"/>
    <w:rsid w:val="00B40610"/>
    <w:rsid w:val="00B42008"/>
    <w:rsid w:val="00B451D3"/>
    <w:rsid w:val="00B459BB"/>
    <w:rsid w:val="00B47B4A"/>
    <w:rsid w:val="00B47D27"/>
    <w:rsid w:val="00B50378"/>
    <w:rsid w:val="00B5122B"/>
    <w:rsid w:val="00B513B4"/>
    <w:rsid w:val="00B5199C"/>
    <w:rsid w:val="00B51F0D"/>
    <w:rsid w:val="00B52687"/>
    <w:rsid w:val="00B52D8A"/>
    <w:rsid w:val="00B53BE5"/>
    <w:rsid w:val="00B53CB3"/>
    <w:rsid w:val="00B53F32"/>
    <w:rsid w:val="00B55846"/>
    <w:rsid w:val="00B564B0"/>
    <w:rsid w:val="00B574E3"/>
    <w:rsid w:val="00B57C82"/>
    <w:rsid w:val="00B6001C"/>
    <w:rsid w:val="00B605EC"/>
    <w:rsid w:val="00B60C58"/>
    <w:rsid w:val="00B60E5D"/>
    <w:rsid w:val="00B61769"/>
    <w:rsid w:val="00B61DF7"/>
    <w:rsid w:val="00B61DFE"/>
    <w:rsid w:val="00B633A5"/>
    <w:rsid w:val="00B64080"/>
    <w:rsid w:val="00B64280"/>
    <w:rsid w:val="00B643F8"/>
    <w:rsid w:val="00B64AED"/>
    <w:rsid w:val="00B64EF7"/>
    <w:rsid w:val="00B6510E"/>
    <w:rsid w:val="00B66438"/>
    <w:rsid w:val="00B70493"/>
    <w:rsid w:val="00B710C0"/>
    <w:rsid w:val="00B710CD"/>
    <w:rsid w:val="00B728E5"/>
    <w:rsid w:val="00B73144"/>
    <w:rsid w:val="00B735D9"/>
    <w:rsid w:val="00B746F3"/>
    <w:rsid w:val="00B761C3"/>
    <w:rsid w:val="00B802F4"/>
    <w:rsid w:val="00B809CB"/>
    <w:rsid w:val="00B8112A"/>
    <w:rsid w:val="00B83B3F"/>
    <w:rsid w:val="00B84297"/>
    <w:rsid w:val="00B84878"/>
    <w:rsid w:val="00B871A5"/>
    <w:rsid w:val="00B8779A"/>
    <w:rsid w:val="00B90333"/>
    <w:rsid w:val="00B90A8F"/>
    <w:rsid w:val="00B90D98"/>
    <w:rsid w:val="00B91150"/>
    <w:rsid w:val="00B91972"/>
    <w:rsid w:val="00B92126"/>
    <w:rsid w:val="00B92351"/>
    <w:rsid w:val="00B940E2"/>
    <w:rsid w:val="00B941F1"/>
    <w:rsid w:val="00B9696A"/>
    <w:rsid w:val="00BA01EF"/>
    <w:rsid w:val="00BA0624"/>
    <w:rsid w:val="00BA1ADC"/>
    <w:rsid w:val="00BA2546"/>
    <w:rsid w:val="00BA2699"/>
    <w:rsid w:val="00BA43B9"/>
    <w:rsid w:val="00BA5205"/>
    <w:rsid w:val="00BA62E7"/>
    <w:rsid w:val="00BA6E3F"/>
    <w:rsid w:val="00BA721D"/>
    <w:rsid w:val="00BB259F"/>
    <w:rsid w:val="00BB2810"/>
    <w:rsid w:val="00BB3EC1"/>
    <w:rsid w:val="00BB5748"/>
    <w:rsid w:val="00BB5F3A"/>
    <w:rsid w:val="00BC016F"/>
    <w:rsid w:val="00BC0BB8"/>
    <w:rsid w:val="00BC2646"/>
    <w:rsid w:val="00BC2CF5"/>
    <w:rsid w:val="00BC2CF8"/>
    <w:rsid w:val="00BC3008"/>
    <w:rsid w:val="00BC323C"/>
    <w:rsid w:val="00BC5318"/>
    <w:rsid w:val="00BC53B6"/>
    <w:rsid w:val="00BC6857"/>
    <w:rsid w:val="00BC7849"/>
    <w:rsid w:val="00BD02B0"/>
    <w:rsid w:val="00BD0374"/>
    <w:rsid w:val="00BD11B3"/>
    <w:rsid w:val="00BD1D26"/>
    <w:rsid w:val="00BD34B4"/>
    <w:rsid w:val="00BD3882"/>
    <w:rsid w:val="00BD3D86"/>
    <w:rsid w:val="00BD48C6"/>
    <w:rsid w:val="00BD49F7"/>
    <w:rsid w:val="00BD4DFE"/>
    <w:rsid w:val="00BD50DC"/>
    <w:rsid w:val="00BD5F15"/>
    <w:rsid w:val="00BD6756"/>
    <w:rsid w:val="00BD6CAB"/>
    <w:rsid w:val="00BD6DB3"/>
    <w:rsid w:val="00BD74F8"/>
    <w:rsid w:val="00BD7697"/>
    <w:rsid w:val="00BE02E2"/>
    <w:rsid w:val="00BE05E5"/>
    <w:rsid w:val="00BE1572"/>
    <w:rsid w:val="00BE17C3"/>
    <w:rsid w:val="00BE259B"/>
    <w:rsid w:val="00BE25EC"/>
    <w:rsid w:val="00BE2E8B"/>
    <w:rsid w:val="00BE38E3"/>
    <w:rsid w:val="00BE4B3F"/>
    <w:rsid w:val="00BE58AC"/>
    <w:rsid w:val="00BE62E3"/>
    <w:rsid w:val="00BE6DF6"/>
    <w:rsid w:val="00BE7FEE"/>
    <w:rsid w:val="00BF0226"/>
    <w:rsid w:val="00BF0950"/>
    <w:rsid w:val="00BF394E"/>
    <w:rsid w:val="00BF4DD2"/>
    <w:rsid w:val="00BF61E1"/>
    <w:rsid w:val="00BF6800"/>
    <w:rsid w:val="00BF7FB0"/>
    <w:rsid w:val="00C008FC"/>
    <w:rsid w:val="00C01054"/>
    <w:rsid w:val="00C027AE"/>
    <w:rsid w:val="00C02C2F"/>
    <w:rsid w:val="00C02FB0"/>
    <w:rsid w:val="00C03094"/>
    <w:rsid w:val="00C03887"/>
    <w:rsid w:val="00C03DBF"/>
    <w:rsid w:val="00C04D73"/>
    <w:rsid w:val="00C110DE"/>
    <w:rsid w:val="00C12348"/>
    <w:rsid w:val="00C131BB"/>
    <w:rsid w:val="00C14B8C"/>
    <w:rsid w:val="00C159C7"/>
    <w:rsid w:val="00C15F19"/>
    <w:rsid w:val="00C174CA"/>
    <w:rsid w:val="00C17548"/>
    <w:rsid w:val="00C20AA4"/>
    <w:rsid w:val="00C216FB"/>
    <w:rsid w:val="00C22678"/>
    <w:rsid w:val="00C23F13"/>
    <w:rsid w:val="00C244A1"/>
    <w:rsid w:val="00C249B7"/>
    <w:rsid w:val="00C24C2B"/>
    <w:rsid w:val="00C27110"/>
    <w:rsid w:val="00C27569"/>
    <w:rsid w:val="00C30F33"/>
    <w:rsid w:val="00C40DD3"/>
    <w:rsid w:val="00C444D3"/>
    <w:rsid w:val="00C445BE"/>
    <w:rsid w:val="00C4562D"/>
    <w:rsid w:val="00C45C23"/>
    <w:rsid w:val="00C45DC8"/>
    <w:rsid w:val="00C46365"/>
    <w:rsid w:val="00C4663F"/>
    <w:rsid w:val="00C517CF"/>
    <w:rsid w:val="00C52C5D"/>
    <w:rsid w:val="00C532E4"/>
    <w:rsid w:val="00C539EC"/>
    <w:rsid w:val="00C55833"/>
    <w:rsid w:val="00C55F44"/>
    <w:rsid w:val="00C563EB"/>
    <w:rsid w:val="00C56736"/>
    <w:rsid w:val="00C56BD7"/>
    <w:rsid w:val="00C57CE1"/>
    <w:rsid w:val="00C60E9C"/>
    <w:rsid w:val="00C620C8"/>
    <w:rsid w:val="00C62E4B"/>
    <w:rsid w:val="00C6336A"/>
    <w:rsid w:val="00C63879"/>
    <w:rsid w:val="00C63B2F"/>
    <w:rsid w:val="00C652F7"/>
    <w:rsid w:val="00C65C78"/>
    <w:rsid w:val="00C672DD"/>
    <w:rsid w:val="00C700E3"/>
    <w:rsid w:val="00C71CE3"/>
    <w:rsid w:val="00C7279A"/>
    <w:rsid w:val="00C73C97"/>
    <w:rsid w:val="00C74699"/>
    <w:rsid w:val="00C74FF0"/>
    <w:rsid w:val="00C75550"/>
    <w:rsid w:val="00C757A0"/>
    <w:rsid w:val="00C76613"/>
    <w:rsid w:val="00C80D5D"/>
    <w:rsid w:val="00C8274D"/>
    <w:rsid w:val="00C82A75"/>
    <w:rsid w:val="00C82E42"/>
    <w:rsid w:val="00C83321"/>
    <w:rsid w:val="00C85EF7"/>
    <w:rsid w:val="00C8619C"/>
    <w:rsid w:val="00C86D21"/>
    <w:rsid w:val="00C8776E"/>
    <w:rsid w:val="00C87915"/>
    <w:rsid w:val="00C910A8"/>
    <w:rsid w:val="00C91F16"/>
    <w:rsid w:val="00C9282E"/>
    <w:rsid w:val="00C92B10"/>
    <w:rsid w:val="00C92FC0"/>
    <w:rsid w:val="00C93DE7"/>
    <w:rsid w:val="00C942ED"/>
    <w:rsid w:val="00C94765"/>
    <w:rsid w:val="00C9791A"/>
    <w:rsid w:val="00CA0370"/>
    <w:rsid w:val="00CA0E3F"/>
    <w:rsid w:val="00CA1661"/>
    <w:rsid w:val="00CA234A"/>
    <w:rsid w:val="00CA2B88"/>
    <w:rsid w:val="00CA51CA"/>
    <w:rsid w:val="00CA6326"/>
    <w:rsid w:val="00CA7C66"/>
    <w:rsid w:val="00CB0184"/>
    <w:rsid w:val="00CB0A5F"/>
    <w:rsid w:val="00CB1B80"/>
    <w:rsid w:val="00CB200C"/>
    <w:rsid w:val="00CB213A"/>
    <w:rsid w:val="00CB2ADA"/>
    <w:rsid w:val="00CB4057"/>
    <w:rsid w:val="00CB4B88"/>
    <w:rsid w:val="00CB5AA8"/>
    <w:rsid w:val="00CB67C6"/>
    <w:rsid w:val="00CB6D99"/>
    <w:rsid w:val="00CB77A7"/>
    <w:rsid w:val="00CC100F"/>
    <w:rsid w:val="00CC28BC"/>
    <w:rsid w:val="00CC299B"/>
    <w:rsid w:val="00CC54ED"/>
    <w:rsid w:val="00CC5518"/>
    <w:rsid w:val="00CC5535"/>
    <w:rsid w:val="00CC565B"/>
    <w:rsid w:val="00CC6CBF"/>
    <w:rsid w:val="00CC6ED2"/>
    <w:rsid w:val="00CC7258"/>
    <w:rsid w:val="00CC7691"/>
    <w:rsid w:val="00CD02F1"/>
    <w:rsid w:val="00CD032D"/>
    <w:rsid w:val="00CD18D9"/>
    <w:rsid w:val="00CD38BE"/>
    <w:rsid w:val="00CD487E"/>
    <w:rsid w:val="00CD558C"/>
    <w:rsid w:val="00CD6238"/>
    <w:rsid w:val="00CD6285"/>
    <w:rsid w:val="00CD682B"/>
    <w:rsid w:val="00CD69A2"/>
    <w:rsid w:val="00CD6F64"/>
    <w:rsid w:val="00CD6FAF"/>
    <w:rsid w:val="00CD7078"/>
    <w:rsid w:val="00CE0598"/>
    <w:rsid w:val="00CE07B2"/>
    <w:rsid w:val="00CE1648"/>
    <w:rsid w:val="00CE3070"/>
    <w:rsid w:val="00CE3A74"/>
    <w:rsid w:val="00CE4980"/>
    <w:rsid w:val="00CE527D"/>
    <w:rsid w:val="00CF0562"/>
    <w:rsid w:val="00CF0671"/>
    <w:rsid w:val="00CF0B0C"/>
    <w:rsid w:val="00CF0C0E"/>
    <w:rsid w:val="00CF0C80"/>
    <w:rsid w:val="00CF28B2"/>
    <w:rsid w:val="00CF3BC4"/>
    <w:rsid w:val="00CF3D99"/>
    <w:rsid w:val="00CF4926"/>
    <w:rsid w:val="00CF59A6"/>
    <w:rsid w:val="00CF5F0B"/>
    <w:rsid w:val="00CF65AC"/>
    <w:rsid w:val="00CF722D"/>
    <w:rsid w:val="00CF7EDD"/>
    <w:rsid w:val="00D00109"/>
    <w:rsid w:val="00D00297"/>
    <w:rsid w:val="00D01186"/>
    <w:rsid w:val="00D01A1B"/>
    <w:rsid w:val="00D01A7B"/>
    <w:rsid w:val="00D024CF"/>
    <w:rsid w:val="00D0307B"/>
    <w:rsid w:val="00D053A2"/>
    <w:rsid w:val="00D059DA"/>
    <w:rsid w:val="00D05CC4"/>
    <w:rsid w:val="00D06604"/>
    <w:rsid w:val="00D06FB9"/>
    <w:rsid w:val="00D07209"/>
    <w:rsid w:val="00D0760E"/>
    <w:rsid w:val="00D10B45"/>
    <w:rsid w:val="00D10D53"/>
    <w:rsid w:val="00D130C9"/>
    <w:rsid w:val="00D13A08"/>
    <w:rsid w:val="00D154B1"/>
    <w:rsid w:val="00D15A2E"/>
    <w:rsid w:val="00D168AD"/>
    <w:rsid w:val="00D177BB"/>
    <w:rsid w:val="00D202DB"/>
    <w:rsid w:val="00D227CC"/>
    <w:rsid w:val="00D23164"/>
    <w:rsid w:val="00D23240"/>
    <w:rsid w:val="00D237B5"/>
    <w:rsid w:val="00D24505"/>
    <w:rsid w:val="00D25405"/>
    <w:rsid w:val="00D262D0"/>
    <w:rsid w:val="00D2685A"/>
    <w:rsid w:val="00D26F3E"/>
    <w:rsid w:val="00D277ED"/>
    <w:rsid w:val="00D308F6"/>
    <w:rsid w:val="00D315DB"/>
    <w:rsid w:val="00D3262B"/>
    <w:rsid w:val="00D32F96"/>
    <w:rsid w:val="00D34051"/>
    <w:rsid w:val="00D37B24"/>
    <w:rsid w:val="00D4009F"/>
    <w:rsid w:val="00D400BE"/>
    <w:rsid w:val="00D40257"/>
    <w:rsid w:val="00D40506"/>
    <w:rsid w:val="00D40B99"/>
    <w:rsid w:val="00D40B9F"/>
    <w:rsid w:val="00D41803"/>
    <w:rsid w:val="00D433B0"/>
    <w:rsid w:val="00D44460"/>
    <w:rsid w:val="00D4474B"/>
    <w:rsid w:val="00D45712"/>
    <w:rsid w:val="00D45D3C"/>
    <w:rsid w:val="00D45E82"/>
    <w:rsid w:val="00D508AD"/>
    <w:rsid w:val="00D50B54"/>
    <w:rsid w:val="00D522FD"/>
    <w:rsid w:val="00D52EC6"/>
    <w:rsid w:val="00D54F18"/>
    <w:rsid w:val="00D55139"/>
    <w:rsid w:val="00D60E1E"/>
    <w:rsid w:val="00D6190B"/>
    <w:rsid w:val="00D6221F"/>
    <w:rsid w:val="00D6311F"/>
    <w:rsid w:val="00D638B6"/>
    <w:rsid w:val="00D638B7"/>
    <w:rsid w:val="00D66625"/>
    <w:rsid w:val="00D66C52"/>
    <w:rsid w:val="00D6712E"/>
    <w:rsid w:val="00D6728B"/>
    <w:rsid w:val="00D67C1D"/>
    <w:rsid w:val="00D70227"/>
    <w:rsid w:val="00D7024B"/>
    <w:rsid w:val="00D71407"/>
    <w:rsid w:val="00D7285F"/>
    <w:rsid w:val="00D73412"/>
    <w:rsid w:val="00D735FA"/>
    <w:rsid w:val="00D73CF0"/>
    <w:rsid w:val="00D75422"/>
    <w:rsid w:val="00D75832"/>
    <w:rsid w:val="00D7779C"/>
    <w:rsid w:val="00D800EB"/>
    <w:rsid w:val="00D81ADF"/>
    <w:rsid w:val="00D82574"/>
    <w:rsid w:val="00D82BF3"/>
    <w:rsid w:val="00D83291"/>
    <w:rsid w:val="00D83863"/>
    <w:rsid w:val="00D8418F"/>
    <w:rsid w:val="00D84923"/>
    <w:rsid w:val="00D85333"/>
    <w:rsid w:val="00D86DD7"/>
    <w:rsid w:val="00D904A0"/>
    <w:rsid w:val="00D909D5"/>
    <w:rsid w:val="00D9128E"/>
    <w:rsid w:val="00D9232A"/>
    <w:rsid w:val="00D93ABD"/>
    <w:rsid w:val="00D942B3"/>
    <w:rsid w:val="00D96ACE"/>
    <w:rsid w:val="00D96BFD"/>
    <w:rsid w:val="00D96C05"/>
    <w:rsid w:val="00D97030"/>
    <w:rsid w:val="00DA1228"/>
    <w:rsid w:val="00DA12AB"/>
    <w:rsid w:val="00DA1BE8"/>
    <w:rsid w:val="00DA26CB"/>
    <w:rsid w:val="00DA458F"/>
    <w:rsid w:val="00DA709D"/>
    <w:rsid w:val="00DA7235"/>
    <w:rsid w:val="00DA7340"/>
    <w:rsid w:val="00DB2143"/>
    <w:rsid w:val="00DB21C4"/>
    <w:rsid w:val="00DB38A9"/>
    <w:rsid w:val="00DB5CE7"/>
    <w:rsid w:val="00DB760D"/>
    <w:rsid w:val="00DB79B0"/>
    <w:rsid w:val="00DC0092"/>
    <w:rsid w:val="00DC05E5"/>
    <w:rsid w:val="00DC0AB1"/>
    <w:rsid w:val="00DC1165"/>
    <w:rsid w:val="00DC1B78"/>
    <w:rsid w:val="00DC254B"/>
    <w:rsid w:val="00DC2E14"/>
    <w:rsid w:val="00DC2EB7"/>
    <w:rsid w:val="00DC322D"/>
    <w:rsid w:val="00DC363D"/>
    <w:rsid w:val="00DC3998"/>
    <w:rsid w:val="00DC46E2"/>
    <w:rsid w:val="00DC48C6"/>
    <w:rsid w:val="00DC4FCF"/>
    <w:rsid w:val="00DC56CF"/>
    <w:rsid w:val="00DC6845"/>
    <w:rsid w:val="00DC6F38"/>
    <w:rsid w:val="00DD10FD"/>
    <w:rsid w:val="00DD15E2"/>
    <w:rsid w:val="00DD16B8"/>
    <w:rsid w:val="00DD1F6C"/>
    <w:rsid w:val="00DD3552"/>
    <w:rsid w:val="00DD3AE7"/>
    <w:rsid w:val="00DD3C61"/>
    <w:rsid w:val="00DD410E"/>
    <w:rsid w:val="00DD4EB9"/>
    <w:rsid w:val="00DD5DEF"/>
    <w:rsid w:val="00DE0678"/>
    <w:rsid w:val="00DE1A5B"/>
    <w:rsid w:val="00DE24BE"/>
    <w:rsid w:val="00DE2E2F"/>
    <w:rsid w:val="00DE2F8A"/>
    <w:rsid w:val="00DE39EE"/>
    <w:rsid w:val="00DE52D4"/>
    <w:rsid w:val="00DE5331"/>
    <w:rsid w:val="00DE5BD5"/>
    <w:rsid w:val="00DE6C8E"/>
    <w:rsid w:val="00DE71EB"/>
    <w:rsid w:val="00DF0408"/>
    <w:rsid w:val="00DF28D9"/>
    <w:rsid w:val="00DF2BB7"/>
    <w:rsid w:val="00DF2E83"/>
    <w:rsid w:val="00DF3668"/>
    <w:rsid w:val="00DF3804"/>
    <w:rsid w:val="00DF4D88"/>
    <w:rsid w:val="00E003FE"/>
    <w:rsid w:val="00E00CF5"/>
    <w:rsid w:val="00E0125C"/>
    <w:rsid w:val="00E01918"/>
    <w:rsid w:val="00E0282A"/>
    <w:rsid w:val="00E02F4A"/>
    <w:rsid w:val="00E0316D"/>
    <w:rsid w:val="00E04777"/>
    <w:rsid w:val="00E07304"/>
    <w:rsid w:val="00E107A4"/>
    <w:rsid w:val="00E125DD"/>
    <w:rsid w:val="00E12811"/>
    <w:rsid w:val="00E12ECA"/>
    <w:rsid w:val="00E13542"/>
    <w:rsid w:val="00E15C0A"/>
    <w:rsid w:val="00E16892"/>
    <w:rsid w:val="00E204A2"/>
    <w:rsid w:val="00E21175"/>
    <w:rsid w:val="00E2165D"/>
    <w:rsid w:val="00E221B7"/>
    <w:rsid w:val="00E22249"/>
    <w:rsid w:val="00E22ADE"/>
    <w:rsid w:val="00E246B7"/>
    <w:rsid w:val="00E25B4F"/>
    <w:rsid w:val="00E263E9"/>
    <w:rsid w:val="00E3210C"/>
    <w:rsid w:val="00E328B5"/>
    <w:rsid w:val="00E35AAF"/>
    <w:rsid w:val="00E35AE2"/>
    <w:rsid w:val="00E35C27"/>
    <w:rsid w:val="00E365C3"/>
    <w:rsid w:val="00E36928"/>
    <w:rsid w:val="00E40A98"/>
    <w:rsid w:val="00E40CE3"/>
    <w:rsid w:val="00E42BD6"/>
    <w:rsid w:val="00E43503"/>
    <w:rsid w:val="00E4361A"/>
    <w:rsid w:val="00E43A27"/>
    <w:rsid w:val="00E43B33"/>
    <w:rsid w:val="00E44024"/>
    <w:rsid w:val="00E44834"/>
    <w:rsid w:val="00E44C49"/>
    <w:rsid w:val="00E456CE"/>
    <w:rsid w:val="00E45D9E"/>
    <w:rsid w:val="00E47BFC"/>
    <w:rsid w:val="00E50094"/>
    <w:rsid w:val="00E50597"/>
    <w:rsid w:val="00E50F27"/>
    <w:rsid w:val="00E51734"/>
    <w:rsid w:val="00E5197F"/>
    <w:rsid w:val="00E525B8"/>
    <w:rsid w:val="00E53442"/>
    <w:rsid w:val="00E5528F"/>
    <w:rsid w:val="00E5614B"/>
    <w:rsid w:val="00E5684D"/>
    <w:rsid w:val="00E57026"/>
    <w:rsid w:val="00E600E9"/>
    <w:rsid w:val="00E60BCF"/>
    <w:rsid w:val="00E614B8"/>
    <w:rsid w:val="00E62079"/>
    <w:rsid w:val="00E621A8"/>
    <w:rsid w:val="00E62CAE"/>
    <w:rsid w:val="00E638A6"/>
    <w:rsid w:val="00E639E1"/>
    <w:rsid w:val="00E63A90"/>
    <w:rsid w:val="00E63B65"/>
    <w:rsid w:val="00E63C82"/>
    <w:rsid w:val="00E65199"/>
    <w:rsid w:val="00E652E4"/>
    <w:rsid w:val="00E660F4"/>
    <w:rsid w:val="00E7013D"/>
    <w:rsid w:val="00E707B2"/>
    <w:rsid w:val="00E712D3"/>
    <w:rsid w:val="00E71C94"/>
    <w:rsid w:val="00E721F3"/>
    <w:rsid w:val="00E73ADE"/>
    <w:rsid w:val="00E73C00"/>
    <w:rsid w:val="00E742B8"/>
    <w:rsid w:val="00E7508D"/>
    <w:rsid w:val="00E7511D"/>
    <w:rsid w:val="00E75139"/>
    <w:rsid w:val="00E7513F"/>
    <w:rsid w:val="00E75189"/>
    <w:rsid w:val="00E76C3B"/>
    <w:rsid w:val="00E773F6"/>
    <w:rsid w:val="00E77FE5"/>
    <w:rsid w:val="00E809CB"/>
    <w:rsid w:val="00E80A12"/>
    <w:rsid w:val="00E81C50"/>
    <w:rsid w:val="00E82065"/>
    <w:rsid w:val="00E8253A"/>
    <w:rsid w:val="00E827DE"/>
    <w:rsid w:val="00E82CFA"/>
    <w:rsid w:val="00E8365C"/>
    <w:rsid w:val="00E84143"/>
    <w:rsid w:val="00E84825"/>
    <w:rsid w:val="00E850FF"/>
    <w:rsid w:val="00E901B0"/>
    <w:rsid w:val="00E90858"/>
    <w:rsid w:val="00E91ED2"/>
    <w:rsid w:val="00E93191"/>
    <w:rsid w:val="00E950B8"/>
    <w:rsid w:val="00E967AB"/>
    <w:rsid w:val="00E96AC3"/>
    <w:rsid w:val="00EA04E8"/>
    <w:rsid w:val="00EA28E4"/>
    <w:rsid w:val="00EA48A8"/>
    <w:rsid w:val="00EA493D"/>
    <w:rsid w:val="00EA6977"/>
    <w:rsid w:val="00EA74A0"/>
    <w:rsid w:val="00EB1A3F"/>
    <w:rsid w:val="00EB1D9D"/>
    <w:rsid w:val="00EB23B7"/>
    <w:rsid w:val="00EB268D"/>
    <w:rsid w:val="00EB27C9"/>
    <w:rsid w:val="00EB3FFB"/>
    <w:rsid w:val="00EB625A"/>
    <w:rsid w:val="00EB6772"/>
    <w:rsid w:val="00EB7A9F"/>
    <w:rsid w:val="00EC02E9"/>
    <w:rsid w:val="00EC0723"/>
    <w:rsid w:val="00EC072C"/>
    <w:rsid w:val="00EC0FEB"/>
    <w:rsid w:val="00EC112E"/>
    <w:rsid w:val="00EC3218"/>
    <w:rsid w:val="00EC3465"/>
    <w:rsid w:val="00EC5736"/>
    <w:rsid w:val="00EC6724"/>
    <w:rsid w:val="00EC6F23"/>
    <w:rsid w:val="00EC7377"/>
    <w:rsid w:val="00EC76FF"/>
    <w:rsid w:val="00EC7B14"/>
    <w:rsid w:val="00ED0C35"/>
    <w:rsid w:val="00ED1374"/>
    <w:rsid w:val="00ED3384"/>
    <w:rsid w:val="00ED4EB0"/>
    <w:rsid w:val="00ED5796"/>
    <w:rsid w:val="00ED5912"/>
    <w:rsid w:val="00ED6500"/>
    <w:rsid w:val="00EE1653"/>
    <w:rsid w:val="00EE2056"/>
    <w:rsid w:val="00EE32DE"/>
    <w:rsid w:val="00EE33F3"/>
    <w:rsid w:val="00EE4050"/>
    <w:rsid w:val="00EE5769"/>
    <w:rsid w:val="00EE6F59"/>
    <w:rsid w:val="00EF1D9F"/>
    <w:rsid w:val="00EF23E2"/>
    <w:rsid w:val="00EF32AA"/>
    <w:rsid w:val="00EF4C0C"/>
    <w:rsid w:val="00EF57E0"/>
    <w:rsid w:val="00EF690E"/>
    <w:rsid w:val="00EF7673"/>
    <w:rsid w:val="00F00679"/>
    <w:rsid w:val="00F013FE"/>
    <w:rsid w:val="00F05872"/>
    <w:rsid w:val="00F0755A"/>
    <w:rsid w:val="00F07F81"/>
    <w:rsid w:val="00F11758"/>
    <w:rsid w:val="00F11B86"/>
    <w:rsid w:val="00F123E0"/>
    <w:rsid w:val="00F125E5"/>
    <w:rsid w:val="00F12FAA"/>
    <w:rsid w:val="00F12FC6"/>
    <w:rsid w:val="00F1664C"/>
    <w:rsid w:val="00F178EF"/>
    <w:rsid w:val="00F179E3"/>
    <w:rsid w:val="00F20E0B"/>
    <w:rsid w:val="00F226C2"/>
    <w:rsid w:val="00F227BF"/>
    <w:rsid w:val="00F22D2A"/>
    <w:rsid w:val="00F24CE1"/>
    <w:rsid w:val="00F258B8"/>
    <w:rsid w:val="00F25D5A"/>
    <w:rsid w:val="00F2673E"/>
    <w:rsid w:val="00F27B5A"/>
    <w:rsid w:val="00F303A3"/>
    <w:rsid w:val="00F30DD4"/>
    <w:rsid w:val="00F31306"/>
    <w:rsid w:val="00F323EC"/>
    <w:rsid w:val="00F3347B"/>
    <w:rsid w:val="00F34637"/>
    <w:rsid w:val="00F35082"/>
    <w:rsid w:val="00F35E92"/>
    <w:rsid w:val="00F362DC"/>
    <w:rsid w:val="00F365FD"/>
    <w:rsid w:val="00F36C72"/>
    <w:rsid w:val="00F37734"/>
    <w:rsid w:val="00F37A0F"/>
    <w:rsid w:val="00F37F2D"/>
    <w:rsid w:val="00F40AAE"/>
    <w:rsid w:val="00F40F27"/>
    <w:rsid w:val="00F40F70"/>
    <w:rsid w:val="00F42F2C"/>
    <w:rsid w:val="00F43065"/>
    <w:rsid w:val="00F43BB5"/>
    <w:rsid w:val="00F44759"/>
    <w:rsid w:val="00F454DF"/>
    <w:rsid w:val="00F4712F"/>
    <w:rsid w:val="00F47842"/>
    <w:rsid w:val="00F504FA"/>
    <w:rsid w:val="00F5089D"/>
    <w:rsid w:val="00F51721"/>
    <w:rsid w:val="00F53119"/>
    <w:rsid w:val="00F532D8"/>
    <w:rsid w:val="00F54CA6"/>
    <w:rsid w:val="00F55FB6"/>
    <w:rsid w:val="00F566FE"/>
    <w:rsid w:val="00F57266"/>
    <w:rsid w:val="00F576DC"/>
    <w:rsid w:val="00F57E8B"/>
    <w:rsid w:val="00F6034A"/>
    <w:rsid w:val="00F604EE"/>
    <w:rsid w:val="00F61430"/>
    <w:rsid w:val="00F615B2"/>
    <w:rsid w:val="00F62CE9"/>
    <w:rsid w:val="00F63566"/>
    <w:rsid w:val="00F63B37"/>
    <w:rsid w:val="00F63CEA"/>
    <w:rsid w:val="00F644A7"/>
    <w:rsid w:val="00F64E9B"/>
    <w:rsid w:val="00F651E7"/>
    <w:rsid w:val="00F6768B"/>
    <w:rsid w:val="00F67AE9"/>
    <w:rsid w:val="00F711C1"/>
    <w:rsid w:val="00F71C21"/>
    <w:rsid w:val="00F727D5"/>
    <w:rsid w:val="00F73575"/>
    <w:rsid w:val="00F7367A"/>
    <w:rsid w:val="00F749BA"/>
    <w:rsid w:val="00F7510D"/>
    <w:rsid w:val="00F76F09"/>
    <w:rsid w:val="00F77097"/>
    <w:rsid w:val="00F8058B"/>
    <w:rsid w:val="00F810D8"/>
    <w:rsid w:val="00F812AE"/>
    <w:rsid w:val="00F8198E"/>
    <w:rsid w:val="00F86401"/>
    <w:rsid w:val="00F86558"/>
    <w:rsid w:val="00F86CD8"/>
    <w:rsid w:val="00F87668"/>
    <w:rsid w:val="00F900C7"/>
    <w:rsid w:val="00F939A0"/>
    <w:rsid w:val="00F942D9"/>
    <w:rsid w:val="00F94E6C"/>
    <w:rsid w:val="00F9529F"/>
    <w:rsid w:val="00F964D4"/>
    <w:rsid w:val="00F97283"/>
    <w:rsid w:val="00FA014C"/>
    <w:rsid w:val="00FA1512"/>
    <w:rsid w:val="00FA21F2"/>
    <w:rsid w:val="00FA2507"/>
    <w:rsid w:val="00FA2566"/>
    <w:rsid w:val="00FA30E9"/>
    <w:rsid w:val="00FA51B5"/>
    <w:rsid w:val="00FA6026"/>
    <w:rsid w:val="00FA614C"/>
    <w:rsid w:val="00FA72C2"/>
    <w:rsid w:val="00FA77E1"/>
    <w:rsid w:val="00FA7AE0"/>
    <w:rsid w:val="00FB1B53"/>
    <w:rsid w:val="00FB2ABA"/>
    <w:rsid w:val="00FB3DF9"/>
    <w:rsid w:val="00FB4E98"/>
    <w:rsid w:val="00FB5E39"/>
    <w:rsid w:val="00FB625B"/>
    <w:rsid w:val="00FB682A"/>
    <w:rsid w:val="00FB7A36"/>
    <w:rsid w:val="00FC03AF"/>
    <w:rsid w:val="00FC0CB0"/>
    <w:rsid w:val="00FC0D2C"/>
    <w:rsid w:val="00FC13E2"/>
    <w:rsid w:val="00FC1C78"/>
    <w:rsid w:val="00FC20D3"/>
    <w:rsid w:val="00FC3F76"/>
    <w:rsid w:val="00FC462A"/>
    <w:rsid w:val="00FC4DF6"/>
    <w:rsid w:val="00FC6973"/>
    <w:rsid w:val="00FC747D"/>
    <w:rsid w:val="00FC797D"/>
    <w:rsid w:val="00FC7ECF"/>
    <w:rsid w:val="00FD0116"/>
    <w:rsid w:val="00FD0D9C"/>
    <w:rsid w:val="00FD1506"/>
    <w:rsid w:val="00FD3546"/>
    <w:rsid w:val="00FD3D03"/>
    <w:rsid w:val="00FD3FEB"/>
    <w:rsid w:val="00FD41CA"/>
    <w:rsid w:val="00FD426B"/>
    <w:rsid w:val="00FD4B1C"/>
    <w:rsid w:val="00FD575B"/>
    <w:rsid w:val="00FD6DE0"/>
    <w:rsid w:val="00FE12AF"/>
    <w:rsid w:val="00FE1E6C"/>
    <w:rsid w:val="00FE33E8"/>
    <w:rsid w:val="00FE39C2"/>
    <w:rsid w:val="00FE3B50"/>
    <w:rsid w:val="00FE4173"/>
    <w:rsid w:val="00FE4588"/>
    <w:rsid w:val="00FE4E9E"/>
    <w:rsid w:val="00FE50FF"/>
    <w:rsid w:val="00FE5141"/>
    <w:rsid w:val="00FE66C0"/>
    <w:rsid w:val="00FF3C3A"/>
    <w:rsid w:val="00FF45A1"/>
    <w:rsid w:val="00FF5DF3"/>
    <w:rsid w:val="00FF6C75"/>
    <w:rsid w:val="00FF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4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B2"/>
    <w:pPr>
      <w:widowControl w:val="0"/>
    </w:pPr>
  </w:style>
  <w:style w:type="paragraph" w:styleId="Heading1">
    <w:name w:val="heading 1"/>
    <w:basedOn w:val="Normal"/>
    <w:link w:val="Heading1Char"/>
    <w:uiPriority w:val="9"/>
    <w:qFormat/>
    <w:rsid w:val="00702C5C"/>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02C5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702C5C"/>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link w:val="Heading4Char"/>
    <w:uiPriority w:val="9"/>
    <w:qFormat/>
    <w:rsid w:val="00702C5C"/>
    <w:pPr>
      <w:widowControl/>
      <w:spacing w:before="100" w:beforeAutospacing="1" w:after="100" w:afterAutospacing="1"/>
      <w:outlineLvl w:val="3"/>
    </w:pPr>
    <w:rPr>
      <w:rFonts w:ascii="Georgia" w:eastAsia="Times New Roman" w:hAnsi="Georgia" w:cs="Times New Roman"/>
      <w:color w:val="7D7864"/>
      <w:kern w:val="0"/>
      <w:sz w:val="31"/>
      <w:szCs w:val="31"/>
    </w:rPr>
  </w:style>
  <w:style w:type="paragraph" w:styleId="Heading8">
    <w:name w:val="heading 8"/>
    <w:basedOn w:val="Normal"/>
    <w:next w:val="Normal"/>
    <w:link w:val="Heading8Char"/>
    <w:uiPriority w:val="9"/>
    <w:semiHidden/>
    <w:unhideWhenUsed/>
    <w:qFormat/>
    <w:rsid w:val="00702C5C"/>
    <w:pPr>
      <w:keepNext/>
      <w:spacing w:line="720" w:lineRule="auto"/>
      <w:ind w:leftChars="400" w:left="400"/>
      <w:outlineLvl w:val="7"/>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702C5C"/>
    <w:pPr>
      <w:snapToGrid w:val="0"/>
    </w:pPr>
    <w:rPr>
      <w:rFonts w:ascii="Calibri" w:eastAsia="新細明體" w:hAnsi="Calibri" w:cs="Times New Roman"/>
      <w:sz w:val="20"/>
      <w:szCs w:val="20"/>
      <w:lang w:val="x-none" w:eastAsia="x-none"/>
    </w:rPr>
  </w:style>
  <w:style w:type="character" w:customStyle="1" w:styleId="FootnoteTextChar">
    <w:name w:val="Footnote Text Char"/>
    <w:aliases w:val=" Char Char,Char Char"/>
    <w:basedOn w:val="DefaultParagraphFont"/>
    <w:link w:val="FootnoteText"/>
    <w:uiPriority w:val="99"/>
    <w:rsid w:val="00702C5C"/>
    <w:rPr>
      <w:rFonts w:ascii="Calibri" w:eastAsia="新細明體" w:hAnsi="Calibri" w:cs="Times New Roman"/>
      <w:sz w:val="20"/>
      <w:szCs w:val="20"/>
      <w:lang w:val="x-none" w:eastAsia="x-none"/>
    </w:rPr>
  </w:style>
  <w:style w:type="character" w:styleId="FootnoteReference">
    <w:name w:val="footnote reference"/>
    <w:uiPriority w:val="99"/>
    <w:unhideWhenUsed/>
    <w:rsid w:val="00702C5C"/>
    <w:rPr>
      <w:vertAlign w:val="superscript"/>
    </w:rPr>
  </w:style>
  <w:style w:type="character" w:styleId="Hyperlink">
    <w:name w:val="Hyperlink"/>
    <w:uiPriority w:val="99"/>
    <w:unhideWhenUsed/>
    <w:rsid w:val="00702C5C"/>
    <w:rPr>
      <w:color w:val="0000FF"/>
      <w:u w:val="single"/>
    </w:rPr>
  </w:style>
  <w:style w:type="character" w:customStyle="1" w:styleId="apple-converted-space">
    <w:name w:val="apple-converted-space"/>
    <w:rsid w:val="00702C5C"/>
  </w:style>
  <w:style w:type="paragraph" w:styleId="ListParagraph">
    <w:name w:val="List Paragraph"/>
    <w:basedOn w:val="Normal"/>
    <w:uiPriority w:val="34"/>
    <w:qFormat/>
    <w:rsid w:val="00702C5C"/>
    <w:pPr>
      <w:ind w:leftChars="200" w:left="480"/>
    </w:pPr>
    <w:rPr>
      <w:rFonts w:ascii="Calibri" w:eastAsia="新細明體" w:hAnsi="Calibri" w:cs="Times New Roman"/>
    </w:rPr>
  </w:style>
  <w:style w:type="character" w:customStyle="1" w:styleId="Heading1Char">
    <w:name w:val="Heading 1 Char"/>
    <w:basedOn w:val="DefaultParagraphFont"/>
    <w:link w:val="Heading1"/>
    <w:uiPriority w:val="9"/>
    <w:rsid w:val="00702C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C5C"/>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702C5C"/>
    <w:rPr>
      <w:rFonts w:asciiTheme="majorHAnsi" w:eastAsiaTheme="majorEastAsia" w:hAnsiTheme="majorHAnsi" w:cstheme="majorBidi"/>
      <w:b/>
      <w:bCs/>
      <w:sz w:val="36"/>
      <w:szCs w:val="36"/>
    </w:rPr>
  </w:style>
  <w:style w:type="character" w:customStyle="1" w:styleId="Heading8Char">
    <w:name w:val="Heading 8 Char"/>
    <w:basedOn w:val="DefaultParagraphFont"/>
    <w:link w:val="Heading8"/>
    <w:uiPriority w:val="9"/>
    <w:semiHidden/>
    <w:rsid w:val="00702C5C"/>
    <w:rPr>
      <w:rFonts w:asciiTheme="majorHAnsi" w:eastAsiaTheme="majorEastAsia" w:hAnsiTheme="majorHAnsi" w:cstheme="majorBidi"/>
      <w:sz w:val="36"/>
      <w:szCs w:val="36"/>
    </w:rPr>
  </w:style>
  <w:style w:type="paragraph" w:styleId="BalloonText">
    <w:name w:val="Balloon Text"/>
    <w:basedOn w:val="Normal"/>
    <w:link w:val="BalloonTextChar"/>
    <w:uiPriority w:val="99"/>
    <w:semiHidden/>
    <w:unhideWhenUsed/>
    <w:rsid w:val="00702C5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02C5C"/>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702C5C"/>
    <w:pPr>
      <w:tabs>
        <w:tab w:val="center" w:pos="4153"/>
        <w:tab w:val="right" w:pos="8306"/>
      </w:tabs>
      <w:snapToGrid w:val="0"/>
    </w:pPr>
    <w:rPr>
      <w:rFonts w:ascii="Calibri" w:eastAsia="新細明體" w:hAnsi="Calibri" w:cs="Times New Roman"/>
      <w:sz w:val="20"/>
      <w:szCs w:val="20"/>
    </w:rPr>
  </w:style>
  <w:style w:type="character" w:customStyle="1" w:styleId="HeaderChar">
    <w:name w:val="Header Char"/>
    <w:basedOn w:val="DefaultParagraphFont"/>
    <w:link w:val="Header"/>
    <w:uiPriority w:val="99"/>
    <w:rsid w:val="00702C5C"/>
    <w:rPr>
      <w:rFonts w:ascii="Calibri" w:eastAsia="新細明體" w:hAnsi="Calibri" w:cs="Times New Roman"/>
      <w:sz w:val="20"/>
      <w:szCs w:val="20"/>
    </w:rPr>
  </w:style>
  <w:style w:type="paragraph" w:styleId="Footer">
    <w:name w:val="footer"/>
    <w:basedOn w:val="Normal"/>
    <w:link w:val="FooterChar"/>
    <w:uiPriority w:val="99"/>
    <w:unhideWhenUsed/>
    <w:rsid w:val="00702C5C"/>
    <w:pPr>
      <w:tabs>
        <w:tab w:val="center" w:pos="4153"/>
        <w:tab w:val="right" w:pos="8306"/>
      </w:tabs>
      <w:snapToGrid w:val="0"/>
    </w:pPr>
    <w:rPr>
      <w:rFonts w:ascii="Calibri" w:eastAsia="新細明體" w:hAnsi="Calibri" w:cs="Times New Roman"/>
      <w:sz w:val="20"/>
      <w:szCs w:val="20"/>
    </w:rPr>
  </w:style>
  <w:style w:type="character" w:customStyle="1" w:styleId="FooterChar">
    <w:name w:val="Footer Char"/>
    <w:basedOn w:val="DefaultParagraphFont"/>
    <w:link w:val="Footer"/>
    <w:uiPriority w:val="99"/>
    <w:rsid w:val="00702C5C"/>
    <w:rPr>
      <w:rFonts w:ascii="Calibri" w:eastAsia="新細明體" w:hAnsi="Calibri" w:cs="Times New Roman"/>
      <w:sz w:val="20"/>
      <w:szCs w:val="20"/>
    </w:rPr>
  </w:style>
  <w:style w:type="paragraph" w:customStyle="1" w:styleId="docref">
    <w:name w:val="docref"/>
    <w:basedOn w:val="Normal"/>
    <w:rsid w:val="00702C5C"/>
    <w:pPr>
      <w:widowControl/>
      <w:spacing w:before="100" w:beforeAutospacing="1" w:after="100" w:afterAutospacing="1"/>
    </w:pPr>
    <w:rPr>
      <w:rFonts w:ascii="Times New Roman" w:eastAsia="Times New Roman" w:hAnsi="Times New Roman" w:cs="Times New Roman"/>
      <w:kern w:val="0"/>
      <w:szCs w:val="24"/>
    </w:rPr>
  </w:style>
  <w:style w:type="character" w:customStyle="1" w:styleId="provisionalversion">
    <w:name w:val="provisionalversion"/>
    <w:basedOn w:val="DefaultParagraphFont"/>
    <w:rsid w:val="00702C5C"/>
  </w:style>
  <w:style w:type="character" w:customStyle="1" w:styleId="enum-style">
    <w:name w:val="enum-style"/>
    <w:basedOn w:val="DefaultParagraphFont"/>
    <w:rsid w:val="00702C5C"/>
  </w:style>
  <w:style w:type="character" w:styleId="FollowedHyperlink">
    <w:name w:val="FollowedHyperlink"/>
    <w:basedOn w:val="DefaultParagraphFont"/>
    <w:uiPriority w:val="99"/>
    <w:semiHidden/>
    <w:unhideWhenUsed/>
    <w:rsid w:val="00702C5C"/>
    <w:rPr>
      <w:color w:val="800080" w:themeColor="followedHyperlink"/>
      <w:u w:val="single"/>
    </w:rPr>
  </w:style>
  <w:style w:type="paragraph" w:styleId="NormalWeb">
    <w:name w:val="Normal (Web)"/>
    <w:basedOn w:val="Normal"/>
    <w:uiPriority w:val="99"/>
    <w:semiHidden/>
    <w:unhideWhenUsed/>
    <w:rsid w:val="00702C5C"/>
    <w:pPr>
      <w:widowControl/>
      <w:spacing w:before="100" w:beforeAutospacing="1" w:after="100" w:afterAutospacing="1"/>
    </w:pPr>
    <w:rPr>
      <w:rFonts w:ascii="Times New Roman" w:eastAsia="Times New Roman" w:hAnsi="Times New Roman" w:cs="Times New Roman"/>
      <w:kern w:val="0"/>
      <w:szCs w:val="24"/>
    </w:rPr>
  </w:style>
  <w:style w:type="character" w:customStyle="1" w:styleId="sb8d990e2">
    <w:name w:val="sb8d990e2"/>
    <w:basedOn w:val="DefaultParagraphFont"/>
    <w:rsid w:val="00702C5C"/>
  </w:style>
  <w:style w:type="paragraph" w:customStyle="1" w:styleId="s30eec3f8">
    <w:name w:val="s30eec3f8"/>
    <w:basedOn w:val="Normal"/>
    <w:rsid w:val="00702C5C"/>
    <w:pPr>
      <w:widowControl/>
      <w:spacing w:before="100" w:beforeAutospacing="1" w:after="100" w:afterAutospacing="1"/>
    </w:pPr>
    <w:rPr>
      <w:rFonts w:ascii="Times New Roman" w:eastAsia="Times New Roman" w:hAnsi="Times New Roman" w:cs="Times New Roman"/>
      <w:kern w:val="0"/>
      <w:szCs w:val="24"/>
    </w:rPr>
  </w:style>
  <w:style w:type="paragraph" w:styleId="BodyTextIndent">
    <w:name w:val="Body Text Indent"/>
    <w:basedOn w:val="Normal"/>
    <w:link w:val="BodyTextIndentChar"/>
    <w:semiHidden/>
    <w:rsid w:val="00702C5C"/>
    <w:pPr>
      <w:widowControl/>
      <w:ind w:left="1440"/>
    </w:pPr>
    <w:rPr>
      <w:rFonts w:ascii="Times New Roman" w:hAnsi="Times New Roman" w:cs="Times New Roman"/>
      <w:kern w:val="0"/>
      <w:szCs w:val="20"/>
      <w:lang w:val="en-GB"/>
    </w:rPr>
  </w:style>
  <w:style w:type="character" w:customStyle="1" w:styleId="BodyTextIndentChar">
    <w:name w:val="Body Text Indent Char"/>
    <w:basedOn w:val="DefaultParagraphFont"/>
    <w:link w:val="BodyTextIndent"/>
    <w:semiHidden/>
    <w:rsid w:val="00702C5C"/>
    <w:rPr>
      <w:rFonts w:ascii="Times New Roman" w:hAnsi="Times New Roman" w:cs="Times New Roman"/>
      <w:kern w:val="0"/>
      <w:szCs w:val="20"/>
      <w:lang w:val="en-GB"/>
    </w:rPr>
  </w:style>
  <w:style w:type="paragraph" w:customStyle="1" w:styleId="indent11">
    <w:name w:val="indent11"/>
    <w:basedOn w:val="Normal"/>
    <w:rsid w:val="00702C5C"/>
    <w:pPr>
      <w:widowControl/>
    </w:pPr>
    <w:rPr>
      <w:rFonts w:ascii="Times New Roman" w:eastAsia="Times New Roman" w:hAnsi="Times New Roman" w:cs="Times New Roman"/>
      <w:kern w:val="0"/>
      <w:szCs w:val="24"/>
    </w:rPr>
  </w:style>
  <w:style w:type="character" w:styleId="Emphasis">
    <w:name w:val="Emphasis"/>
    <w:basedOn w:val="DefaultParagraphFont"/>
    <w:uiPriority w:val="20"/>
    <w:qFormat/>
    <w:rsid w:val="00702C5C"/>
    <w:rPr>
      <w:i/>
      <w:iCs/>
    </w:rPr>
  </w:style>
  <w:style w:type="character" w:customStyle="1" w:styleId="a0">
    <w:name w:val="a"/>
    <w:basedOn w:val="DefaultParagraphFont"/>
    <w:rsid w:val="00702C5C"/>
  </w:style>
  <w:style w:type="paragraph" w:customStyle="1" w:styleId="loose">
    <w:name w:val="loose"/>
    <w:basedOn w:val="Normal"/>
    <w:rsid w:val="00702C5C"/>
    <w:pPr>
      <w:widowControl/>
      <w:spacing w:before="210"/>
    </w:pPr>
    <w:rPr>
      <w:rFonts w:ascii="Times New Roman" w:eastAsia="Times New Roman" w:hAnsi="Times New Roman" w:cs="Times New Roman"/>
      <w:kern w:val="0"/>
      <w:szCs w:val="24"/>
    </w:rPr>
  </w:style>
  <w:style w:type="character" w:customStyle="1" w:styleId="verdana1">
    <w:name w:val="verdana1"/>
    <w:basedOn w:val="DefaultParagraphFont"/>
    <w:rsid w:val="00702C5C"/>
    <w:rPr>
      <w:rFonts w:ascii="Verdana" w:hAnsi="Verdana" w:hint="default"/>
    </w:rPr>
  </w:style>
  <w:style w:type="character" w:customStyle="1" w:styleId="italic1">
    <w:name w:val="italic1"/>
    <w:basedOn w:val="DefaultParagraphFont"/>
    <w:rsid w:val="00702C5C"/>
    <w:rPr>
      <w:i/>
      <w:iCs/>
    </w:rPr>
  </w:style>
  <w:style w:type="character" w:customStyle="1" w:styleId="s6b621b36">
    <w:name w:val="s6b621b36"/>
    <w:basedOn w:val="DefaultParagraphFont"/>
    <w:rsid w:val="00702C5C"/>
  </w:style>
  <w:style w:type="character" w:customStyle="1" w:styleId="sfbbfee58">
    <w:name w:val="sfbbfee58"/>
    <w:basedOn w:val="DefaultParagraphFont"/>
    <w:rsid w:val="00702C5C"/>
  </w:style>
  <w:style w:type="character" w:customStyle="1" w:styleId="wordhighlighted">
    <w:name w:val="wordhighlighted"/>
    <w:basedOn w:val="DefaultParagraphFont"/>
    <w:rsid w:val="00702C5C"/>
  </w:style>
  <w:style w:type="character" w:customStyle="1" w:styleId="s1a844bc0">
    <w:name w:val="s1a844bc0"/>
    <w:basedOn w:val="DefaultParagraphFont"/>
    <w:rsid w:val="00702C5C"/>
  </w:style>
  <w:style w:type="paragraph" w:customStyle="1" w:styleId="Default">
    <w:name w:val="Default"/>
    <w:rsid w:val="00702C5C"/>
    <w:pPr>
      <w:widowControl w:val="0"/>
      <w:autoSpaceDE w:val="0"/>
      <w:autoSpaceDN w:val="0"/>
      <w:adjustRightInd w:val="0"/>
    </w:pPr>
    <w:rPr>
      <w:rFonts w:ascii="Times New Roman" w:hAnsi="Times New Roman" w:cs="Times New Roman"/>
      <w:color w:val="000000"/>
      <w:kern w:val="0"/>
      <w:szCs w:val="24"/>
    </w:rPr>
  </w:style>
  <w:style w:type="table" w:styleId="TableGrid">
    <w:name w:val="Table Grid"/>
    <w:basedOn w:val="TableNormal"/>
    <w:uiPriority w:val="59"/>
    <w:rsid w:val="00702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746c8714">
    <w:name w:val="s746c8714"/>
    <w:basedOn w:val="Normal"/>
    <w:rsid w:val="00702C5C"/>
    <w:pPr>
      <w:widowControl/>
      <w:spacing w:before="100" w:beforeAutospacing="1" w:after="100" w:afterAutospacing="1"/>
    </w:pPr>
    <w:rPr>
      <w:rFonts w:ascii="Times New Roman" w:eastAsia="Times New Roman" w:hAnsi="Times New Roman" w:cs="Times New Roman"/>
      <w:kern w:val="0"/>
      <w:szCs w:val="24"/>
    </w:rPr>
  </w:style>
  <w:style w:type="character" w:styleId="Strong">
    <w:name w:val="Strong"/>
    <w:basedOn w:val="DefaultParagraphFont"/>
    <w:uiPriority w:val="22"/>
    <w:qFormat/>
    <w:rsid w:val="00702C5C"/>
    <w:rPr>
      <w:b/>
      <w:bCs/>
    </w:rPr>
  </w:style>
  <w:style w:type="character" w:customStyle="1" w:styleId="lblnewstitle1">
    <w:name w:val="lblnewstitle1"/>
    <w:basedOn w:val="DefaultParagraphFont"/>
    <w:rsid w:val="00702C5C"/>
    <w:rPr>
      <w:b/>
      <w:bCs/>
      <w:sz w:val="29"/>
      <w:szCs w:val="29"/>
    </w:rPr>
  </w:style>
  <w:style w:type="character" w:customStyle="1" w:styleId="Heading4Char">
    <w:name w:val="Heading 4 Char"/>
    <w:basedOn w:val="DefaultParagraphFont"/>
    <w:link w:val="Heading4"/>
    <w:uiPriority w:val="9"/>
    <w:rsid w:val="00702C5C"/>
    <w:rPr>
      <w:rFonts w:ascii="Georgia" w:eastAsia="Times New Roman" w:hAnsi="Georgia" w:cs="Times New Roman"/>
      <w:color w:val="7D7864"/>
      <w:kern w:val="0"/>
      <w:sz w:val="31"/>
      <w:szCs w:val="31"/>
    </w:rPr>
  </w:style>
  <w:style w:type="paragraph" w:styleId="Date">
    <w:name w:val="Date"/>
    <w:basedOn w:val="Normal"/>
    <w:next w:val="Normal"/>
    <w:link w:val="DateChar"/>
    <w:uiPriority w:val="99"/>
    <w:semiHidden/>
    <w:unhideWhenUsed/>
    <w:rsid w:val="00702C5C"/>
    <w:pPr>
      <w:jc w:val="right"/>
    </w:pPr>
    <w:rPr>
      <w:rFonts w:ascii="Calibri" w:eastAsia="新細明體" w:hAnsi="Calibri" w:cs="Times New Roman"/>
      <w:lang w:val="x-none" w:eastAsia="x-none"/>
    </w:rPr>
  </w:style>
  <w:style w:type="character" w:customStyle="1" w:styleId="DateChar">
    <w:name w:val="Date Char"/>
    <w:basedOn w:val="DefaultParagraphFont"/>
    <w:link w:val="Date"/>
    <w:uiPriority w:val="99"/>
    <w:semiHidden/>
    <w:rsid w:val="00702C5C"/>
    <w:rPr>
      <w:rFonts w:ascii="Calibri" w:eastAsia="新細明體" w:hAnsi="Calibri" w:cs="Times New Roman"/>
      <w:lang w:val="x-none" w:eastAsia="x-none"/>
    </w:rPr>
  </w:style>
  <w:style w:type="paragraph" w:customStyle="1" w:styleId="a">
    <w:name w:val="符號點"/>
    <w:basedOn w:val="Normal"/>
    <w:rsid w:val="00702C5C"/>
    <w:pPr>
      <w:numPr>
        <w:numId w:val="4"/>
      </w:numPr>
    </w:pPr>
    <w:rPr>
      <w:rFonts w:ascii="Calibri" w:eastAsia="新細明體" w:hAnsi="Calibri" w:cs="Times New Roman"/>
    </w:rPr>
  </w:style>
  <w:style w:type="paragraph" w:styleId="EndnoteText">
    <w:name w:val="endnote text"/>
    <w:basedOn w:val="Normal"/>
    <w:link w:val="EndnoteTextChar"/>
    <w:uiPriority w:val="99"/>
    <w:semiHidden/>
    <w:unhideWhenUsed/>
    <w:rsid w:val="00702C5C"/>
    <w:pPr>
      <w:snapToGrid w:val="0"/>
    </w:pPr>
    <w:rPr>
      <w:rFonts w:ascii="Calibri" w:eastAsia="新細明體" w:hAnsi="Calibri" w:cs="Times New Roman"/>
    </w:rPr>
  </w:style>
  <w:style w:type="character" w:customStyle="1" w:styleId="EndnoteTextChar">
    <w:name w:val="Endnote Text Char"/>
    <w:basedOn w:val="DefaultParagraphFont"/>
    <w:link w:val="EndnoteText"/>
    <w:uiPriority w:val="99"/>
    <w:semiHidden/>
    <w:rsid w:val="00702C5C"/>
    <w:rPr>
      <w:rFonts w:ascii="Calibri" w:eastAsia="新細明體" w:hAnsi="Calibri" w:cs="Times New Roman"/>
    </w:rPr>
  </w:style>
  <w:style w:type="character" w:styleId="EndnoteReference">
    <w:name w:val="endnote reference"/>
    <w:uiPriority w:val="99"/>
    <w:semiHidden/>
    <w:unhideWhenUsed/>
    <w:rsid w:val="00702C5C"/>
    <w:rPr>
      <w:vertAlign w:val="superscript"/>
    </w:rPr>
  </w:style>
  <w:style w:type="paragraph" w:customStyle="1" w:styleId="Normal1">
    <w:name w:val="Normal1"/>
    <w:basedOn w:val="Normal"/>
    <w:rsid w:val="00702C5C"/>
    <w:pPr>
      <w:widowControl/>
      <w:spacing w:before="100" w:beforeAutospacing="1" w:after="100" w:afterAutospacing="1"/>
    </w:pPr>
    <w:rPr>
      <w:rFonts w:ascii="Times New Roman" w:eastAsia="Times New Roman" w:hAnsi="Times New Roman" w:cs="Times New Roman"/>
      <w:kern w:val="0"/>
      <w:szCs w:val="24"/>
      <w:lang w:eastAsia="en-US"/>
    </w:rPr>
  </w:style>
  <w:style w:type="character" w:customStyle="1" w:styleId="footnote0020referencechar">
    <w:name w:val="footnote_0020reference__char"/>
    <w:basedOn w:val="DefaultParagraphFont"/>
    <w:rsid w:val="00702C5C"/>
  </w:style>
  <w:style w:type="character" w:customStyle="1" w:styleId="normalchar">
    <w:name w:val="normal__char"/>
    <w:basedOn w:val="DefaultParagraphFont"/>
    <w:rsid w:val="00702C5C"/>
  </w:style>
  <w:style w:type="paragraph" w:customStyle="1" w:styleId="default0">
    <w:name w:val="default"/>
    <w:basedOn w:val="Normal"/>
    <w:rsid w:val="00702C5C"/>
    <w:pPr>
      <w:widowControl/>
      <w:spacing w:before="100" w:beforeAutospacing="1" w:after="100" w:afterAutospacing="1"/>
    </w:pPr>
    <w:rPr>
      <w:rFonts w:ascii="Times New Roman" w:eastAsia="Times New Roman" w:hAnsi="Times New Roman" w:cs="Times New Roman"/>
      <w:kern w:val="0"/>
      <w:szCs w:val="24"/>
      <w:lang w:eastAsia="en-US"/>
    </w:rPr>
  </w:style>
  <w:style w:type="character" w:customStyle="1" w:styleId="defaultchar">
    <w:name w:val="default__char"/>
    <w:basedOn w:val="DefaultParagraphFont"/>
    <w:rsid w:val="00702C5C"/>
  </w:style>
  <w:style w:type="paragraph" w:customStyle="1" w:styleId="Pa2">
    <w:name w:val="Pa2"/>
    <w:basedOn w:val="Default"/>
    <w:next w:val="Default"/>
    <w:uiPriority w:val="99"/>
    <w:rsid w:val="00702C5C"/>
    <w:pPr>
      <w:spacing w:line="281" w:lineRule="atLeast"/>
    </w:pPr>
    <w:rPr>
      <w:rFonts w:ascii="Bliss 2 Light" w:eastAsia="Bliss 2 Light" w:hAnsi="Calibri"/>
      <w:color w:val="auto"/>
    </w:rPr>
  </w:style>
  <w:style w:type="paragraph" w:customStyle="1" w:styleId="dclabel">
    <w:name w:val="dclabel"/>
    <w:basedOn w:val="Normal"/>
    <w:rsid w:val="00702C5C"/>
    <w:pPr>
      <w:widowControl/>
      <w:spacing w:line="360" w:lineRule="auto"/>
    </w:pPr>
    <w:rPr>
      <w:rFonts w:ascii="Times New Roman" w:eastAsia="Times New Roman" w:hAnsi="Times New Roman" w:cs="Times New Roman"/>
      <w:color w:val="333333"/>
      <w:kern w:val="0"/>
      <w:szCs w:val="24"/>
    </w:rPr>
  </w:style>
  <w:style w:type="paragraph" w:customStyle="1" w:styleId="dcblock">
    <w:name w:val="dcblock"/>
    <w:basedOn w:val="Normal"/>
    <w:rsid w:val="00702C5C"/>
    <w:pPr>
      <w:widowControl/>
      <w:spacing w:line="360" w:lineRule="auto"/>
    </w:pPr>
    <w:rPr>
      <w:rFonts w:ascii="Times New Roman" w:eastAsia="Times New Roman" w:hAnsi="Times New Roman" w:cs="Times New Roman"/>
      <w:color w:val="333333"/>
      <w:kern w:val="0"/>
      <w:szCs w:val="24"/>
    </w:rPr>
  </w:style>
  <w:style w:type="paragraph" w:customStyle="1" w:styleId="Style">
    <w:name w:val="Style"/>
    <w:rsid w:val="00702C5C"/>
    <w:pPr>
      <w:widowControl w:val="0"/>
      <w:autoSpaceDE w:val="0"/>
      <w:autoSpaceDN w:val="0"/>
      <w:adjustRightInd w:val="0"/>
    </w:pPr>
    <w:rPr>
      <w:rFonts w:ascii="SimSun" w:eastAsia="SimSun" w:hAnsi="Calibri" w:cs="SimSun"/>
      <w:kern w:val="0"/>
      <w:szCs w:val="24"/>
    </w:rPr>
  </w:style>
  <w:style w:type="character" w:customStyle="1" w:styleId="citation">
    <w:name w:val="citation"/>
    <w:rsid w:val="00702C5C"/>
  </w:style>
  <w:style w:type="character" w:customStyle="1" w:styleId="reference-accessdate">
    <w:name w:val="reference-accessdate"/>
    <w:rsid w:val="00702C5C"/>
  </w:style>
  <w:style w:type="character" w:customStyle="1" w:styleId="blue1">
    <w:name w:val="blue1"/>
    <w:basedOn w:val="DefaultParagraphFont"/>
    <w:rsid w:val="00702C5C"/>
    <w:rPr>
      <w:color w:val="004B91"/>
    </w:rPr>
  </w:style>
  <w:style w:type="table" w:customStyle="1" w:styleId="TableGrid1">
    <w:name w:val="Table Grid1"/>
    <w:basedOn w:val="TableNormal"/>
    <w:next w:val="TableGrid"/>
    <w:uiPriority w:val="59"/>
    <w:rsid w:val="00702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Char2"/>
    <w:basedOn w:val="DefaultParagraphFont"/>
    <w:rsid w:val="00702C5C"/>
    <w:rPr>
      <w:rFonts w:ascii="Arial" w:eastAsia="新細明體" w:hAnsi="Arial"/>
      <w:b/>
      <w:i/>
      <w:sz w:val="24"/>
      <w:szCs w:val="24"/>
      <w:lang w:val="en-GB" w:eastAsia="zh-TW" w:bidi="ar-SA"/>
    </w:rPr>
  </w:style>
  <w:style w:type="paragraph" w:customStyle="1" w:styleId="BodyText1">
    <w:name w:val="Body Text1"/>
    <w:basedOn w:val="Normal"/>
    <w:rsid w:val="00702C5C"/>
    <w:pPr>
      <w:widowControl/>
      <w:spacing w:line="260" w:lineRule="exact"/>
    </w:pPr>
    <w:rPr>
      <w:rFonts w:ascii="Gill Sans MT" w:hAnsi="Gill Sans MT" w:cs="Times New Roman"/>
      <w:kern w:val="0"/>
      <w:sz w:val="22"/>
      <w:szCs w:val="20"/>
      <w:lang w:val="en-GB" w:eastAsia="en-GB"/>
    </w:rPr>
  </w:style>
  <w:style w:type="paragraph" w:styleId="Revision">
    <w:name w:val="Revision"/>
    <w:hidden/>
    <w:uiPriority w:val="99"/>
    <w:semiHidden/>
    <w:rsid w:val="00702C5C"/>
    <w:rPr>
      <w:rFonts w:ascii="Calibri" w:eastAsia="新細明體" w:hAnsi="Calibri" w:cs="Times New Roman"/>
    </w:rPr>
  </w:style>
  <w:style w:type="character" w:customStyle="1" w:styleId="author">
    <w:name w:val="author"/>
    <w:basedOn w:val="DefaultParagraphFont"/>
    <w:rsid w:val="00702C5C"/>
  </w:style>
  <w:style w:type="character" w:customStyle="1" w:styleId="journalname">
    <w:name w:val="journalname"/>
    <w:basedOn w:val="DefaultParagraphFont"/>
    <w:rsid w:val="00702C5C"/>
  </w:style>
  <w:style w:type="character" w:customStyle="1" w:styleId="journalnumber">
    <w:name w:val="journalnumber"/>
    <w:basedOn w:val="DefaultParagraphFont"/>
    <w:rsid w:val="00702C5C"/>
  </w:style>
  <w:style w:type="character" w:customStyle="1" w:styleId="cite-pages">
    <w:name w:val="cite-pages"/>
    <w:basedOn w:val="DefaultParagraphFont"/>
    <w:rsid w:val="00702C5C"/>
  </w:style>
  <w:style w:type="character" w:customStyle="1" w:styleId="cite-month-year">
    <w:name w:val="cite-month-year"/>
    <w:basedOn w:val="DefaultParagraphFont"/>
    <w:rsid w:val="00702C5C"/>
  </w:style>
  <w:style w:type="paragraph" w:customStyle="1" w:styleId="ParaNoNumber">
    <w:name w:val="ParaNoNumber"/>
    <w:basedOn w:val="Normal"/>
    <w:next w:val="Normal"/>
    <w:rsid w:val="00702C5C"/>
    <w:pPr>
      <w:widowControl/>
      <w:spacing w:before="240" w:after="240"/>
      <w:jc w:val="both"/>
    </w:pPr>
    <w:rPr>
      <w:rFonts w:ascii="Times New Roman" w:hAnsi="Times New Roman" w:cs="Times New Roman"/>
      <w:kern w:val="0"/>
      <w:szCs w:val="20"/>
      <w:lang w:val="en-GB" w:eastAsia="en-US"/>
    </w:rPr>
  </w:style>
  <w:style w:type="paragraph" w:customStyle="1" w:styleId="ParaLevel1">
    <w:name w:val="ParaLevel1"/>
    <w:basedOn w:val="Normal"/>
    <w:rsid w:val="00702C5C"/>
    <w:pPr>
      <w:widowControl/>
      <w:numPr>
        <w:numId w:val="5"/>
      </w:numPr>
      <w:suppressAutoHyphens/>
      <w:spacing w:before="240" w:after="240"/>
      <w:jc w:val="both"/>
      <w:outlineLvl w:val="0"/>
    </w:pPr>
    <w:rPr>
      <w:rFonts w:ascii="Times New Roman" w:hAnsi="Times New Roman" w:cs="Times New Roman"/>
      <w:kern w:val="0"/>
      <w:szCs w:val="20"/>
      <w:lang w:val="en-GB" w:eastAsia="en-US"/>
    </w:rPr>
  </w:style>
  <w:style w:type="paragraph" w:customStyle="1" w:styleId="ParaLevel2">
    <w:name w:val="ParaLevel2"/>
    <w:basedOn w:val="Normal"/>
    <w:rsid w:val="00702C5C"/>
    <w:pPr>
      <w:widowControl/>
      <w:numPr>
        <w:ilvl w:val="1"/>
        <w:numId w:val="5"/>
      </w:numPr>
      <w:suppressAutoHyphens/>
      <w:spacing w:before="240" w:after="240"/>
      <w:jc w:val="both"/>
      <w:outlineLvl w:val="1"/>
    </w:pPr>
    <w:rPr>
      <w:rFonts w:ascii="Times New Roman" w:hAnsi="Times New Roman" w:cs="Times New Roman"/>
      <w:kern w:val="0"/>
      <w:szCs w:val="20"/>
      <w:lang w:val="en-GB" w:eastAsia="en-US"/>
    </w:rPr>
  </w:style>
  <w:style w:type="paragraph" w:customStyle="1" w:styleId="ParaLevel3">
    <w:name w:val="ParaLevel3"/>
    <w:basedOn w:val="Normal"/>
    <w:rsid w:val="00702C5C"/>
    <w:pPr>
      <w:widowControl/>
      <w:numPr>
        <w:ilvl w:val="2"/>
        <w:numId w:val="5"/>
      </w:numPr>
      <w:suppressAutoHyphens/>
      <w:spacing w:before="240" w:after="240"/>
      <w:jc w:val="both"/>
      <w:outlineLvl w:val="2"/>
    </w:pPr>
    <w:rPr>
      <w:rFonts w:ascii="Times New Roman" w:hAnsi="Times New Roman" w:cs="Times New Roman"/>
      <w:kern w:val="0"/>
      <w:szCs w:val="20"/>
      <w:lang w:val="en-GB" w:eastAsia="en-US"/>
    </w:rPr>
  </w:style>
  <w:style w:type="paragraph" w:customStyle="1" w:styleId="ParaLevel4">
    <w:name w:val="ParaLevel4"/>
    <w:basedOn w:val="Normal"/>
    <w:rsid w:val="00702C5C"/>
    <w:pPr>
      <w:widowControl/>
      <w:numPr>
        <w:ilvl w:val="3"/>
        <w:numId w:val="5"/>
      </w:numPr>
      <w:tabs>
        <w:tab w:val="num" w:pos="2836"/>
      </w:tabs>
      <w:suppressAutoHyphens/>
      <w:spacing w:before="240" w:after="240"/>
      <w:jc w:val="both"/>
      <w:outlineLvl w:val="3"/>
    </w:pPr>
    <w:rPr>
      <w:rFonts w:ascii="Times New Roman" w:hAnsi="Times New Roman" w:cs="Times New Roman"/>
      <w:kern w:val="0"/>
      <w:szCs w:val="20"/>
      <w:lang w:val="en-GB" w:eastAsia="en-US"/>
    </w:rPr>
  </w:style>
  <w:style w:type="paragraph" w:customStyle="1" w:styleId="ParaLevel5">
    <w:name w:val="ParaLevel5"/>
    <w:basedOn w:val="Normal"/>
    <w:rsid w:val="00702C5C"/>
    <w:pPr>
      <w:widowControl/>
      <w:numPr>
        <w:ilvl w:val="4"/>
        <w:numId w:val="5"/>
      </w:numPr>
      <w:suppressAutoHyphens/>
      <w:spacing w:before="240" w:after="240"/>
      <w:jc w:val="both"/>
      <w:outlineLvl w:val="4"/>
    </w:pPr>
    <w:rPr>
      <w:rFonts w:ascii="Times New Roman" w:hAnsi="Times New Roman" w:cs="Times New Roman"/>
      <w:kern w:val="0"/>
      <w:szCs w:val="20"/>
      <w:lang w:val="en-GB" w:eastAsia="en-US"/>
    </w:rPr>
  </w:style>
  <w:style w:type="paragraph" w:customStyle="1" w:styleId="ParaLevel6">
    <w:name w:val="ParaLevel6"/>
    <w:basedOn w:val="Normal"/>
    <w:rsid w:val="00702C5C"/>
    <w:pPr>
      <w:widowControl/>
      <w:numPr>
        <w:ilvl w:val="5"/>
        <w:numId w:val="5"/>
      </w:numPr>
      <w:tabs>
        <w:tab w:val="num" w:pos="4254"/>
      </w:tabs>
      <w:suppressAutoHyphens/>
      <w:spacing w:before="240" w:after="240"/>
      <w:jc w:val="both"/>
      <w:outlineLvl w:val="5"/>
    </w:pPr>
    <w:rPr>
      <w:rFonts w:ascii="Times New Roman" w:hAnsi="Times New Roman" w:cs="Times New Roman"/>
      <w:kern w:val="0"/>
      <w:szCs w:val="20"/>
      <w:lang w:val="en-GB" w:eastAsia="en-US"/>
    </w:rPr>
  </w:style>
  <w:style w:type="paragraph" w:customStyle="1" w:styleId="ParaLevel7">
    <w:name w:val="ParaLevel7"/>
    <w:basedOn w:val="Normal"/>
    <w:rsid w:val="00702C5C"/>
    <w:pPr>
      <w:widowControl/>
      <w:numPr>
        <w:ilvl w:val="6"/>
        <w:numId w:val="5"/>
      </w:numPr>
      <w:suppressAutoHyphens/>
      <w:spacing w:before="240" w:after="240"/>
      <w:jc w:val="both"/>
      <w:outlineLvl w:val="6"/>
    </w:pPr>
    <w:rPr>
      <w:rFonts w:ascii="Times New Roman" w:hAnsi="Times New Roman" w:cs="Times New Roman"/>
      <w:kern w:val="0"/>
      <w:szCs w:val="20"/>
      <w:lang w:val="en-GB" w:eastAsia="en-US"/>
    </w:rPr>
  </w:style>
  <w:style w:type="paragraph" w:customStyle="1" w:styleId="ParaLevel8">
    <w:name w:val="ParaLevel8"/>
    <w:basedOn w:val="Normal"/>
    <w:rsid w:val="00702C5C"/>
    <w:pPr>
      <w:widowControl/>
      <w:numPr>
        <w:ilvl w:val="7"/>
        <w:numId w:val="5"/>
      </w:numPr>
      <w:tabs>
        <w:tab w:val="num" w:pos="5672"/>
      </w:tabs>
      <w:suppressAutoHyphens/>
      <w:spacing w:before="240" w:after="240"/>
      <w:jc w:val="both"/>
      <w:outlineLvl w:val="7"/>
    </w:pPr>
    <w:rPr>
      <w:rFonts w:ascii="Times New Roman" w:hAnsi="Times New Roman" w:cs="Times New Roman"/>
      <w:kern w:val="0"/>
      <w:szCs w:val="20"/>
      <w:lang w:val="en-GB" w:eastAsia="en-US"/>
    </w:rPr>
  </w:style>
  <w:style w:type="paragraph" w:customStyle="1" w:styleId="ParaLevel9">
    <w:name w:val="ParaLevel9"/>
    <w:basedOn w:val="Normal"/>
    <w:rsid w:val="00702C5C"/>
    <w:pPr>
      <w:widowControl/>
      <w:numPr>
        <w:ilvl w:val="8"/>
        <w:numId w:val="5"/>
      </w:numPr>
      <w:suppressAutoHyphens/>
      <w:spacing w:before="240" w:after="240"/>
      <w:jc w:val="both"/>
      <w:outlineLvl w:val="8"/>
    </w:pPr>
    <w:rPr>
      <w:rFonts w:ascii="Times New Roman" w:hAnsi="Times New Roman" w:cs="Times New Roman"/>
      <w:kern w:val="0"/>
      <w:szCs w:val="20"/>
      <w:lang w:val="en-GB" w:eastAsia="en-US"/>
    </w:rPr>
  </w:style>
  <w:style w:type="character" w:customStyle="1" w:styleId="searchterm1">
    <w:name w:val="searchterm1"/>
    <w:basedOn w:val="DefaultParagraphFont"/>
    <w:rsid w:val="00702C5C"/>
    <w:rPr>
      <w:b/>
      <w:bCs/>
      <w:shd w:val="clear" w:color="auto" w:fill="FFFF00"/>
    </w:rPr>
  </w:style>
  <w:style w:type="character" w:styleId="HTMLAcronym">
    <w:name w:val="HTML Acronym"/>
    <w:basedOn w:val="DefaultParagraphFont"/>
    <w:uiPriority w:val="99"/>
    <w:semiHidden/>
    <w:unhideWhenUsed/>
    <w:rsid w:val="00702C5C"/>
  </w:style>
  <w:style w:type="character" w:customStyle="1" w:styleId="ipa">
    <w:name w:val="ipa"/>
    <w:basedOn w:val="DefaultParagraphFont"/>
    <w:rsid w:val="00702C5C"/>
  </w:style>
  <w:style w:type="character" w:customStyle="1" w:styleId="unicode">
    <w:name w:val="unicode"/>
    <w:basedOn w:val="DefaultParagraphFont"/>
    <w:rsid w:val="00702C5C"/>
  </w:style>
  <w:style w:type="character" w:customStyle="1" w:styleId="nocaps">
    <w:name w:val="nocaps"/>
    <w:basedOn w:val="DefaultParagraphFont"/>
    <w:rsid w:val="00702C5C"/>
  </w:style>
  <w:style w:type="character" w:customStyle="1" w:styleId="legchangedelimiter">
    <w:name w:val="legchangedelimiter"/>
    <w:basedOn w:val="DefaultParagraphFont"/>
    <w:rsid w:val="00702C5C"/>
  </w:style>
  <w:style w:type="character" w:customStyle="1" w:styleId="legaddition">
    <w:name w:val="legaddition"/>
    <w:basedOn w:val="DefaultParagraphFont"/>
    <w:rsid w:val="00702C5C"/>
  </w:style>
  <w:style w:type="paragraph" w:customStyle="1" w:styleId="Normal2">
    <w:name w:val="Normal2"/>
    <w:basedOn w:val="Normal"/>
    <w:rsid w:val="008156B2"/>
    <w:pPr>
      <w:widowControl/>
      <w:spacing w:before="100" w:beforeAutospacing="1" w:after="100" w:afterAutospacing="1"/>
    </w:pPr>
    <w:rPr>
      <w:rFonts w:ascii="Times New Roman" w:eastAsia="Times New Roman" w:hAnsi="Times New Roman" w:cs="Times New Roman"/>
      <w:kern w:val="0"/>
      <w:szCs w:val="24"/>
      <w:lang w:eastAsia="en-US"/>
    </w:rPr>
  </w:style>
  <w:style w:type="character" w:customStyle="1" w:styleId="ref-journal">
    <w:name w:val="ref-journal"/>
    <w:basedOn w:val="DefaultParagraphFont"/>
    <w:rsid w:val="00B26606"/>
  </w:style>
  <w:style w:type="character" w:customStyle="1" w:styleId="ref-vol">
    <w:name w:val="ref-vol"/>
    <w:basedOn w:val="DefaultParagraphFont"/>
    <w:rsid w:val="00B26606"/>
  </w:style>
  <w:style w:type="paragraph" w:styleId="BodyText">
    <w:name w:val="Body Text"/>
    <w:basedOn w:val="Normal"/>
    <w:link w:val="BodyTextChar"/>
    <w:rsid w:val="00915161"/>
    <w:pPr>
      <w:widowControl/>
      <w:overflowPunct w:val="0"/>
      <w:autoSpaceDE w:val="0"/>
      <w:autoSpaceDN w:val="0"/>
      <w:adjustRightInd w:val="0"/>
      <w:spacing w:after="120"/>
      <w:jc w:val="both"/>
      <w:textAlignment w:val="baseline"/>
    </w:pPr>
    <w:rPr>
      <w:rFonts w:ascii="Times New Roman" w:eastAsia="新細明體" w:hAnsi="Times New Roman" w:cs="Times New Roman"/>
      <w:kern w:val="0"/>
      <w:sz w:val="26"/>
      <w:szCs w:val="20"/>
      <w:lang w:val="en-GB"/>
    </w:rPr>
  </w:style>
  <w:style w:type="character" w:customStyle="1" w:styleId="BodyTextChar">
    <w:name w:val="Body Text Char"/>
    <w:basedOn w:val="DefaultParagraphFont"/>
    <w:link w:val="BodyText"/>
    <w:rsid w:val="00915161"/>
    <w:rPr>
      <w:rFonts w:ascii="Times New Roman" w:eastAsia="新細明體" w:hAnsi="Times New Roman" w:cs="Times New Roman"/>
      <w:kern w:val="0"/>
      <w:sz w:val="26"/>
      <w:szCs w:val="20"/>
      <w:lang w:val="en-GB"/>
    </w:rPr>
  </w:style>
  <w:style w:type="numbering" w:customStyle="1" w:styleId="ImportedStyle1">
    <w:name w:val="Imported Style 1"/>
    <w:rsid w:val="00E773F6"/>
    <w:pPr>
      <w:numPr>
        <w:numId w:val="95"/>
      </w:numPr>
    </w:pPr>
  </w:style>
  <w:style w:type="paragraph" w:styleId="NormalIndent">
    <w:name w:val="Normal Indent"/>
    <w:basedOn w:val="Normal"/>
    <w:rsid w:val="00AA24D6"/>
    <w:pPr>
      <w:widowControl/>
      <w:snapToGrid w:val="0"/>
      <w:ind w:left="480"/>
      <w:jc w:val="both"/>
    </w:pPr>
    <w:rPr>
      <w:rFonts w:ascii="Arial" w:eastAsia="新細明體" w:hAnsi="Arial" w:cs="Times New Roman"/>
      <w:kern w:val="0"/>
      <w:szCs w:val="20"/>
      <w:lang w:val="en-GB"/>
    </w:rPr>
  </w:style>
  <w:style w:type="character" w:styleId="HTMLCite">
    <w:name w:val="HTML Cite"/>
    <w:basedOn w:val="DefaultParagraphFont"/>
    <w:uiPriority w:val="99"/>
    <w:semiHidden/>
    <w:unhideWhenUsed/>
    <w:rsid w:val="00CC7691"/>
    <w:rPr>
      <w:i/>
      <w:iCs/>
    </w:rPr>
  </w:style>
  <w:style w:type="character" w:customStyle="1" w:styleId="nowrap">
    <w:name w:val="nowrap"/>
    <w:basedOn w:val="DefaultParagraphFont"/>
    <w:rsid w:val="00CC7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B2"/>
    <w:pPr>
      <w:widowControl w:val="0"/>
    </w:pPr>
  </w:style>
  <w:style w:type="paragraph" w:styleId="Heading1">
    <w:name w:val="heading 1"/>
    <w:basedOn w:val="Normal"/>
    <w:link w:val="Heading1Char"/>
    <w:uiPriority w:val="9"/>
    <w:qFormat/>
    <w:rsid w:val="00702C5C"/>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02C5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702C5C"/>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link w:val="Heading4Char"/>
    <w:uiPriority w:val="9"/>
    <w:qFormat/>
    <w:rsid w:val="00702C5C"/>
    <w:pPr>
      <w:widowControl/>
      <w:spacing w:before="100" w:beforeAutospacing="1" w:after="100" w:afterAutospacing="1"/>
      <w:outlineLvl w:val="3"/>
    </w:pPr>
    <w:rPr>
      <w:rFonts w:ascii="Georgia" w:eastAsia="Times New Roman" w:hAnsi="Georgia" w:cs="Times New Roman"/>
      <w:color w:val="7D7864"/>
      <w:kern w:val="0"/>
      <w:sz w:val="31"/>
      <w:szCs w:val="31"/>
    </w:rPr>
  </w:style>
  <w:style w:type="paragraph" w:styleId="Heading8">
    <w:name w:val="heading 8"/>
    <w:basedOn w:val="Normal"/>
    <w:next w:val="Normal"/>
    <w:link w:val="Heading8Char"/>
    <w:uiPriority w:val="9"/>
    <w:semiHidden/>
    <w:unhideWhenUsed/>
    <w:qFormat/>
    <w:rsid w:val="00702C5C"/>
    <w:pPr>
      <w:keepNext/>
      <w:spacing w:line="720" w:lineRule="auto"/>
      <w:ind w:leftChars="400" w:left="400"/>
      <w:outlineLvl w:val="7"/>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702C5C"/>
    <w:pPr>
      <w:snapToGrid w:val="0"/>
    </w:pPr>
    <w:rPr>
      <w:rFonts w:ascii="Calibri" w:eastAsia="新細明體" w:hAnsi="Calibri" w:cs="Times New Roman"/>
      <w:sz w:val="20"/>
      <w:szCs w:val="20"/>
      <w:lang w:val="x-none" w:eastAsia="x-none"/>
    </w:rPr>
  </w:style>
  <w:style w:type="character" w:customStyle="1" w:styleId="FootnoteTextChar">
    <w:name w:val="Footnote Text Char"/>
    <w:aliases w:val=" Char Char,Char Char"/>
    <w:basedOn w:val="DefaultParagraphFont"/>
    <w:link w:val="FootnoteText"/>
    <w:uiPriority w:val="99"/>
    <w:rsid w:val="00702C5C"/>
    <w:rPr>
      <w:rFonts w:ascii="Calibri" w:eastAsia="新細明體" w:hAnsi="Calibri" w:cs="Times New Roman"/>
      <w:sz w:val="20"/>
      <w:szCs w:val="20"/>
      <w:lang w:val="x-none" w:eastAsia="x-none"/>
    </w:rPr>
  </w:style>
  <w:style w:type="character" w:styleId="FootnoteReference">
    <w:name w:val="footnote reference"/>
    <w:uiPriority w:val="99"/>
    <w:unhideWhenUsed/>
    <w:rsid w:val="00702C5C"/>
    <w:rPr>
      <w:vertAlign w:val="superscript"/>
    </w:rPr>
  </w:style>
  <w:style w:type="character" w:styleId="Hyperlink">
    <w:name w:val="Hyperlink"/>
    <w:uiPriority w:val="99"/>
    <w:unhideWhenUsed/>
    <w:rsid w:val="00702C5C"/>
    <w:rPr>
      <w:color w:val="0000FF"/>
      <w:u w:val="single"/>
    </w:rPr>
  </w:style>
  <w:style w:type="character" w:customStyle="1" w:styleId="apple-converted-space">
    <w:name w:val="apple-converted-space"/>
    <w:rsid w:val="00702C5C"/>
  </w:style>
  <w:style w:type="paragraph" w:styleId="ListParagraph">
    <w:name w:val="List Paragraph"/>
    <w:basedOn w:val="Normal"/>
    <w:uiPriority w:val="34"/>
    <w:qFormat/>
    <w:rsid w:val="00702C5C"/>
    <w:pPr>
      <w:ind w:leftChars="200" w:left="480"/>
    </w:pPr>
    <w:rPr>
      <w:rFonts w:ascii="Calibri" w:eastAsia="新細明體" w:hAnsi="Calibri" w:cs="Times New Roman"/>
    </w:rPr>
  </w:style>
  <w:style w:type="character" w:customStyle="1" w:styleId="Heading1Char">
    <w:name w:val="Heading 1 Char"/>
    <w:basedOn w:val="DefaultParagraphFont"/>
    <w:link w:val="Heading1"/>
    <w:uiPriority w:val="9"/>
    <w:rsid w:val="00702C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2C5C"/>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702C5C"/>
    <w:rPr>
      <w:rFonts w:asciiTheme="majorHAnsi" w:eastAsiaTheme="majorEastAsia" w:hAnsiTheme="majorHAnsi" w:cstheme="majorBidi"/>
      <w:b/>
      <w:bCs/>
      <w:sz w:val="36"/>
      <w:szCs w:val="36"/>
    </w:rPr>
  </w:style>
  <w:style w:type="character" w:customStyle="1" w:styleId="Heading8Char">
    <w:name w:val="Heading 8 Char"/>
    <w:basedOn w:val="DefaultParagraphFont"/>
    <w:link w:val="Heading8"/>
    <w:uiPriority w:val="9"/>
    <w:semiHidden/>
    <w:rsid w:val="00702C5C"/>
    <w:rPr>
      <w:rFonts w:asciiTheme="majorHAnsi" w:eastAsiaTheme="majorEastAsia" w:hAnsiTheme="majorHAnsi" w:cstheme="majorBidi"/>
      <w:sz w:val="36"/>
      <w:szCs w:val="36"/>
    </w:rPr>
  </w:style>
  <w:style w:type="paragraph" w:styleId="BalloonText">
    <w:name w:val="Balloon Text"/>
    <w:basedOn w:val="Normal"/>
    <w:link w:val="BalloonTextChar"/>
    <w:uiPriority w:val="99"/>
    <w:semiHidden/>
    <w:unhideWhenUsed/>
    <w:rsid w:val="00702C5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02C5C"/>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702C5C"/>
    <w:pPr>
      <w:tabs>
        <w:tab w:val="center" w:pos="4153"/>
        <w:tab w:val="right" w:pos="8306"/>
      </w:tabs>
      <w:snapToGrid w:val="0"/>
    </w:pPr>
    <w:rPr>
      <w:rFonts w:ascii="Calibri" w:eastAsia="新細明體" w:hAnsi="Calibri" w:cs="Times New Roman"/>
      <w:sz w:val="20"/>
      <w:szCs w:val="20"/>
    </w:rPr>
  </w:style>
  <w:style w:type="character" w:customStyle="1" w:styleId="HeaderChar">
    <w:name w:val="Header Char"/>
    <w:basedOn w:val="DefaultParagraphFont"/>
    <w:link w:val="Header"/>
    <w:uiPriority w:val="99"/>
    <w:rsid w:val="00702C5C"/>
    <w:rPr>
      <w:rFonts w:ascii="Calibri" w:eastAsia="新細明體" w:hAnsi="Calibri" w:cs="Times New Roman"/>
      <w:sz w:val="20"/>
      <w:szCs w:val="20"/>
    </w:rPr>
  </w:style>
  <w:style w:type="paragraph" w:styleId="Footer">
    <w:name w:val="footer"/>
    <w:basedOn w:val="Normal"/>
    <w:link w:val="FooterChar"/>
    <w:uiPriority w:val="99"/>
    <w:unhideWhenUsed/>
    <w:rsid w:val="00702C5C"/>
    <w:pPr>
      <w:tabs>
        <w:tab w:val="center" w:pos="4153"/>
        <w:tab w:val="right" w:pos="8306"/>
      </w:tabs>
      <w:snapToGrid w:val="0"/>
    </w:pPr>
    <w:rPr>
      <w:rFonts w:ascii="Calibri" w:eastAsia="新細明體" w:hAnsi="Calibri" w:cs="Times New Roman"/>
      <w:sz w:val="20"/>
      <w:szCs w:val="20"/>
    </w:rPr>
  </w:style>
  <w:style w:type="character" w:customStyle="1" w:styleId="FooterChar">
    <w:name w:val="Footer Char"/>
    <w:basedOn w:val="DefaultParagraphFont"/>
    <w:link w:val="Footer"/>
    <w:uiPriority w:val="99"/>
    <w:rsid w:val="00702C5C"/>
    <w:rPr>
      <w:rFonts w:ascii="Calibri" w:eastAsia="新細明體" w:hAnsi="Calibri" w:cs="Times New Roman"/>
      <w:sz w:val="20"/>
      <w:szCs w:val="20"/>
    </w:rPr>
  </w:style>
  <w:style w:type="paragraph" w:customStyle="1" w:styleId="docref">
    <w:name w:val="docref"/>
    <w:basedOn w:val="Normal"/>
    <w:rsid w:val="00702C5C"/>
    <w:pPr>
      <w:widowControl/>
      <w:spacing w:before="100" w:beforeAutospacing="1" w:after="100" w:afterAutospacing="1"/>
    </w:pPr>
    <w:rPr>
      <w:rFonts w:ascii="Times New Roman" w:eastAsia="Times New Roman" w:hAnsi="Times New Roman" w:cs="Times New Roman"/>
      <w:kern w:val="0"/>
      <w:szCs w:val="24"/>
    </w:rPr>
  </w:style>
  <w:style w:type="character" w:customStyle="1" w:styleId="provisionalversion">
    <w:name w:val="provisionalversion"/>
    <w:basedOn w:val="DefaultParagraphFont"/>
    <w:rsid w:val="00702C5C"/>
  </w:style>
  <w:style w:type="character" w:customStyle="1" w:styleId="enum-style">
    <w:name w:val="enum-style"/>
    <w:basedOn w:val="DefaultParagraphFont"/>
    <w:rsid w:val="00702C5C"/>
  </w:style>
  <w:style w:type="character" w:styleId="FollowedHyperlink">
    <w:name w:val="FollowedHyperlink"/>
    <w:basedOn w:val="DefaultParagraphFont"/>
    <w:uiPriority w:val="99"/>
    <w:semiHidden/>
    <w:unhideWhenUsed/>
    <w:rsid w:val="00702C5C"/>
    <w:rPr>
      <w:color w:val="800080" w:themeColor="followedHyperlink"/>
      <w:u w:val="single"/>
    </w:rPr>
  </w:style>
  <w:style w:type="paragraph" w:styleId="NormalWeb">
    <w:name w:val="Normal (Web)"/>
    <w:basedOn w:val="Normal"/>
    <w:uiPriority w:val="99"/>
    <w:semiHidden/>
    <w:unhideWhenUsed/>
    <w:rsid w:val="00702C5C"/>
    <w:pPr>
      <w:widowControl/>
      <w:spacing w:before="100" w:beforeAutospacing="1" w:after="100" w:afterAutospacing="1"/>
    </w:pPr>
    <w:rPr>
      <w:rFonts w:ascii="Times New Roman" w:eastAsia="Times New Roman" w:hAnsi="Times New Roman" w:cs="Times New Roman"/>
      <w:kern w:val="0"/>
      <w:szCs w:val="24"/>
    </w:rPr>
  </w:style>
  <w:style w:type="character" w:customStyle="1" w:styleId="sb8d990e2">
    <w:name w:val="sb8d990e2"/>
    <w:basedOn w:val="DefaultParagraphFont"/>
    <w:rsid w:val="00702C5C"/>
  </w:style>
  <w:style w:type="paragraph" w:customStyle="1" w:styleId="s30eec3f8">
    <w:name w:val="s30eec3f8"/>
    <w:basedOn w:val="Normal"/>
    <w:rsid w:val="00702C5C"/>
    <w:pPr>
      <w:widowControl/>
      <w:spacing w:before="100" w:beforeAutospacing="1" w:after="100" w:afterAutospacing="1"/>
    </w:pPr>
    <w:rPr>
      <w:rFonts w:ascii="Times New Roman" w:eastAsia="Times New Roman" w:hAnsi="Times New Roman" w:cs="Times New Roman"/>
      <w:kern w:val="0"/>
      <w:szCs w:val="24"/>
    </w:rPr>
  </w:style>
  <w:style w:type="paragraph" w:styleId="BodyTextIndent">
    <w:name w:val="Body Text Indent"/>
    <w:basedOn w:val="Normal"/>
    <w:link w:val="BodyTextIndentChar"/>
    <w:semiHidden/>
    <w:rsid w:val="00702C5C"/>
    <w:pPr>
      <w:widowControl/>
      <w:ind w:left="1440"/>
    </w:pPr>
    <w:rPr>
      <w:rFonts w:ascii="Times New Roman" w:hAnsi="Times New Roman" w:cs="Times New Roman"/>
      <w:kern w:val="0"/>
      <w:szCs w:val="20"/>
      <w:lang w:val="en-GB"/>
    </w:rPr>
  </w:style>
  <w:style w:type="character" w:customStyle="1" w:styleId="BodyTextIndentChar">
    <w:name w:val="Body Text Indent Char"/>
    <w:basedOn w:val="DefaultParagraphFont"/>
    <w:link w:val="BodyTextIndent"/>
    <w:semiHidden/>
    <w:rsid w:val="00702C5C"/>
    <w:rPr>
      <w:rFonts w:ascii="Times New Roman" w:hAnsi="Times New Roman" w:cs="Times New Roman"/>
      <w:kern w:val="0"/>
      <w:szCs w:val="20"/>
      <w:lang w:val="en-GB"/>
    </w:rPr>
  </w:style>
  <w:style w:type="paragraph" w:customStyle="1" w:styleId="indent11">
    <w:name w:val="indent11"/>
    <w:basedOn w:val="Normal"/>
    <w:rsid w:val="00702C5C"/>
    <w:pPr>
      <w:widowControl/>
    </w:pPr>
    <w:rPr>
      <w:rFonts w:ascii="Times New Roman" w:eastAsia="Times New Roman" w:hAnsi="Times New Roman" w:cs="Times New Roman"/>
      <w:kern w:val="0"/>
      <w:szCs w:val="24"/>
    </w:rPr>
  </w:style>
  <w:style w:type="character" w:styleId="Emphasis">
    <w:name w:val="Emphasis"/>
    <w:basedOn w:val="DefaultParagraphFont"/>
    <w:uiPriority w:val="20"/>
    <w:qFormat/>
    <w:rsid w:val="00702C5C"/>
    <w:rPr>
      <w:i/>
      <w:iCs/>
    </w:rPr>
  </w:style>
  <w:style w:type="character" w:customStyle="1" w:styleId="a0">
    <w:name w:val="a"/>
    <w:basedOn w:val="DefaultParagraphFont"/>
    <w:rsid w:val="00702C5C"/>
  </w:style>
  <w:style w:type="paragraph" w:customStyle="1" w:styleId="loose">
    <w:name w:val="loose"/>
    <w:basedOn w:val="Normal"/>
    <w:rsid w:val="00702C5C"/>
    <w:pPr>
      <w:widowControl/>
      <w:spacing w:before="210"/>
    </w:pPr>
    <w:rPr>
      <w:rFonts w:ascii="Times New Roman" w:eastAsia="Times New Roman" w:hAnsi="Times New Roman" w:cs="Times New Roman"/>
      <w:kern w:val="0"/>
      <w:szCs w:val="24"/>
    </w:rPr>
  </w:style>
  <w:style w:type="character" w:customStyle="1" w:styleId="verdana1">
    <w:name w:val="verdana1"/>
    <w:basedOn w:val="DefaultParagraphFont"/>
    <w:rsid w:val="00702C5C"/>
    <w:rPr>
      <w:rFonts w:ascii="Verdana" w:hAnsi="Verdana" w:hint="default"/>
    </w:rPr>
  </w:style>
  <w:style w:type="character" w:customStyle="1" w:styleId="italic1">
    <w:name w:val="italic1"/>
    <w:basedOn w:val="DefaultParagraphFont"/>
    <w:rsid w:val="00702C5C"/>
    <w:rPr>
      <w:i/>
      <w:iCs/>
    </w:rPr>
  </w:style>
  <w:style w:type="character" w:customStyle="1" w:styleId="s6b621b36">
    <w:name w:val="s6b621b36"/>
    <w:basedOn w:val="DefaultParagraphFont"/>
    <w:rsid w:val="00702C5C"/>
  </w:style>
  <w:style w:type="character" w:customStyle="1" w:styleId="sfbbfee58">
    <w:name w:val="sfbbfee58"/>
    <w:basedOn w:val="DefaultParagraphFont"/>
    <w:rsid w:val="00702C5C"/>
  </w:style>
  <w:style w:type="character" w:customStyle="1" w:styleId="wordhighlighted">
    <w:name w:val="wordhighlighted"/>
    <w:basedOn w:val="DefaultParagraphFont"/>
    <w:rsid w:val="00702C5C"/>
  </w:style>
  <w:style w:type="character" w:customStyle="1" w:styleId="s1a844bc0">
    <w:name w:val="s1a844bc0"/>
    <w:basedOn w:val="DefaultParagraphFont"/>
    <w:rsid w:val="00702C5C"/>
  </w:style>
  <w:style w:type="paragraph" w:customStyle="1" w:styleId="Default">
    <w:name w:val="Default"/>
    <w:rsid w:val="00702C5C"/>
    <w:pPr>
      <w:widowControl w:val="0"/>
      <w:autoSpaceDE w:val="0"/>
      <w:autoSpaceDN w:val="0"/>
      <w:adjustRightInd w:val="0"/>
    </w:pPr>
    <w:rPr>
      <w:rFonts w:ascii="Times New Roman" w:hAnsi="Times New Roman" w:cs="Times New Roman"/>
      <w:color w:val="000000"/>
      <w:kern w:val="0"/>
      <w:szCs w:val="24"/>
    </w:rPr>
  </w:style>
  <w:style w:type="table" w:styleId="TableGrid">
    <w:name w:val="Table Grid"/>
    <w:basedOn w:val="TableNormal"/>
    <w:uiPriority w:val="59"/>
    <w:rsid w:val="00702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746c8714">
    <w:name w:val="s746c8714"/>
    <w:basedOn w:val="Normal"/>
    <w:rsid w:val="00702C5C"/>
    <w:pPr>
      <w:widowControl/>
      <w:spacing w:before="100" w:beforeAutospacing="1" w:after="100" w:afterAutospacing="1"/>
    </w:pPr>
    <w:rPr>
      <w:rFonts w:ascii="Times New Roman" w:eastAsia="Times New Roman" w:hAnsi="Times New Roman" w:cs="Times New Roman"/>
      <w:kern w:val="0"/>
      <w:szCs w:val="24"/>
    </w:rPr>
  </w:style>
  <w:style w:type="character" w:styleId="Strong">
    <w:name w:val="Strong"/>
    <w:basedOn w:val="DefaultParagraphFont"/>
    <w:uiPriority w:val="22"/>
    <w:qFormat/>
    <w:rsid w:val="00702C5C"/>
    <w:rPr>
      <w:b/>
      <w:bCs/>
    </w:rPr>
  </w:style>
  <w:style w:type="character" w:customStyle="1" w:styleId="lblnewstitle1">
    <w:name w:val="lblnewstitle1"/>
    <w:basedOn w:val="DefaultParagraphFont"/>
    <w:rsid w:val="00702C5C"/>
    <w:rPr>
      <w:b/>
      <w:bCs/>
      <w:sz w:val="29"/>
      <w:szCs w:val="29"/>
    </w:rPr>
  </w:style>
  <w:style w:type="character" w:customStyle="1" w:styleId="Heading4Char">
    <w:name w:val="Heading 4 Char"/>
    <w:basedOn w:val="DefaultParagraphFont"/>
    <w:link w:val="Heading4"/>
    <w:uiPriority w:val="9"/>
    <w:rsid w:val="00702C5C"/>
    <w:rPr>
      <w:rFonts w:ascii="Georgia" w:eastAsia="Times New Roman" w:hAnsi="Georgia" w:cs="Times New Roman"/>
      <w:color w:val="7D7864"/>
      <w:kern w:val="0"/>
      <w:sz w:val="31"/>
      <w:szCs w:val="31"/>
    </w:rPr>
  </w:style>
  <w:style w:type="paragraph" w:styleId="Date">
    <w:name w:val="Date"/>
    <w:basedOn w:val="Normal"/>
    <w:next w:val="Normal"/>
    <w:link w:val="DateChar"/>
    <w:uiPriority w:val="99"/>
    <w:semiHidden/>
    <w:unhideWhenUsed/>
    <w:rsid w:val="00702C5C"/>
    <w:pPr>
      <w:jc w:val="right"/>
    </w:pPr>
    <w:rPr>
      <w:rFonts w:ascii="Calibri" w:eastAsia="新細明體" w:hAnsi="Calibri" w:cs="Times New Roman"/>
      <w:lang w:val="x-none" w:eastAsia="x-none"/>
    </w:rPr>
  </w:style>
  <w:style w:type="character" w:customStyle="1" w:styleId="DateChar">
    <w:name w:val="Date Char"/>
    <w:basedOn w:val="DefaultParagraphFont"/>
    <w:link w:val="Date"/>
    <w:uiPriority w:val="99"/>
    <w:semiHidden/>
    <w:rsid w:val="00702C5C"/>
    <w:rPr>
      <w:rFonts w:ascii="Calibri" w:eastAsia="新細明體" w:hAnsi="Calibri" w:cs="Times New Roman"/>
      <w:lang w:val="x-none" w:eastAsia="x-none"/>
    </w:rPr>
  </w:style>
  <w:style w:type="paragraph" w:customStyle="1" w:styleId="a">
    <w:name w:val="符號點"/>
    <w:basedOn w:val="Normal"/>
    <w:rsid w:val="00702C5C"/>
    <w:pPr>
      <w:numPr>
        <w:numId w:val="4"/>
      </w:numPr>
    </w:pPr>
    <w:rPr>
      <w:rFonts w:ascii="Calibri" w:eastAsia="新細明體" w:hAnsi="Calibri" w:cs="Times New Roman"/>
    </w:rPr>
  </w:style>
  <w:style w:type="paragraph" w:styleId="EndnoteText">
    <w:name w:val="endnote text"/>
    <w:basedOn w:val="Normal"/>
    <w:link w:val="EndnoteTextChar"/>
    <w:uiPriority w:val="99"/>
    <w:semiHidden/>
    <w:unhideWhenUsed/>
    <w:rsid w:val="00702C5C"/>
    <w:pPr>
      <w:snapToGrid w:val="0"/>
    </w:pPr>
    <w:rPr>
      <w:rFonts w:ascii="Calibri" w:eastAsia="新細明體" w:hAnsi="Calibri" w:cs="Times New Roman"/>
    </w:rPr>
  </w:style>
  <w:style w:type="character" w:customStyle="1" w:styleId="EndnoteTextChar">
    <w:name w:val="Endnote Text Char"/>
    <w:basedOn w:val="DefaultParagraphFont"/>
    <w:link w:val="EndnoteText"/>
    <w:uiPriority w:val="99"/>
    <w:semiHidden/>
    <w:rsid w:val="00702C5C"/>
    <w:rPr>
      <w:rFonts w:ascii="Calibri" w:eastAsia="新細明體" w:hAnsi="Calibri" w:cs="Times New Roman"/>
    </w:rPr>
  </w:style>
  <w:style w:type="character" w:styleId="EndnoteReference">
    <w:name w:val="endnote reference"/>
    <w:uiPriority w:val="99"/>
    <w:semiHidden/>
    <w:unhideWhenUsed/>
    <w:rsid w:val="00702C5C"/>
    <w:rPr>
      <w:vertAlign w:val="superscript"/>
    </w:rPr>
  </w:style>
  <w:style w:type="paragraph" w:customStyle="1" w:styleId="Normal1">
    <w:name w:val="Normal1"/>
    <w:basedOn w:val="Normal"/>
    <w:rsid w:val="00702C5C"/>
    <w:pPr>
      <w:widowControl/>
      <w:spacing w:before="100" w:beforeAutospacing="1" w:after="100" w:afterAutospacing="1"/>
    </w:pPr>
    <w:rPr>
      <w:rFonts w:ascii="Times New Roman" w:eastAsia="Times New Roman" w:hAnsi="Times New Roman" w:cs="Times New Roman"/>
      <w:kern w:val="0"/>
      <w:szCs w:val="24"/>
      <w:lang w:eastAsia="en-US"/>
    </w:rPr>
  </w:style>
  <w:style w:type="character" w:customStyle="1" w:styleId="footnote0020referencechar">
    <w:name w:val="footnote_0020reference__char"/>
    <w:basedOn w:val="DefaultParagraphFont"/>
    <w:rsid w:val="00702C5C"/>
  </w:style>
  <w:style w:type="character" w:customStyle="1" w:styleId="normalchar">
    <w:name w:val="normal__char"/>
    <w:basedOn w:val="DefaultParagraphFont"/>
    <w:rsid w:val="00702C5C"/>
  </w:style>
  <w:style w:type="paragraph" w:customStyle="1" w:styleId="default0">
    <w:name w:val="default"/>
    <w:basedOn w:val="Normal"/>
    <w:rsid w:val="00702C5C"/>
    <w:pPr>
      <w:widowControl/>
      <w:spacing w:before="100" w:beforeAutospacing="1" w:after="100" w:afterAutospacing="1"/>
    </w:pPr>
    <w:rPr>
      <w:rFonts w:ascii="Times New Roman" w:eastAsia="Times New Roman" w:hAnsi="Times New Roman" w:cs="Times New Roman"/>
      <w:kern w:val="0"/>
      <w:szCs w:val="24"/>
      <w:lang w:eastAsia="en-US"/>
    </w:rPr>
  </w:style>
  <w:style w:type="character" w:customStyle="1" w:styleId="defaultchar">
    <w:name w:val="default__char"/>
    <w:basedOn w:val="DefaultParagraphFont"/>
    <w:rsid w:val="00702C5C"/>
  </w:style>
  <w:style w:type="paragraph" w:customStyle="1" w:styleId="Pa2">
    <w:name w:val="Pa2"/>
    <w:basedOn w:val="Default"/>
    <w:next w:val="Default"/>
    <w:uiPriority w:val="99"/>
    <w:rsid w:val="00702C5C"/>
    <w:pPr>
      <w:spacing w:line="281" w:lineRule="atLeast"/>
    </w:pPr>
    <w:rPr>
      <w:rFonts w:ascii="Bliss 2 Light" w:eastAsia="Bliss 2 Light" w:hAnsi="Calibri"/>
      <w:color w:val="auto"/>
    </w:rPr>
  </w:style>
  <w:style w:type="paragraph" w:customStyle="1" w:styleId="dclabel">
    <w:name w:val="dclabel"/>
    <w:basedOn w:val="Normal"/>
    <w:rsid w:val="00702C5C"/>
    <w:pPr>
      <w:widowControl/>
      <w:spacing w:line="360" w:lineRule="auto"/>
    </w:pPr>
    <w:rPr>
      <w:rFonts w:ascii="Times New Roman" w:eastAsia="Times New Roman" w:hAnsi="Times New Roman" w:cs="Times New Roman"/>
      <w:color w:val="333333"/>
      <w:kern w:val="0"/>
      <w:szCs w:val="24"/>
    </w:rPr>
  </w:style>
  <w:style w:type="paragraph" w:customStyle="1" w:styleId="dcblock">
    <w:name w:val="dcblock"/>
    <w:basedOn w:val="Normal"/>
    <w:rsid w:val="00702C5C"/>
    <w:pPr>
      <w:widowControl/>
      <w:spacing w:line="360" w:lineRule="auto"/>
    </w:pPr>
    <w:rPr>
      <w:rFonts w:ascii="Times New Roman" w:eastAsia="Times New Roman" w:hAnsi="Times New Roman" w:cs="Times New Roman"/>
      <w:color w:val="333333"/>
      <w:kern w:val="0"/>
      <w:szCs w:val="24"/>
    </w:rPr>
  </w:style>
  <w:style w:type="paragraph" w:customStyle="1" w:styleId="Style">
    <w:name w:val="Style"/>
    <w:rsid w:val="00702C5C"/>
    <w:pPr>
      <w:widowControl w:val="0"/>
      <w:autoSpaceDE w:val="0"/>
      <w:autoSpaceDN w:val="0"/>
      <w:adjustRightInd w:val="0"/>
    </w:pPr>
    <w:rPr>
      <w:rFonts w:ascii="SimSun" w:eastAsia="SimSun" w:hAnsi="Calibri" w:cs="SimSun"/>
      <w:kern w:val="0"/>
      <w:szCs w:val="24"/>
    </w:rPr>
  </w:style>
  <w:style w:type="character" w:customStyle="1" w:styleId="citation">
    <w:name w:val="citation"/>
    <w:rsid w:val="00702C5C"/>
  </w:style>
  <w:style w:type="character" w:customStyle="1" w:styleId="reference-accessdate">
    <w:name w:val="reference-accessdate"/>
    <w:rsid w:val="00702C5C"/>
  </w:style>
  <w:style w:type="character" w:customStyle="1" w:styleId="blue1">
    <w:name w:val="blue1"/>
    <w:basedOn w:val="DefaultParagraphFont"/>
    <w:rsid w:val="00702C5C"/>
    <w:rPr>
      <w:color w:val="004B91"/>
    </w:rPr>
  </w:style>
  <w:style w:type="table" w:customStyle="1" w:styleId="TableGrid1">
    <w:name w:val="Table Grid1"/>
    <w:basedOn w:val="TableNormal"/>
    <w:next w:val="TableGrid"/>
    <w:uiPriority w:val="59"/>
    <w:rsid w:val="00702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Char2"/>
    <w:basedOn w:val="DefaultParagraphFont"/>
    <w:rsid w:val="00702C5C"/>
    <w:rPr>
      <w:rFonts w:ascii="Arial" w:eastAsia="新細明體" w:hAnsi="Arial"/>
      <w:b/>
      <w:i/>
      <w:sz w:val="24"/>
      <w:szCs w:val="24"/>
      <w:lang w:val="en-GB" w:eastAsia="zh-TW" w:bidi="ar-SA"/>
    </w:rPr>
  </w:style>
  <w:style w:type="paragraph" w:customStyle="1" w:styleId="BodyText1">
    <w:name w:val="Body Text1"/>
    <w:basedOn w:val="Normal"/>
    <w:rsid w:val="00702C5C"/>
    <w:pPr>
      <w:widowControl/>
      <w:spacing w:line="260" w:lineRule="exact"/>
    </w:pPr>
    <w:rPr>
      <w:rFonts w:ascii="Gill Sans MT" w:hAnsi="Gill Sans MT" w:cs="Times New Roman"/>
      <w:kern w:val="0"/>
      <w:sz w:val="22"/>
      <w:szCs w:val="20"/>
      <w:lang w:val="en-GB" w:eastAsia="en-GB"/>
    </w:rPr>
  </w:style>
  <w:style w:type="paragraph" w:styleId="Revision">
    <w:name w:val="Revision"/>
    <w:hidden/>
    <w:uiPriority w:val="99"/>
    <w:semiHidden/>
    <w:rsid w:val="00702C5C"/>
    <w:rPr>
      <w:rFonts w:ascii="Calibri" w:eastAsia="新細明體" w:hAnsi="Calibri" w:cs="Times New Roman"/>
    </w:rPr>
  </w:style>
  <w:style w:type="character" w:customStyle="1" w:styleId="author">
    <w:name w:val="author"/>
    <w:basedOn w:val="DefaultParagraphFont"/>
    <w:rsid w:val="00702C5C"/>
  </w:style>
  <w:style w:type="character" w:customStyle="1" w:styleId="journalname">
    <w:name w:val="journalname"/>
    <w:basedOn w:val="DefaultParagraphFont"/>
    <w:rsid w:val="00702C5C"/>
  </w:style>
  <w:style w:type="character" w:customStyle="1" w:styleId="journalnumber">
    <w:name w:val="journalnumber"/>
    <w:basedOn w:val="DefaultParagraphFont"/>
    <w:rsid w:val="00702C5C"/>
  </w:style>
  <w:style w:type="character" w:customStyle="1" w:styleId="cite-pages">
    <w:name w:val="cite-pages"/>
    <w:basedOn w:val="DefaultParagraphFont"/>
    <w:rsid w:val="00702C5C"/>
  </w:style>
  <w:style w:type="character" w:customStyle="1" w:styleId="cite-month-year">
    <w:name w:val="cite-month-year"/>
    <w:basedOn w:val="DefaultParagraphFont"/>
    <w:rsid w:val="00702C5C"/>
  </w:style>
  <w:style w:type="paragraph" w:customStyle="1" w:styleId="ParaNoNumber">
    <w:name w:val="ParaNoNumber"/>
    <w:basedOn w:val="Normal"/>
    <w:next w:val="Normal"/>
    <w:rsid w:val="00702C5C"/>
    <w:pPr>
      <w:widowControl/>
      <w:spacing w:before="240" w:after="240"/>
      <w:jc w:val="both"/>
    </w:pPr>
    <w:rPr>
      <w:rFonts w:ascii="Times New Roman" w:hAnsi="Times New Roman" w:cs="Times New Roman"/>
      <w:kern w:val="0"/>
      <w:szCs w:val="20"/>
      <w:lang w:val="en-GB" w:eastAsia="en-US"/>
    </w:rPr>
  </w:style>
  <w:style w:type="paragraph" w:customStyle="1" w:styleId="ParaLevel1">
    <w:name w:val="ParaLevel1"/>
    <w:basedOn w:val="Normal"/>
    <w:rsid w:val="00702C5C"/>
    <w:pPr>
      <w:widowControl/>
      <w:numPr>
        <w:numId w:val="5"/>
      </w:numPr>
      <w:suppressAutoHyphens/>
      <w:spacing w:before="240" w:after="240"/>
      <w:jc w:val="both"/>
      <w:outlineLvl w:val="0"/>
    </w:pPr>
    <w:rPr>
      <w:rFonts w:ascii="Times New Roman" w:hAnsi="Times New Roman" w:cs="Times New Roman"/>
      <w:kern w:val="0"/>
      <w:szCs w:val="20"/>
      <w:lang w:val="en-GB" w:eastAsia="en-US"/>
    </w:rPr>
  </w:style>
  <w:style w:type="paragraph" w:customStyle="1" w:styleId="ParaLevel2">
    <w:name w:val="ParaLevel2"/>
    <w:basedOn w:val="Normal"/>
    <w:rsid w:val="00702C5C"/>
    <w:pPr>
      <w:widowControl/>
      <w:numPr>
        <w:ilvl w:val="1"/>
        <w:numId w:val="5"/>
      </w:numPr>
      <w:suppressAutoHyphens/>
      <w:spacing w:before="240" w:after="240"/>
      <w:jc w:val="both"/>
      <w:outlineLvl w:val="1"/>
    </w:pPr>
    <w:rPr>
      <w:rFonts w:ascii="Times New Roman" w:hAnsi="Times New Roman" w:cs="Times New Roman"/>
      <w:kern w:val="0"/>
      <w:szCs w:val="20"/>
      <w:lang w:val="en-GB" w:eastAsia="en-US"/>
    </w:rPr>
  </w:style>
  <w:style w:type="paragraph" w:customStyle="1" w:styleId="ParaLevel3">
    <w:name w:val="ParaLevel3"/>
    <w:basedOn w:val="Normal"/>
    <w:rsid w:val="00702C5C"/>
    <w:pPr>
      <w:widowControl/>
      <w:numPr>
        <w:ilvl w:val="2"/>
        <w:numId w:val="5"/>
      </w:numPr>
      <w:suppressAutoHyphens/>
      <w:spacing w:before="240" w:after="240"/>
      <w:jc w:val="both"/>
      <w:outlineLvl w:val="2"/>
    </w:pPr>
    <w:rPr>
      <w:rFonts w:ascii="Times New Roman" w:hAnsi="Times New Roman" w:cs="Times New Roman"/>
      <w:kern w:val="0"/>
      <w:szCs w:val="20"/>
      <w:lang w:val="en-GB" w:eastAsia="en-US"/>
    </w:rPr>
  </w:style>
  <w:style w:type="paragraph" w:customStyle="1" w:styleId="ParaLevel4">
    <w:name w:val="ParaLevel4"/>
    <w:basedOn w:val="Normal"/>
    <w:rsid w:val="00702C5C"/>
    <w:pPr>
      <w:widowControl/>
      <w:numPr>
        <w:ilvl w:val="3"/>
        <w:numId w:val="5"/>
      </w:numPr>
      <w:tabs>
        <w:tab w:val="num" w:pos="2836"/>
      </w:tabs>
      <w:suppressAutoHyphens/>
      <w:spacing w:before="240" w:after="240"/>
      <w:jc w:val="both"/>
      <w:outlineLvl w:val="3"/>
    </w:pPr>
    <w:rPr>
      <w:rFonts w:ascii="Times New Roman" w:hAnsi="Times New Roman" w:cs="Times New Roman"/>
      <w:kern w:val="0"/>
      <w:szCs w:val="20"/>
      <w:lang w:val="en-GB" w:eastAsia="en-US"/>
    </w:rPr>
  </w:style>
  <w:style w:type="paragraph" w:customStyle="1" w:styleId="ParaLevel5">
    <w:name w:val="ParaLevel5"/>
    <w:basedOn w:val="Normal"/>
    <w:rsid w:val="00702C5C"/>
    <w:pPr>
      <w:widowControl/>
      <w:numPr>
        <w:ilvl w:val="4"/>
        <w:numId w:val="5"/>
      </w:numPr>
      <w:suppressAutoHyphens/>
      <w:spacing w:before="240" w:after="240"/>
      <w:jc w:val="both"/>
      <w:outlineLvl w:val="4"/>
    </w:pPr>
    <w:rPr>
      <w:rFonts w:ascii="Times New Roman" w:hAnsi="Times New Roman" w:cs="Times New Roman"/>
      <w:kern w:val="0"/>
      <w:szCs w:val="20"/>
      <w:lang w:val="en-GB" w:eastAsia="en-US"/>
    </w:rPr>
  </w:style>
  <w:style w:type="paragraph" w:customStyle="1" w:styleId="ParaLevel6">
    <w:name w:val="ParaLevel6"/>
    <w:basedOn w:val="Normal"/>
    <w:rsid w:val="00702C5C"/>
    <w:pPr>
      <w:widowControl/>
      <w:numPr>
        <w:ilvl w:val="5"/>
        <w:numId w:val="5"/>
      </w:numPr>
      <w:tabs>
        <w:tab w:val="num" w:pos="4254"/>
      </w:tabs>
      <w:suppressAutoHyphens/>
      <w:spacing w:before="240" w:after="240"/>
      <w:jc w:val="both"/>
      <w:outlineLvl w:val="5"/>
    </w:pPr>
    <w:rPr>
      <w:rFonts w:ascii="Times New Roman" w:hAnsi="Times New Roman" w:cs="Times New Roman"/>
      <w:kern w:val="0"/>
      <w:szCs w:val="20"/>
      <w:lang w:val="en-GB" w:eastAsia="en-US"/>
    </w:rPr>
  </w:style>
  <w:style w:type="paragraph" w:customStyle="1" w:styleId="ParaLevel7">
    <w:name w:val="ParaLevel7"/>
    <w:basedOn w:val="Normal"/>
    <w:rsid w:val="00702C5C"/>
    <w:pPr>
      <w:widowControl/>
      <w:numPr>
        <w:ilvl w:val="6"/>
        <w:numId w:val="5"/>
      </w:numPr>
      <w:suppressAutoHyphens/>
      <w:spacing w:before="240" w:after="240"/>
      <w:jc w:val="both"/>
      <w:outlineLvl w:val="6"/>
    </w:pPr>
    <w:rPr>
      <w:rFonts w:ascii="Times New Roman" w:hAnsi="Times New Roman" w:cs="Times New Roman"/>
      <w:kern w:val="0"/>
      <w:szCs w:val="20"/>
      <w:lang w:val="en-GB" w:eastAsia="en-US"/>
    </w:rPr>
  </w:style>
  <w:style w:type="paragraph" w:customStyle="1" w:styleId="ParaLevel8">
    <w:name w:val="ParaLevel8"/>
    <w:basedOn w:val="Normal"/>
    <w:rsid w:val="00702C5C"/>
    <w:pPr>
      <w:widowControl/>
      <w:numPr>
        <w:ilvl w:val="7"/>
        <w:numId w:val="5"/>
      </w:numPr>
      <w:tabs>
        <w:tab w:val="num" w:pos="5672"/>
      </w:tabs>
      <w:suppressAutoHyphens/>
      <w:spacing w:before="240" w:after="240"/>
      <w:jc w:val="both"/>
      <w:outlineLvl w:val="7"/>
    </w:pPr>
    <w:rPr>
      <w:rFonts w:ascii="Times New Roman" w:hAnsi="Times New Roman" w:cs="Times New Roman"/>
      <w:kern w:val="0"/>
      <w:szCs w:val="20"/>
      <w:lang w:val="en-GB" w:eastAsia="en-US"/>
    </w:rPr>
  </w:style>
  <w:style w:type="paragraph" w:customStyle="1" w:styleId="ParaLevel9">
    <w:name w:val="ParaLevel9"/>
    <w:basedOn w:val="Normal"/>
    <w:rsid w:val="00702C5C"/>
    <w:pPr>
      <w:widowControl/>
      <w:numPr>
        <w:ilvl w:val="8"/>
        <w:numId w:val="5"/>
      </w:numPr>
      <w:suppressAutoHyphens/>
      <w:spacing w:before="240" w:after="240"/>
      <w:jc w:val="both"/>
      <w:outlineLvl w:val="8"/>
    </w:pPr>
    <w:rPr>
      <w:rFonts w:ascii="Times New Roman" w:hAnsi="Times New Roman" w:cs="Times New Roman"/>
      <w:kern w:val="0"/>
      <w:szCs w:val="20"/>
      <w:lang w:val="en-GB" w:eastAsia="en-US"/>
    </w:rPr>
  </w:style>
  <w:style w:type="character" w:customStyle="1" w:styleId="searchterm1">
    <w:name w:val="searchterm1"/>
    <w:basedOn w:val="DefaultParagraphFont"/>
    <w:rsid w:val="00702C5C"/>
    <w:rPr>
      <w:b/>
      <w:bCs/>
      <w:shd w:val="clear" w:color="auto" w:fill="FFFF00"/>
    </w:rPr>
  </w:style>
  <w:style w:type="character" w:styleId="HTMLAcronym">
    <w:name w:val="HTML Acronym"/>
    <w:basedOn w:val="DefaultParagraphFont"/>
    <w:uiPriority w:val="99"/>
    <w:semiHidden/>
    <w:unhideWhenUsed/>
    <w:rsid w:val="00702C5C"/>
  </w:style>
  <w:style w:type="character" w:customStyle="1" w:styleId="ipa">
    <w:name w:val="ipa"/>
    <w:basedOn w:val="DefaultParagraphFont"/>
    <w:rsid w:val="00702C5C"/>
  </w:style>
  <w:style w:type="character" w:customStyle="1" w:styleId="unicode">
    <w:name w:val="unicode"/>
    <w:basedOn w:val="DefaultParagraphFont"/>
    <w:rsid w:val="00702C5C"/>
  </w:style>
  <w:style w:type="character" w:customStyle="1" w:styleId="nocaps">
    <w:name w:val="nocaps"/>
    <w:basedOn w:val="DefaultParagraphFont"/>
    <w:rsid w:val="00702C5C"/>
  </w:style>
  <w:style w:type="character" w:customStyle="1" w:styleId="legchangedelimiter">
    <w:name w:val="legchangedelimiter"/>
    <w:basedOn w:val="DefaultParagraphFont"/>
    <w:rsid w:val="00702C5C"/>
  </w:style>
  <w:style w:type="character" w:customStyle="1" w:styleId="legaddition">
    <w:name w:val="legaddition"/>
    <w:basedOn w:val="DefaultParagraphFont"/>
    <w:rsid w:val="00702C5C"/>
  </w:style>
  <w:style w:type="paragraph" w:customStyle="1" w:styleId="Normal2">
    <w:name w:val="Normal2"/>
    <w:basedOn w:val="Normal"/>
    <w:rsid w:val="008156B2"/>
    <w:pPr>
      <w:widowControl/>
      <w:spacing w:before="100" w:beforeAutospacing="1" w:after="100" w:afterAutospacing="1"/>
    </w:pPr>
    <w:rPr>
      <w:rFonts w:ascii="Times New Roman" w:eastAsia="Times New Roman" w:hAnsi="Times New Roman" w:cs="Times New Roman"/>
      <w:kern w:val="0"/>
      <w:szCs w:val="24"/>
      <w:lang w:eastAsia="en-US"/>
    </w:rPr>
  </w:style>
  <w:style w:type="character" w:customStyle="1" w:styleId="ref-journal">
    <w:name w:val="ref-journal"/>
    <w:basedOn w:val="DefaultParagraphFont"/>
    <w:rsid w:val="00B26606"/>
  </w:style>
  <w:style w:type="character" w:customStyle="1" w:styleId="ref-vol">
    <w:name w:val="ref-vol"/>
    <w:basedOn w:val="DefaultParagraphFont"/>
    <w:rsid w:val="00B26606"/>
  </w:style>
  <w:style w:type="paragraph" w:styleId="BodyText">
    <w:name w:val="Body Text"/>
    <w:basedOn w:val="Normal"/>
    <w:link w:val="BodyTextChar"/>
    <w:rsid w:val="00915161"/>
    <w:pPr>
      <w:widowControl/>
      <w:overflowPunct w:val="0"/>
      <w:autoSpaceDE w:val="0"/>
      <w:autoSpaceDN w:val="0"/>
      <w:adjustRightInd w:val="0"/>
      <w:spacing w:after="120"/>
      <w:jc w:val="both"/>
      <w:textAlignment w:val="baseline"/>
    </w:pPr>
    <w:rPr>
      <w:rFonts w:ascii="Times New Roman" w:eastAsia="新細明體" w:hAnsi="Times New Roman" w:cs="Times New Roman"/>
      <w:kern w:val="0"/>
      <w:sz w:val="26"/>
      <w:szCs w:val="20"/>
      <w:lang w:val="en-GB"/>
    </w:rPr>
  </w:style>
  <w:style w:type="character" w:customStyle="1" w:styleId="BodyTextChar">
    <w:name w:val="Body Text Char"/>
    <w:basedOn w:val="DefaultParagraphFont"/>
    <w:link w:val="BodyText"/>
    <w:rsid w:val="00915161"/>
    <w:rPr>
      <w:rFonts w:ascii="Times New Roman" w:eastAsia="新細明體" w:hAnsi="Times New Roman" w:cs="Times New Roman"/>
      <w:kern w:val="0"/>
      <w:sz w:val="26"/>
      <w:szCs w:val="20"/>
      <w:lang w:val="en-GB"/>
    </w:rPr>
  </w:style>
  <w:style w:type="numbering" w:customStyle="1" w:styleId="ImportedStyle1">
    <w:name w:val="Imported Style 1"/>
    <w:rsid w:val="00E773F6"/>
    <w:pPr>
      <w:numPr>
        <w:numId w:val="95"/>
      </w:numPr>
    </w:pPr>
  </w:style>
  <w:style w:type="paragraph" w:styleId="NormalIndent">
    <w:name w:val="Normal Indent"/>
    <w:basedOn w:val="Normal"/>
    <w:rsid w:val="00AA24D6"/>
    <w:pPr>
      <w:widowControl/>
      <w:snapToGrid w:val="0"/>
      <w:ind w:left="480"/>
      <w:jc w:val="both"/>
    </w:pPr>
    <w:rPr>
      <w:rFonts w:ascii="Arial" w:eastAsia="新細明體" w:hAnsi="Arial" w:cs="Times New Roman"/>
      <w:kern w:val="0"/>
      <w:szCs w:val="20"/>
      <w:lang w:val="en-GB"/>
    </w:rPr>
  </w:style>
  <w:style w:type="character" w:styleId="HTMLCite">
    <w:name w:val="HTML Cite"/>
    <w:basedOn w:val="DefaultParagraphFont"/>
    <w:uiPriority w:val="99"/>
    <w:semiHidden/>
    <w:unhideWhenUsed/>
    <w:rsid w:val="00CC7691"/>
    <w:rPr>
      <w:i/>
      <w:iCs/>
    </w:rPr>
  </w:style>
  <w:style w:type="character" w:customStyle="1" w:styleId="nowrap">
    <w:name w:val="nowrap"/>
    <w:basedOn w:val="DefaultParagraphFont"/>
    <w:rsid w:val="00CC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8220">
      <w:bodyDiv w:val="1"/>
      <w:marLeft w:val="0"/>
      <w:marRight w:val="0"/>
      <w:marTop w:val="0"/>
      <w:marBottom w:val="0"/>
      <w:divBdr>
        <w:top w:val="none" w:sz="0" w:space="0" w:color="auto"/>
        <w:left w:val="none" w:sz="0" w:space="0" w:color="auto"/>
        <w:bottom w:val="none" w:sz="0" w:space="0" w:color="auto"/>
        <w:right w:val="none" w:sz="0" w:space="0" w:color="auto"/>
      </w:divBdr>
    </w:div>
    <w:div w:id="431823136">
      <w:bodyDiv w:val="1"/>
      <w:marLeft w:val="0"/>
      <w:marRight w:val="0"/>
      <w:marTop w:val="0"/>
      <w:marBottom w:val="0"/>
      <w:divBdr>
        <w:top w:val="none" w:sz="0" w:space="0" w:color="auto"/>
        <w:left w:val="none" w:sz="0" w:space="0" w:color="auto"/>
        <w:bottom w:val="none" w:sz="0" w:space="0" w:color="auto"/>
        <w:right w:val="none" w:sz="0" w:space="0" w:color="auto"/>
      </w:divBdr>
    </w:div>
    <w:div w:id="506867408">
      <w:bodyDiv w:val="1"/>
      <w:marLeft w:val="0"/>
      <w:marRight w:val="0"/>
      <w:marTop w:val="0"/>
      <w:marBottom w:val="0"/>
      <w:divBdr>
        <w:top w:val="none" w:sz="0" w:space="0" w:color="auto"/>
        <w:left w:val="none" w:sz="0" w:space="0" w:color="auto"/>
        <w:bottom w:val="none" w:sz="0" w:space="0" w:color="auto"/>
        <w:right w:val="none" w:sz="0" w:space="0" w:color="auto"/>
      </w:divBdr>
    </w:div>
    <w:div w:id="900553500">
      <w:bodyDiv w:val="1"/>
      <w:marLeft w:val="0"/>
      <w:marRight w:val="0"/>
      <w:marTop w:val="0"/>
      <w:marBottom w:val="0"/>
      <w:divBdr>
        <w:top w:val="none" w:sz="0" w:space="0" w:color="auto"/>
        <w:left w:val="none" w:sz="0" w:space="0" w:color="auto"/>
        <w:bottom w:val="none" w:sz="0" w:space="0" w:color="auto"/>
        <w:right w:val="none" w:sz="0" w:space="0" w:color="auto"/>
      </w:divBdr>
    </w:div>
    <w:div w:id="9569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Sex_Reassignment_Surgery"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iwggr.gov.hk"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wggr@doj.gov.hk"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iwggr.gov.hk" TargetMode="External"/><Relationship Id="rId23" Type="http://schemas.openxmlformats.org/officeDocument/2006/relationships/hyperlink" Target="https://en.wikipedia.org/wiki/Sexologist" TargetMode="External"/><Relationship Id="rId10" Type="http://schemas.openxmlformats.org/officeDocument/2006/relationships/hyperlink" Target="http://www.iwggr.gov.hk"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iwggr.gov.hk" TargetMode="External"/><Relationship Id="rId14" Type="http://schemas.openxmlformats.org/officeDocument/2006/relationships/hyperlink" Target="http://www.iwggr.gov.hk" TargetMode="External"/><Relationship Id="rId22" Type="http://schemas.openxmlformats.org/officeDocument/2006/relationships/hyperlink" Target="https://en.wikipedia.org/wiki/Clinical_psycholog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justice.gov.uk/downloads/tribunals/gender-recognition-panel/grp_minutes_05Nov2008_final.pdf" TargetMode="External"/><Relationship Id="rId21" Type="http://schemas.openxmlformats.org/officeDocument/2006/relationships/hyperlink" Target="http://www.welfare.ie/en/downloads/Report-of-the-Gender-Recognition-Advisory-Group.pdf" TargetMode="External"/><Relationship Id="rId42" Type="http://schemas.openxmlformats.org/officeDocument/2006/relationships/hyperlink" Target="http://www.hrc.org/blog/entry/victory-for-transgender-community-in-mexico-city" TargetMode="External"/><Relationship Id="rId47" Type="http://schemas.openxmlformats.org/officeDocument/2006/relationships/hyperlink" Target="https://www.scp.nl/english/Publications/Publications_by_year/Publications_2013/Acceptance_of_lesbian_gay_bisexual_and_transgender_individuals_in_the_Netherlands_2013" TargetMode="External"/><Relationship Id="rId63" Type="http://schemas.openxmlformats.org/officeDocument/2006/relationships/hyperlink" Target="https://www.acpeds.org/the-college-speaks/position-statements/gender-dysphoria-in-children" TargetMode="External"/><Relationship Id="rId68" Type="http://schemas.openxmlformats.org/officeDocument/2006/relationships/hyperlink" Target="https://glbtnewsarchives.wordpress.com/tag/choi-chi-sum-%E8%94%A1%E5%BF%97%E6%A3%AE/" TargetMode="External"/><Relationship Id="rId84" Type="http://schemas.openxmlformats.org/officeDocument/2006/relationships/hyperlink" Target="http://religiondispatches.org/what-the-conservative-christian-fake-trans-bathroom-creeper-has-to-do-with-suburban-anxiety/" TargetMode="External"/><Relationship Id="rId89" Type="http://schemas.openxmlformats.org/officeDocument/2006/relationships/hyperlink" Target="https://www.hcch.net/en/about" TargetMode="External"/><Relationship Id="rId7" Type="http://schemas.openxmlformats.org/officeDocument/2006/relationships/hyperlink" Target="http://www.immd.gov.hk/eng/faq/faq_hkic.html" TargetMode="External"/><Relationship Id="rId71" Type="http://schemas.openxmlformats.org/officeDocument/2006/relationships/hyperlink" Target="http://www.legco.gov.hk/yr13-14/chinese/bc/bc52/papers/bc520423cb2-1309-23-c.pdf" TargetMode="External"/><Relationship Id="rId92" Type="http://schemas.openxmlformats.org/officeDocument/2006/relationships/hyperlink" Target="http://www.huffingtonpost.com/2013/10/10/argentina-child-transgender_n_4077466.html" TargetMode="External"/><Relationship Id="rId2" Type="http://schemas.openxmlformats.org/officeDocument/2006/relationships/hyperlink" Target="http://www.info.gov.hk/gia/general/201512/09/P201512090358.htm" TargetMode="External"/><Relationship Id="rId16" Type="http://schemas.openxmlformats.org/officeDocument/2006/relationships/hyperlink" Target="http://www.publications.parliament.uk/pa/jt200203/jtselect/jtrights/188/188.pdf" TargetMode="External"/><Relationship Id="rId29" Type="http://schemas.openxmlformats.org/officeDocument/2006/relationships/hyperlink" Target="http://equalityhumanrights.com" TargetMode="External"/><Relationship Id="rId11" Type="http://schemas.openxmlformats.org/officeDocument/2006/relationships/hyperlink" Target="http://www.info.gov.hk/gia/general/201512/09/P201512090358.htm" TargetMode="External"/><Relationship Id="rId24" Type="http://schemas.openxmlformats.org/officeDocument/2006/relationships/hyperlink" Target="http://www.gires.org.uk/law-archive/obtaining-your-gender-recognition-certificate" TargetMode="External"/><Relationship Id="rId32" Type="http://schemas.openxmlformats.org/officeDocument/2006/relationships/hyperlink" Target="http://issuu.com/lgbtexcellencecentre/docs/transgender_school_toolkit/1" TargetMode="External"/><Relationship Id="rId37" Type="http://schemas.openxmlformats.org/officeDocument/2006/relationships/hyperlink" Target="http://transequality.org/Resources/DL/DL_policies.html" TargetMode="External"/><Relationship Id="rId40" Type="http://schemas.openxmlformats.org/officeDocument/2006/relationships/hyperlink" Target="http://www.empirejustice.org/assets/pdf/policy-advocacy/doh-bc.pdf" TargetMode="External"/><Relationship Id="rId45" Type="http://schemas.openxmlformats.org/officeDocument/2006/relationships/hyperlink" Target="http://globaltransaction.files.wordpress.com/2012/05/argentina-gender-identity-law.pdf" TargetMode="External"/><Relationship Id="rId53" Type="http://schemas.openxmlformats.org/officeDocument/2006/relationships/hyperlink" Target="http://www.patheos.com/blogs/warrenthrockmorton/2016/08/27/editor-of-the-new-atlantis-responds-to-my-critique-of-the-mayer-and-mchugh-article/" TargetMode="External"/><Relationship Id="rId58" Type="http://schemas.openxmlformats.org/officeDocument/2006/relationships/hyperlink" Target="http://images.nymag.com/images/2/daily/2016/01/SINGH-DISSERTATION.pdf" TargetMode="External"/><Relationship Id="rId66" Type="http://schemas.openxmlformats.org/officeDocument/2006/relationships/hyperlink" Target="http://www.dailymail.co.uk/femail/article-1021557/How-pregnant-mans-daughter-thank-breathtakingly-cynical--profitable--foray-gay-rights.html" TargetMode="External"/><Relationship Id="rId74" Type="http://schemas.openxmlformats.org/officeDocument/2006/relationships/hyperlink" Target="http://abcnews.go.com/topics/news/issues/transgender-issues.htm" TargetMode="External"/><Relationship Id="rId79" Type="http://schemas.openxmlformats.org/officeDocument/2006/relationships/hyperlink" Target="http://www.legco.gov.hk/yr13-14/english/bc/bc52/papers/bc520423cb2-1339-10-e.pdf" TargetMode="External"/><Relationship Id="rId87" Type="http://schemas.openxmlformats.org/officeDocument/2006/relationships/hyperlink" Target="http://www.makezine.enoughenough.org/bathroomsurvey.htm" TargetMode="External"/><Relationship Id="rId102" Type="http://schemas.openxmlformats.org/officeDocument/2006/relationships/hyperlink" Target="http://www.dailymail.co.uk/news/article-2238663/Belgian-husband-leaves-wife-19-years-discovering-man-says-knows-good-ironing.html" TargetMode="External"/><Relationship Id="rId5" Type="http://schemas.openxmlformats.org/officeDocument/2006/relationships/hyperlink" Target="http://webarchive.nationalarchives.gov.uk/+/http:/www.dca.gov.uk/constitution/transsex/policy.htm" TargetMode="External"/><Relationship Id="rId61" Type="http://schemas.openxmlformats.org/officeDocument/2006/relationships/hyperlink" Target="https://hkscsblog.wordpress.com/2016/09/22/%E5%90%91%E6%94%BF%E6%B2%BB%E5%87%8C%E9%A7%95%E7%A7%91%E5%AD%B8%E8%AA%AA%E4%B8%8D-%E6%8E%A2%E8%A8%8E%E8%B7%A8%E6%80%A7%E5%88%A5%E5%85%92%E7%AB%A5%E7%9A%84%E7%A7%91%E5%AD%B8%E7%A0%94%E7%A9%B6/" TargetMode="External"/><Relationship Id="rId82" Type="http://schemas.openxmlformats.org/officeDocument/2006/relationships/hyperlink" Target="http://www.apa.org/about/policy/transgender.aspx" TargetMode="External"/><Relationship Id="rId90" Type="http://schemas.openxmlformats.org/officeDocument/2006/relationships/hyperlink" Target="https://hkscsblog.wordpress.com/2016/09/22/%E5%90%91%E6%94%BF%E6%B2%BB%E5%87%8C%E9%A7%95%E7%A7%91%E5%AD%B8%E8%AA%AA%E4%B8%8D-%E6%8E%A2%E8%A8%8E%E8%B7%A8%E6%80%A7%E5%88%A5%E5%85%92%E7%AB%A5%E7%9A%84%E7%A7%91%E5%AD%B8%E7%A0%94%E7%A9%B6/" TargetMode="External"/><Relationship Id="rId95" Type="http://schemas.openxmlformats.org/officeDocument/2006/relationships/hyperlink" Target="http://www.legislation.gov.uk/uksi/2011/1630/pdfs/uksi_20111630_en.pdf" TargetMode="External"/><Relationship Id="rId19" Type="http://schemas.openxmlformats.org/officeDocument/2006/relationships/hyperlink" Target="https://www.academia.edu/attachments/30515465/download_file" TargetMode="External"/><Relationship Id="rId14" Type="http://schemas.openxmlformats.org/officeDocument/2006/relationships/hyperlink" Target="https://www.gov.uk/government/uploads/system/uploads/attachment_data/file/229992/Applying_for_a_passport_additional_information_WEB.PDF" TargetMode="External"/><Relationship Id="rId22" Type="http://schemas.openxmlformats.org/officeDocument/2006/relationships/hyperlink" Target="http://www.justice.gov.uk/tribunals/gender-recognition-panel/process" TargetMode="External"/><Relationship Id="rId27" Type="http://schemas.openxmlformats.org/officeDocument/2006/relationships/hyperlink" Target="http://www.justice.gov.uk/downloads/tribunals/gender-recognition-panel/grp_minutes_18Mar10.pdf.pdf" TargetMode="External"/><Relationship Id="rId30" Type="http://schemas.openxmlformats.org/officeDocument/2006/relationships/hyperlink" Target="http://www.pfc.org.uk/pdf/EngenderedPenalties.pdf" TargetMode="External"/><Relationship Id="rId35" Type="http://schemas.openxmlformats.org/officeDocument/2006/relationships/hyperlink" Target="http://www.dutchcivillaw.com/civilcodebook01.htm" TargetMode="External"/><Relationship Id="rId43" Type="http://schemas.openxmlformats.org/officeDocument/2006/relationships/hyperlink" Target="http://www.mexicogulfreporter.com/2014/11/gender-change-in-mexicos-federal.html" TargetMode="External"/><Relationship Id="rId48" Type="http://schemas.openxmlformats.org/officeDocument/2006/relationships/hyperlink" Target="http://www.teni.ie/page.aspx?contentid=586" TargetMode="External"/><Relationship Id="rId56" Type="http://schemas.openxmlformats.org/officeDocument/2006/relationships/hyperlink" Target="https://www.psychiatry.org/File%20Library/Psychiatrists/Practice/DSM/APA_DSM-Development-of-DSM-5.pdf" TargetMode="External"/><Relationship Id="rId64" Type="http://schemas.openxmlformats.org/officeDocument/2006/relationships/hyperlink" Target="http://www.immd.gov.hk/eng/faq/faq_hkic.html" TargetMode="External"/><Relationship Id="rId69" Type="http://schemas.openxmlformats.org/officeDocument/2006/relationships/hyperlink" Target="http://www.legco.gov.hk/yr13-14/chinese/bc/bc52/papers/bc520423cb2-1309-20-c.pdf" TargetMode="External"/><Relationship Id="rId77" Type="http://schemas.openxmlformats.org/officeDocument/2006/relationships/hyperlink" Target="http://www.legco.gov.hk/yr13-14/english/bc/bc52/minutes/bc5220140520.pdf" TargetMode="External"/><Relationship Id="rId100" Type="http://schemas.openxmlformats.org/officeDocument/2006/relationships/hyperlink" Target="http://www.parliament.uk/business/committees/committees-a-z/commons-select/women-and-equalities-committee/role/" TargetMode="External"/><Relationship Id="rId8" Type="http://schemas.openxmlformats.org/officeDocument/2006/relationships/hyperlink" Target="http://www.info.gov.hk/gia/general/201512/09/P201512090358.htm" TargetMode="External"/><Relationship Id="rId51" Type="http://schemas.openxmlformats.org/officeDocument/2006/relationships/hyperlink" Target="https://www.acpeds.org/the-college-speaks/position-statements/gender-dysphoria-in-children" TargetMode="External"/><Relationship Id="rId72" Type="http://schemas.openxmlformats.org/officeDocument/2006/relationships/hyperlink" Target="http://txvaluesaction.org/" TargetMode="External"/><Relationship Id="rId80" Type="http://schemas.openxmlformats.org/officeDocument/2006/relationships/hyperlink" Target="http://www.apa.org/about/index.aspx" TargetMode="External"/><Relationship Id="rId85" Type="http://schemas.openxmlformats.org/officeDocument/2006/relationships/hyperlink" Target="http://thetab.com/uk/northumbria/2015/03/24/im-a-trans-woman-and-i-dont-want-gender-neutral-toilets-7359" TargetMode="External"/><Relationship Id="rId93" Type="http://schemas.openxmlformats.org/officeDocument/2006/relationships/hyperlink" Target="http://blog.hawaii.edu/aplpj/files/2013/02/APLPJ_14.2_Taniguchi.pdf" TargetMode="External"/><Relationship Id="rId98" Type="http://schemas.openxmlformats.org/officeDocument/2006/relationships/hyperlink" Target="http://ciec1.org/" TargetMode="External"/><Relationship Id="rId3" Type="http://schemas.openxmlformats.org/officeDocument/2006/relationships/hyperlink" Target="http://webarchive.nationalarchives.gov.uk/+/http:/www.dca.gov.uk/constitution/transsex/policy.htm" TargetMode="External"/><Relationship Id="rId12" Type="http://schemas.openxmlformats.org/officeDocument/2006/relationships/hyperlink" Target="http://www.info.gov.hk/gia/general/201512/09/P201512090358.htm" TargetMode="External"/><Relationship Id="rId17" Type="http://schemas.openxmlformats.org/officeDocument/2006/relationships/hyperlink" Target="http://www.pfc.org.uk/GRC_Applications.html" TargetMode="External"/><Relationship Id="rId25" Type="http://schemas.openxmlformats.org/officeDocument/2006/relationships/hyperlink" Target="https://www.gov.uk/government/collections/gender-recognition-certificate-statistics" TargetMode="External"/><Relationship Id="rId33" Type="http://schemas.openxmlformats.org/officeDocument/2006/relationships/hyperlink" Target="http://www.dsm5.org/Pages/Default.aspx" TargetMode="External"/><Relationship Id="rId38" Type="http://schemas.openxmlformats.org/officeDocument/2006/relationships/hyperlink" Target="https://www.canadianbirthcertificate.com/FAQs.aspx?CertificateType=GeneralBirthFAQs&amp;" TargetMode="External"/><Relationship Id="rId46" Type="http://schemas.openxmlformats.org/officeDocument/2006/relationships/hyperlink" Target="http://www.telam.com.ar/notas/201305/17099-a-un-anode-la-sancion-de-la-ley-3000-personas-trans-gestionaron-su-nuevo-dni.html" TargetMode="External"/><Relationship Id="rId59" Type="http://schemas.openxmlformats.org/officeDocument/2006/relationships/hyperlink" Target="http://www.sexologytoday.org/2016/01/do-trans-kids-stay-trans-when-they-grow_99.html" TargetMode="External"/><Relationship Id="rId67" Type="http://schemas.openxmlformats.org/officeDocument/2006/relationships/hyperlink" Target="http://www.dca.gov.uk/constitution/transsex/wgtrans.pdf" TargetMode="External"/><Relationship Id="rId103" Type="http://schemas.openxmlformats.org/officeDocument/2006/relationships/hyperlink" Target="http://www.foxnews.com/world/2012/11/27/belgian-man-finds-out-his-wife-1-years-was-born-man/" TargetMode="External"/><Relationship Id="rId20" Type="http://schemas.openxmlformats.org/officeDocument/2006/relationships/hyperlink" Target="http://www.publications.parliament.uk/pa/ld200304/ldhansrd/vo040113/text/40113-10.htm" TargetMode="External"/><Relationship Id="rId41" Type="http://schemas.openxmlformats.org/officeDocument/2006/relationships/hyperlink" Target="http://www.forms.ssb.gov.on.ca/mbs/ssb/forms/ssbforms.nsf/GetFileAttach/007-11325E~1/$File/11325E.pdf" TargetMode="External"/><Relationship Id="rId54" Type="http://schemas.openxmlformats.org/officeDocument/2006/relationships/hyperlink" Target="http://www.cmab.gov.hk/en/issues/equal_advisory_group.htm" TargetMode="External"/><Relationship Id="rId62" Type="http://schemas.openxmlformats.org/officeDocument/2006/relationships/hyperlink" Target="http://dx.doi.org/10.1016/j.neurenf.2008.06.003" TargetMode="External"/><Relationship Id="rId70" Type="http://schemas.openxmlformats.org/officeDocument/2006/relationships/hyperlink" Target="http://www.adflegal.org/" TargetMode="External"/><Relationship Id="rId75" Type="http://schemas.openxmlformats.org/officeDocument/2006/relationships/hyperlink" Target="http://abcnews.go.com/topics/lifestyle/transgender-identity.htm" TargetMode="External"/><Relationship Id="rId83" Type="http://schemas.openxmlformats.org/officeDocument/2006/relationships/hyperlink" Target="http://www.dca.gov.uk/constitution/transsex/wgtrans.pdf" TargetMode="External"/><Relationship Id="rId88" Type="http://schemas.openxmlformats.org/officeDocument/2006/relationships/hyperlink" Target="http://www.nbcphiladelphia.com/news/local/LGBT-Gender-Neutral-Restrooms-206932591.html" TargetMode="External"/><Relationship Id="rId91" Type="http://schemas.openxmlformats.org/officeDocument/2006/relationships/hyperlink" Target="https://www.buzzfeed.com/tonymerevick/new-study-shows-suppressing-puberty-helps-transgender-teens?utm_term=.ofL4mP8Lv" TargetMode="External"/><Relationship Id="rId96" Type="http://schemas.openxmlformats.org/officeDocument/2006/relationships/hyperlink" Target="http://web2.gov.mb.ca/laws/statutes/ccsm/_pdf.php?cap=v60" TargetMode="External"/><Relationship Id="rId1" Type="http://schemas.openxmlformats.org/officeDocument/2006/relationships/hyperlink" Target="https://issuu.com/makmingyee/docs/____________" TargetMode="External"/><Relationship Id="rId6" Type="http://schemas.openxmlformats.org/officeDocument/2006/relationships/hyperlink" Target="http://www.spl.ids.ac.uk/sexuality-and-social-justice-toolkit/2-policy-and-law-what-you-need-know/21-how-law-works/215" TargetMode="External"/><Relationship Id="rId15" Type="http://schemas.openxmlformats.org/officeDocument/2006/relationships/hyperlink" Target="http://www.dca.gov.uk/constitution/transsex/wgtrans.pdf" TargetMode="External"/><Relationship Id="rId23" Type="http://schemas.openxmlformats.org/officeDocument/2006/relationships/hyperlink" Target="http://www.gires.org.uk/law-archive/obtaining-your-gender-recognition-certificate" TargetMode="External"/><Relationship Id="rId28" Type="http://schemas.openxmlformats.org/officeDocument/2006/relationships/hyperlink" Target="http://webarchive.nationalarchives.gov.uk/20110206182821/http://www.grp.gov.uk/aboutus.htm" TargetMode="External"/><Relationship Id="rId36" Type="http://schemas.openxmlformats.org/officeDocument/2006/relationships/hyperlink" Target="https://wcd.coe.int/ViewDoc.jsp?id=1606669" TargetMode="External"/><Relationship Id="rId49" Type="http://schemas.openxmlformats.org/officeDocument/2006/relationships/hyperlink" Target="http://www.hivlawcommission.org/index.php/follow-up-stories/377-high-level-roundtable-on-gender-identity-rights-and-the-law" TargetMode="External"/><Relationship Id="rId57" Type="http://schemas.openxmlformats.org/officeDocument/2006/relationships/hyperlink" Target="http://nymag.com/scienceofus/2016/07/whats-missing-from-the-conversation-about-transgender-kids.html" TargetMode="External"/><Relationship Id="rId10" Type="http://schemas.openxmlformats.org/officeDocument/2006/relationships/hyperlink" Target="http://www.info.gov.hk/gia/general/201512/09/P201512090358.htm" TargetMode="External"/><Relationship Id="rId31" Type="http://schemas.openxmlformats.org/officeDocument/2006/relationships/hyperlink" Target="http://www.lgbtwolverhampton.org.uk/uploads/3/0/2/4/30245599/2013_pfc-faqsht_02_name_changes_4_orgs.pdf" TargetMode="External"/><Relationship Id="rId44" Type="http://schemas.openxmlformats.org/officeDocument/2006/relationships/hyperlink" Target="http://www.mexicogulfreporter.com/2014/11/gender-change-in-mexicos-federal.html" TargetMode="External"/><Relationship Id="rId52" Type="http://schemas.openxmlformats.org/officeDocument/2006/relationships/hyperlink" Target="http://www.thenewatlantis.com/publications/number-50-fall-2016" TargetMode="External"/><Relationship Id="rId60" Type="http://schemas.openxmlformats.org/officeDocument/2006/relationships/hyperlink" Target="https://www.acpeds.org/the-college-speaks/position-statements/gender-dysphoria-in-children" TargetMode="External"/><Relationship Id="rId65" Type="http://schemas.openxmlformats.org/officeDocument/2006/relationships/hyperlink" Target="https://www.google.com.hk/search?tbo=p&amp;tbm=bks&amp;q=inauthor:%22Beverly+L.+Miller%22" TargetMode="External"/><Relationship Id="rId73" Type="http://schemas.openxmlformats.org/officeDocument/2006/relationships/hyperlink" Target="http://www.ncsl.org/research/education/-bathroom-bill-legislative-tracking635951130.aspx" TargetMode="External"/><Relationship Id="rId78" Type="http://schemas.openxmlformats.org/officeDocument/2006/relationships/hyperlink" Target="http://www.legco.gov.hk/yr13-14/english/bc/bc52/papers/bc520429cb2-1384-5-e.pdf" TargetMode="External"/><Relationship Id="rId81" Type="http://schemas.openxmlformats.org/officeDocument/2006/relationships/hyperlink" Target="http://www.legco.gov.hk/yr13-14/english/bc/bc52/papers/bc520429cb2-1359-7-e.pdf" TargetMode="External"/><Relationship Id="rId86" Type="http://schemas.openxmlformats.org/officeDocument/2006/relationships/hyperlink" Target="http://www.sheilajeffreys.com/wp-content/uploads/2014/08/toilet-article.pdfpublished-version.pdf" TargetMode="External"/><Relationship Id="rId94" Type="http://schemas.openxmlformats.org/officeDocument/2006/relationships/hyperlink" Target="http://www.waseda.jp/hiken/jp/public/bulletin/pdf/28/ronbun/A02859211-00-000280064.pdf" TargetMode="External"/><Relationship Id="rId99" Type="http://schemas.openxmlformats.org/officeDocument/2006/relationships/hyperlink" Target="http://ciec1.org/" TargetMode="External"/><Relationship Id="rId101" Type="http://schemas.openxmlformats.org/officeDocument/2006/relationships/hyperlink" Target="http://edition.cnn.com/2009/CRIME/04/22/transgender.slaying.trial/" TargetMode="External"/><Relationship Id="rId4" Type="http://schemas.openxmlformats.org/officeDocument/2006/relationships/hyperlink" Target="https://issuu.com/makmingyee/docs/____________" TargetMode="External"/><Relationship Id="rId9" Type="http://schemas.openxmlformats.org/officeDocument/2006/relationships/hyperlink" Target="http://www.info.gov.hk/gia/general/201512/09/P201512090358.htm" TargetMode="External"/><Relationship Id="rId13" Type="http://schemas.openxmlformats.org/officeDocument/2006/relationships/hyperlink" Target="http://www.legislation.gov.uk/ukpga/2004/7/notes" TargetMode="External"/><Relationship Id="rId18" Type="http://schemas.openxmlformats.org/officeDocument/2006/relationships/hyperlink" Target="http://webarchive.nationalarchives.gov.uk/+/http:/www.dca.gov.uk/constitution/transsex/policy.htm" TargetMode="External"/><Relationship Id="rId39" Type="http://schemas.openxmlformats.org/officeDocument/2006/relationships/hyperlink" Target="http://www.thetaskforce.org/" TargetMode="External"/><Relationship Id="rId34" Type="http://schemas.openxmlformats.org/officeDocument/2006/relationships/hyperlink" Target="http://www.parliament.uk/business/committees/committees-a-z/commons-select/women-and-equalities-committee/role/" TargetMode="External"/><Relationship Id="rId50" Type="http://schemas.openxmlformats.org/officeDocument/2006/relationships/hyperlink" Target="https://issuu.com/makmingyee/docs/____________" TargetMode="External"/><Relationship Id="rId55" Type="http://schemas.openxmlformats.org/officeDocument/2006/relationships/hyperlink" Target="http://www.cmab.gov.hk/doc/issues/full_report_e.pdf" TargetMode="External"/><Relationship Id="rId76" Type="http://schemas.openxmlformats.org/officeDocument/2006/relationships/hyperlink" Target="http://abcnews.go.com/Politics/trump-administration-issue-guidance-transgender-bathrooms/story?id=45663275" TargetMode="External"/><Relationship Id="rId97" Type="http://schemas.openxmlformats.org/officeDocument/2006/relationships/hyperlink" Target="http://law.justia.com/codes/utah/2012/title-26/article-2/section-11/" TargetMode="External"/><Relationship Id="rId104" Type="http://schemas.openxmlformats.org/officeDocument/2006/relationships/hyperlink" Target="http://www.legislation.gov.uk/uksi/2005/916/ma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04C8-126B-4054-A6DF-8B4A74E9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78870</Words>
  <Characters>449562</Characters>
  <Application>Microsoft Office Word</Application>
  <DocSecurity>8</DocSecurity>
  <Lines>3746</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jymlaw</dc:creator>
  <cp:lastModifiedBy>LAM, CL</cp:lastModifiedBy>
  <cp:revision>2</cp:revision>
  <cp:lastPrinted>2017-06-21T02:12:00Z</cp:lastPrinted>
  <dcterms:created xsi:type="dcterms:W3CDTF">2017-06-22T08:44:00Z</dcterms:created>
  <dcterms:modified xsi:type="dcterms:W3CDTF">2017-06-22T08:44:00Z</dcterms:modified>
</cp:coreProperties>
</file>